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2-2</w:t>
      </w:r>
    </w:p>
    <w:p>
      <w:pPr>
        <w:jc w:val="both"/>
        <w:rPr>
          <w:rFonts w:eastAsia="方正小标宋简体"/>
          <w:bCs/>
          <w:sz w:val="28"/>
          <w:szCs w:val="28"/>
        </w:rPr>
      </w:pPr>
    </w:p>
    <w:p>
      <w:pPr>
        <w:jc w:val="both"/>
        <w:rPr>
          <w:rFonts w:eastAsia="方正小标宋简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eastAsia="方正小标宋简体"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绩效评价自评报告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评价类型：项目实施过程评价□　项目完成结果评价□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项目名称：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法制建设项目   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    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项目单位：</w:t>
      </w:r>
      <w:r>
        <w:rPr>
          <w:rFonts w:hint="eastAsia" w:ascii="仿宋_GB2312" w:eastAsia="仿宋_GB2312"/>
          <w:sz w:val="36"/>
          <w:szCs w:val="36"/>
          <w:u w:val="single"/>
        </w:rPr>
        <w:t>湖南城陵矶新港区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政务服务中心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主管部门：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             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评价方式：部门（单位）绩效自评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评价机构：部门（单位）评价组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报告日期：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ascii="仿宋_GB2312" w:eastAsia="仿宋_GB2312"/>
          <w:sz w:val="36"/>
          <w:szCs w:val="36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>日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56"/>
        <w:gridCol w:w="32"/>
        <w:gridCol w:w="718"/>
        <w:gridCol w:w="1410"/>
        <w:gridCol w:w="360"/>
        <w:gridCol w:w="756"/>
        <w:gridCol w:w="757"/>
        <w:gridCol w:w="567"/>
        <w:gridCol w:w="408"/>
        <w:gridCol w:w="962"/>
        <w:gridCol w:w="1483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一、项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目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基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本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概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罗龙文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15273032337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新港区通关服务中心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大厅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141" w:type="dxa"/>
            <w:gridSpan w:val="10"/>
            <w:vAlign w:val="center"/>
          </w:tcPr>
          <w:p>
            <w:pPr>
              <w:ind w:firstLine="1190" w:firstLineChars="49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8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其中：中央财政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新港区管委会法律顾问服务费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　　　　　　</w:t>
            </w:r>
          </w:p>
        </w:tc>
        <w:tc>
          <w:tcPr>
            <w:tcW w:w="316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汽车城项目撤销仲裁之诉代理费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16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水上乐园项目仲裁之诉代理费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316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支出合计：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16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164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强化法务工作机制建设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法务工作与中心工作的融合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创新工作模式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夯实法制宣传和培训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是强化法务工作机制建设。年初经管委会审定后出台了高质量、切实可行的《湖南城陵矶新港区法务工作规则》，该规则的出台对规范新港区法务工作，推进法治建设提供了强有力的制度保障。二是突出法务工作与中心工作的融合。在征迁征拆、招商引资、项目建设等工作中，充分发挥法务办“智囊团”的作用，确保工作顺利推进；在处置法律纠纷时，妥善应对，加强与各方沟通协调，确保合法权益得到充分保障。今年来，出具法律意见7份，审查合同130份，完成2份规范性文件的审查，全程参与或协助处理神州智谷有限公司破产等涉法涉诉事件10余起。三是创新工作模式。今年来，我们推行“法务+政务服务”的工作理念，在政务服务中心大厅设置法律咨询窗口，为企业和群众提供免费法律咨询。疫情发生后，组织律师赴企业现场“问诊”10余次，为多家企业在疫情期间发生的法律问题现场“把脉”，一一解答企业遇到的法律问题。四是夯实法制宣传和培训。依托“开放崛起大讲堂”平台讲授法律知识，建立法律服务微信群等多种形式开展法制宣传和培训。今年以来，依托“开放崛起大讲堂”平台先后组织了两场大型的法律培训活动。培训活动收效较好，在港区上下营造出学法、懂法、知法、用法的浓厚氛围，提高了全区上下的法治思维和法律风险防范意识。同时，通过建立法律服务微信群，分享和传播了相关法律和政策，普及了法律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97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项目产出指标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  <w:lang w:val="en-US" w:eastAsia="zh-CN"/>
              </w:rPr>
              <w:t>参加培训会人数达到100人次以上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100人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  <w:lang w:val="en-US" w:eastAsia="zh-CN"/>
              </w:rPr>
              <w:t>领导满意，社会认可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年度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  <w:lang w:val="en-US" w:eastAsia="zh-CN"/>
              </w:rPr>
              <w:t>完成100人次培训会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分享和传播了相关法律和政策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服务对象满意度指标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423" w:type="dxa"/>
            <w:gridSpan w:val="9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42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徐婷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  <w:lang w:val="en-US" w:eastAsia="zh-CN"/>
              </w:rPr>
              <w:t>新港区妇联副主席、政务服务中心办公室主任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政务服务中心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李煜东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政务服务中心科员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政务服务和中心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评价组组长（签字）：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项目单位负责人（签章）：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主管部门负责人（签章）：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财政部门归口业务科室负责人（签章）：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ind w:firstLine="2880" w:firstLineChars="900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五、评价报告综述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根据《岳阳市财政局关于落实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年度财政项目支出绩效自评及绩效监控工作的通知》（岳财预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[2020]86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号）要求，现对我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中心的法制建设项目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绩效情况，开展了绩效自评工作，现将情况汇报如下：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一、项目概况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单位基本情况。新港区管委会为全额拨款事业单位，政务服务中心现有人数7人，其中在编人员2人，加挂法务办，内设办公室、行政审批科、代办服务科，主要职能是负责综合协调机关政务工作;负责推进、指导、协调、监督、考核全区实施政务公开工作，区管委会信息公开日常工作；负责本区及市直派驻机构进驻政务服务中心窗口的行政审批代办，入区企业的“一站式”服务以及日常工作考核；负责行政综合执法协调工作等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二、项目资金使用及管理情况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日，我单位收到财政拨入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互联网+政务服务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一体化平台建设经费45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年实际支出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万元，按进度完成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法律顾问服务、汽车城项目撤销仲裁、水上乐园项目仲裁事项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。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48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三、项目组织实施情况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、项目管理情况分析。项目推进过程中，定期对服务项目开展督促，严格按时间进度进行评价，并作为考核合作单位的依据。邀请各部门宣传委员对宣传项目情况进行督查，提高监督的广度和密度。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四、项目主要绩效情况分析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eastAsia="楷体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根据自评绩效评分细则，我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严格执行预算管理、防止各种违反财经纪律的行为、保障重点、量入为出、收支平衡的原则，提高了资金使用效益，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法制建设项目经费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在项目绩效考核评价中自评合格率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95%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以上。</w:t>
            </w:r>
          </w:p>
        </w:tc>
      </w:tr>
    </w:tbl>
    <w:p>
      <w:pPr>
        <w:rPr>
          <w:sz w:val="24"/>
          <w:szCs w:val="24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98</w:t>
            </w:r>
            <w:bookmarkEnd w:id="0"/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Style w:val="7"/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- 9 -</w:t>
    </w:r>
    <w:r>
      <w:rPr>
        <w:rStyle w:val="7"/>
        <w:rFonts w:ascii="Times New Roman" w:hAnsi="Times New Roman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8B513"/>
    <w:multiLevelType w:val="singleLevel"/>
    <w:tmpl w:val="E518B5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DE"/>
    <w:rsid w:val="000C5801"/>
    <w:rsid w:val="000F69A2"/>
    <w:rsid w:val="00135B8F"/>
    <w:rsid w:val="00154F58"/>
    <w:rsid w:val="001C04FA"/>
    <w:rsid w:val="001C0E05"/>
    <w:rsid w:val="00247A0E"/>
    <w:rsid w:val="002559D6"/>
    <w:rsid w:val="00270556"/>
    <w:rsid w:val="00283AEA"/>
    <w:rsid w:val="002D2660"/>
    <w:rsid w:val="002F2FD6"/>
    <w:rsid w:val="00375E42"/>
    <w:rsid w:val="0038627D"/>
    <w:rsid w:val="0040600D"/>
    <w:rsid w:val="00450528"/>
    <w:rsid w:val="00486D39"/>
    <w:rsid w:val="004B34F4"/>
    <w:rsid w:val="004F1167"/>
    <w:rsid w:val="004F42DE"/>
    <w:rsid w:val="00503565"/>
    <w:rsid w:val="0059607F"/>
    <w:rsid w:val="005A6FA5"/>
    <w:rsid w:val="005A7333"/>
    <w:rsid w:val="005B3BFE"/>
    <w:rsid w:val="006847C7"/>
    <w:rsid w:val="0069584D"/>
    <w:rsid w:val="006F248F"/>
    <w:rsid w:val="00822137"/>
    <w:rsid w:val="00933EA4"/>
    <w:rsid w:val="00A429CE"/>
    <w:rsid w:val="00AA0B20"/>
    <w:rsid w:val="00AB6FC4"/>
    <w:rsid w:val="00AC0DC4"/>
    <w:rsid w:val="00B508AD"/>
    <w:rsid w:val="00B534F7"/>
    <w:rsid w:val="00B6578E"/>
    <w:rsid w:val="00BC5993"/>
    <w:rsid w:val="00C32DA5"/>
    <w:rsid w:val="00D14F77"/>
    <w:rsid w:val="00D43B0B"/>
    <w:rsid w:val="00D45B3F"/>
    <w:rsid w:val="00DA144E"/>
    <w:rsid w:val="00DE0584"/>
    <w:rsid w:val="00E52C2E"/>
    <w:rsid w:val="00EB19AC"/>
    <w:rsid w:val="00F16605"/>
    <w:rsid w:val="00F52F3D"/>
    <w:rsid w:val="00FA5937"/>
    <w:rsid w:val="00FF73B9"/>
    <w:rsid w:val="06B736D4"/>
    <w:rsid w:val="36754A86"/>
    <w:rsid w:val="404D1F2E"/>
    <w:rsid w:val="500C7EBD"/>
    <w:rsid w:val="575D5C23"/>
    <w:rsid w:val="607E619E"/>
    <w:rsid w:val="6293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883</Words>
  <Characters>5037</Characters>
  <Lines>41</Lines>
  <Paragraphs>11</Paragraphs>
  <TotalTime>5</TotalTime>
  <ScaleCrop>false</ScaleCrop>
  <LinksUpToDate>false</LinksUpToDate>
  <CharactersWithSpaces>5909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2020-08-13T09:25:00Z</dcterms:created>
  <dc:creator>PC</dc:creator>
  <cp:lastModifiedBy>肖志芳</cp:lastModifiedBy>
  <cp:lastPrinted>2020-08-20T06:42:00Z</cp:lastPrinted>
  <dcterms:modified xsi:type="dcterms:W3CDTF">2021-08-27T07:41:28Z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D0348E928B64498C913F324319E1B60D</vt:lpwstr>
  </property>
</Properties>
</file>