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ascii="Wingdings 2" w:hAnsi="Wingdings 2" w:eastAsia="仿宋_GB2312"/>
          <w:sz w:val="32"/>
          <w:szCs w:val="32"/>
        </w:rPr>
        <w:t></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园区规划环评影响跟踪评价</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岳阳市生态环境局城陵矶新港区分局</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岳阳市生态环境局城陵矶新港区分局</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报告日期：2021年6月30日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喻方琴</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13627302211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r>
              <w:rPr>
                <w:rFonts w:eastAsia="仿宋_GB2312"/>
                <w:sz w:val="24"/>
              </w:rPr>
              <w:t>岳阳市通关服务中心</w:t>
            </w:r>
            <w:r>
              <w:rPr>
                <w:rFonts w:hint="eastAsia" w:eastAsia="仿宋_GB2312"/>
                <w:sz w:val="24"/>
              </w:rPr>
              <w:t>571室</w:t>
            </w:r>
          </w:p>
        </w:tc>
        <w:tc>
          <w:tcPr>
            <w:tcW w:w="1347" w:type="dxa"/>
            <w:gridSpan w:val="2"/>
            <w:vAlign w:val="center"/>
          </w:tcPr>
          <w:p>
            <w:pPr>
              <w:rPr>
                <w:rFonts w:eastAsia="仿宋_GB2312"/>
                <w:sz w:val="24"/>
              </w:rPr>
            </w:pPr>
            <w:r>
              <w:rPr>
                <w:rFonts w:hint="eastAsia" w:eastAsia="仿宋_GB2312"/>
                <w:sz w:val="24"/>
              </w:rPr>
              <w:t>邮编</w:t>
            </w:r>
          </w:p>
        </w:tc>
        <w:tc>
          <w:tcPr>
            <w:tcW w:w="3333" w:type="dxa"/>
            <w:gridSpan w:val="4"/>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rPr>
              <w:t>2020年6月起至2021年6月止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70</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70</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r>
              <w:rPr>
                <w:rFonts w:hint="eastAsia" w:eastAsia="仿宋_GB2312"/>
                <w:sz w:val="21"/>
                <w:szCs w:val="21"/>
              </w:rPr>
              <w:t>66.78</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val="0"/>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r>
              <w:rPr>
                <w:rFonts w:hint="eastAsia" w:eastAsia="仿宋_GB2312"/>
                <w:sz w:val="24"/>
              </w:rPr>
              <w:t>70</w:t>
            </w:r>
          </w:p>
        </w:tc>
        <w:tc>
          <w:tcPr>
            <w:tcW w:w="1800" w:type="dxa"/>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jc w:val="center"/>
              <w:rPr>
                <w:rFonts w:eastAsia="仿宋_GB2312"/>
                <w:sz w:val="24"/>
              </w:rPr>
            </w:pPr>
            <w:r>
              <w:rPr>
                <w:rFonts w:hint="eastAsia" w:eastAsia="仿宋_GB2312"/>
                <w:sz w:val="24"/>
              </w:rPr>
              <w:t>70</w:t>
            </w:r>
          </w:p>
        </w:tc>
        <w:tc>
          <w:tcPr>
            <w:tcW w:w="1644" w:type="dxa"/>
            <w:gridSpan w:val="3"/>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jc w:val="center"/>
              <w:rPr>
                <w:rFonts w:eastAsia="仿宋_GB2312"/>
                <w:sz w:val="24"/>
              </w:rPr>
            </w:pPr>
            <w:r>
              <w:rPr>
                <w:rFonts w:hint="eastAsia" w:eastAsia="仿宋_GB2312"/>
                <w:sz w:val="21"/>
                <w:szCs w:val="21"/>
              </w:rPr>
              <w:t>66.78</w:t>
            </w: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val="0"/>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82" w:type="dxa"/>
            <w:gridSpan w:val="4"/>
            <w:tcBorders>
              <w:bottom w:val="single" w:color="auto" w:sz="4" w:space="0"/>
            </w:tcBorders>
            <w:vAlign w:val="center"/>
          </w:tcPr>
          <w:p>
            <w:pPr>
              <w:rPr>
                <w:rFonts w:eastAsia="仿宋_GB2312"/>
                <w:sz w:val="24"/>
              </w:rPr>
            </w:pPr>
            <w:r>
              <w:rPr>
                <w:rFonts w:hint="eastAsia" w:eastAsia="仿宋_GB2312"/>
                <w:sz w:val="24"/>
              </w:rPr>
              <w:t>园区规划环评影响跟踪评价</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66.78万</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eastAsia="仿宋_GB2312"/>
                <w:sz w:val="24"/>
              </w:rPr>
              <w:t>收集编制报告所需基础资料，编制规划环评跟踪评价报告书</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eastAsia="仿宋_GB2312"/>
                <w:b w:val="0"/>
                <w:bCs/>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360" w:lineRule="exact"/>
              <w:jc w:val="center"/>
              <w:rPr>
                <w:rFonts w:eastAsia="仿宋_GB2312"/>
                <w:sz w:val="24"/>
              </w:rPr>
            </w:pPr>
            <w:r>
              <w:rPr>
                <w:rFonts w:eastAsia="仿宋_GB2312"/>
                <w:sz w:val="24"/>
              </w:rPr>
              <w:t>完成报告书编制及</w:t>
            </w:r>
            <w:r>
              <w:rPr>
                <w:rFonts w:hint="eastAsia" w:eastAsia="仿宋_GB2312"/>
                <w:sz w:val="24"/>
              </w:rPr>
              <w:t>审查</w:t>
            </w:r>
            <w:r>
              <w:rPr>
                <w:rFonts w:eastAsia="仿宋_GB2312"/>
                <w:sz w:val="24"/>
              </w:rPr>
              <w:t>报告</w:t>
            </w:r>
          </w:p>
        </w:tc>
        <w:tc>
          <w:tcPr>
            <w:tcW w:w="1082" w:type="dxa"/>
            <w:gridSpan w:val="2"/>
            <w:vAlign w:val="center"/>
          </w:tcPr>
          <w:p>
            <w:pPr>
              <w:jc w:val="center"/>
              <w:rPr>
                <w:rFonts w:eastAsia="仿宋_GB2312"/>
                <w:sz w:val="24"/>
              </w:rPr>
            </w:pPr>
            <w:r>
              <w:rPr>
                <w:rFonts w:hint="eastAsia" w:eastAsia="仿宋_GB2312"/>
                <w:sz w:val="24"/>
              </w:rPr>
              <w:t>1册</w:t>
            </w:r>
          </w:p>
        </w:tc>
        <w:tc>
          <w:tcPr>
            <w:tcW w:w="3036" w:type="dxa"/>
            <w:gridSpan w:val="3"/>
            <w:vAlign w:val="center"/>
          </w:tcPr>
          <w:p>
            <w:pPr>
              <w:jc w:val="center"/>
              <w:rPr>
                <w:rFonts w:eastAsia="仿宋_GB2312"/>
                <w:sz w:val="24"/>
              </w:rPr>
            </w:pPr>
            <w:r>
              <w:rPr>
                <w:rFonts w:hint="eastAsia" w:eastAsia="仿宋_GB2312"/>
                <w:sz w:val="24"/>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360" w:lineRule="exact"/>
              <w:jc w:val="center"/>
              <w:rPr>
                <w:rFonts w:eastAsia="仿宋_GB2312"/>
                <w:sz w:val="24"/>
              </w:rPr>
            </w:pPr>
            <w:r>
              <w:rPr>
                <w:rFonts w:hint="eastAsia" w:eastAsia="仿宋_GB2312"/>
                <w:sz w:val="24"/>
              </w:rPr>
              <w:t>收集编制报告所需基础资料</w:t>
            </w:r>
          </w:p>
        </w:tc>
        <w:tc>
          <w:tcPr>
            <w:tcW w:w="1082" w:type="dxa"/>
            <w:gridSpan w:val="2"/>
            <w:vAlign w:val="center"/>
          </w:tcPr>
          <w:p>
            <w:pPr>
              <w:jc w:val="center"/>
              <w:rPr>
                <w:rFonts w:eastAsia="仿宋_GB2312"/>
                <w:sz w:val="24"/>
              </w:rPr>
            </w:pPr>
            <w:r>
              <w:rPr>
                <w:rFonts w:eastAsia="仿宋_GB2312"/>
                <w:sz w:val="24"/>
              </w:rPr>
              <w:t>全部收集</w:t>
            </w:r>
          </w:p>
        </w:tc>
        <w:tc>
          <w:tcPr>
            <w:tcW w:w="3036" w:type="dxa"/>
            <w:gridSpan w:val="3"/>
            <w:vAlign w:val="center"/>
          </w:tcPr>
          <w:p>
            <w:pPr>
              <w:jc w:val="center"/>
              <w:rPr>
                <w:rFonts w:eastAsia="仿宋_GB2312"/>
                <w:sz w:val="24"/>
              </w:rPr>
            </w:pPr>
            <w:r>
              <w:rPr>
                <w:rFonts w:eastAsia="仿宋_GB2312"/>
                <w:sz w:val="24"/>
              </w:rPr>
              <w:t>全部收集完成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Align w:val="center"/>
          </w:tcPr>
          <w:p>
            <w:pPr>
              <w:spacing w:line="360" w:lineRule="exact"/>
              <w:jc w:val="center"/>
              <w:rPr>
                <w:rFonts w:eastAsia="仿宋_GB2312"/>
                <w:sz w:val="24"/>
              </w:rPr>
            </w:pPr>
            <w:r>
              <w:rPr>
                <w:rFonts w:eastAsia="仿宋_GB2312"/>
                <w:sz w:val="24"/>
              </w:rPr>
              <w:t>在时限内完成</w:t>
            </w:r>
          </w:p>
        </w:tc>
        <w:tc>
          <w:tcPr>
            <w:tcW w:w="1082" w:type="dxa"/>
            <w:gridSpan w:val="2"/>
            <w:vAlign w:val="center"/>
          </w:tcPr>
          <w:p>
            <w:pPr>
              <w:jc w:val="center"/>
              <w:rPr>
                <w:rFonts w:eastAsia="仿宋_GB2312"/>
                <w:sz w:val="24"/>
              </w:rPr>
            </w:pPr>
            <w:r>
              <w:rPr>
                <w:rFonts w:hint="eastAsia" w:eastAsia="仿宋_GB2312"/>
                <w:sz w:val="24"/>
              </w:rPr>
              <w:t>2021年6月之前</w:t>
            </w:r>
          </w:p>
        </w:tc>
        <w:tc>
          <w:tcPr>
            <w:tcW w:w="3036" w:type="dxa"/>
            <w:gridSpan w:val="3"/>
            <w:vAlign w:val="center"/>
          </w:tcPr>
          <w:p>
            <w:pPr>
              <w:jc w:val="center"/>
              <w:rPr>
                <w:rFonts w:eastAsia="仿宋_GB2312"/>
                <w:sz w:val="24"/>
              </w:rPr>
            </w:pPr>
            <w:r>
              <w:rPr>
                <w:rFonts w:hint="eastAsia" w:eastAsia="仿宋_GB2312"/>
                <w:sz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Align w:val="center"/>
          </w:tcPr>
          <w:p>
            <w:pPr>
              <w:spacing w:line="360" w:lineRule="exact"/>
              <w:jc w:val="center"/>
              <w:rPr>
                <w:rFonts w:eastAsia="仿宋_GB2312"/>
                <w:sz w:val="24"/>
              </w:rPr>
            </w:pPr>
            <w:r>
              <w:rPr>
                <w:rFonts w:eastAsia="仿宋_GB2312"/>
                <w:sz w:val="24"/>
              </w:rPr>
              <w:t>控制在成本内</w:t>
            </w:r>
          </w:p>
        </w:tc>
        <w:tc>
          <w:tcPr>
            <w:tcW w:w="1082" w:type="dxa"/>
            <w:gridSpan w:val="2"/>
            <w:vAlign w:val="center"/>
          </w:tcPr>
          <w:p>
            <w:pPr>
              <w:jc w:val="center"/>
              <w:rPr>
                <w:rFonts w:eastAsia="仿宋_GB2312"/>
                <w:sz w:val="24"/>
              </w:rPr>
            </w:pPr>
            <w:r>
              <w:rPr>
                <w:rFonts w:hint="eastAsia" w:eastAsia="仿宋_GB2312"/>
                <w:sz w:val="24"/>
              </w:rPr>
              <w:t>70万元</w:t>
            </w:r>
          </w:p>
        </w:tc>
        <w:tc>
          <w:tcPr>
            <w:tcW w:w="3036" w:type="dxa"/>
            <w:gridSpan w:val="3"/>
            <w:vAlign w:val="center"/>
          </w:tcPr>
          <w:p>
            <w:pPr>
              <w:jc w:val="center"/>
              <w:rPr>
                <w:rFonts w:eastAsia="仿宋_GB2312"/>
                <w:sz w:val="24"/>
              </w:rPr>
            </w:pPr>
            <w:r>
              <w:rPr>
                <w:rFonts w:hint="eastAsia" w:eastAsia="仿宋_GB2312"/>
                <w:sz w:val="24"/>
              </w:rPr>
              <w:t>70万元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eastAsia="仿宋_GB2312"/>
                <w:sz w:val="24"/>
              </w:rPr>
              <w:t>后期入驻项目可以实行环评审批告知承诺制</w:t>
            </w:r>
            <w:r>
              <w:rPr>
                <w:rFonts w:eastAsia="仿宋_GB2312"/>
                <w:sz w:val="24"/>
              </w:rPr>
              <w:t xml:space="preserve"> </w:t>
            </w:r>
          </w:p>
        </w:tc>
        <w:tc>
          <w:tcPr>
            <w:tcW w:w="1082" w:type="dxa"/>
            <w:gridSpan w:val="2"/>
            <w:vAlign w:val="center"/>
          </w:tcPr>
          <w:p>
            <w:pPr>
              <w:jc w:val="center"/>
              <w:rPr>
                <w:rFonts w:eastAsia="仿宋_GB2312"/>
                <w:sz w:val="24"/>
              </w:rPr>
            </w:pPr>
            <w:r>
              <w:rPr>
                <w:rFonts w:eastAsia="仿宋_GB2312"/>
                <w:sz w:val="24"/>
              </w:rPr>
              <w:t>环境经济正效益</w:t>
            </w:r>
          </w:p>
        </w:tc>
        <w:tc>
          <w:tcPr>
            <w:tcW w:w="3036" w:type="dxa"/>
            <w:gridSpan w:val="3"/>
            <w:vAlign w:val="center"/>
          </w:tcPr>
          <w:p>
            <w:pPr>
              <w:jc w:val="center"/>
              <w:rPr>
                <w:rFonts w:eastAsia="仿宋_GB2312"/>
                <w:sz w:val="24"/>
              </w:rPr>
            </w:pPr>
            <w:r>
              <w:rPr>
                <w:rFonts w:hint="eastAsia" w:eastAsia="仿宋_GB2312"/>
                <w:sz w:val="24"/>
              </w:rPr>
              <w:t>大大减少企业成本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ascii="仿宋_GB2312" w:hAnsi="宋体" w:eastAsia="仿宋_GB2312" w:cs="仿宋_GB2312"/>
                <w:color w:val="000000"/>
                <w:sz w:val="22"/>
              </w:rPr>
              <w:t>深化生态领域“放管服”改革</w:t>
            </w:r>
          </w:p>
        </w:tc>
        <w:tc>
          <w:tcPr>
            <w:tcW w:w="1082" w:type="dxa"/>
            <w:gridSpan w:val="2"/>
            <w:vAlign w:val="center"/>
          </w:tcPr>
          <w:p>
            <w:pPr>
              <w:jc w:val="center"/>
              <w:rPr>
                <w:rFonts w:eastAsia="仿宋_GB2312"/>
                <w:sz w:val="24"/>
              </w:rPr>
            </w:pPr>
            <w:r>
              <w:rPr>
                <w:rFonts w:hint="eastAsia" w:ascii="仿宋_GB2312" w:hAnsi="宋体" w:eastAsia="仿宋_GB2312" w:cs="仿宋_GB2312"/>
                <w:color w:val="000000"/>
                <w:sz w:val="22"/>
              </w:rPr>
              <w:t>提高环评审批效率</w:t>
            </w:r>
          </w:p>
        </w:tc>
        <w:tc>
          <w:tcPr>
            <w:tcW w:w="3036" w:type="dxa"/>
            <w:gridSpan w:val="3"/>
            <w:vAlign w:val="center"/>
          </w:tcPr>
          <w:p>
            <w:pPr>
              <w:jc w:val="center"/>
              <w:rPr>
                <w:rFonts w:eastAsia="仿宋_GB2312"/>
                <w:sz w:val="24"/>
              </w:rPr>
            </w:pPr>
            <w:r>
              <w:rPr>
                <w:rFonts w:hint="eastAsia" w:ascii="仿宋_GB2312" w:hAnsi="宋体" w:eastAsia="仿宋_GB2312" w:cs="仿宋_GB2312"/>
                <w:color w:val="000000"/>
                <w:sz w:val="22"/>
              </w:rPr>
              <w:t>加快项目落地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eastAsia="仿宋_GB2312"/>
                <w:sz w:val="24"/>
              </w:rPr>
              <w:t>入驻项目环境影响评价全覆盖</w:t>
            </w:r>
          </w:p>
        </w:tc>
        <w:tc>
          <w:tcPr>
            <w:tcW w:w="1082" w:type="dxa"/>
            <w:gridSpan w:val="2"/>
            <w:vAlign w:val="center"/>
          </w:tcPr>
          <w:p>
            <w:pPr>
              <w:jc w:val="center"/>
              <w:rPr>
                <w:rFonts w:eastAsia="仿宋_GB2312"/>
                <w:sz w:val="24"/>
              </w:rPr>
            </w:pPr>
            <w:r>
              <w:rPr>
                <w:rFonts w:eastAsia="仿宋_GB2312"/>
                <w:sz w:val="24"/>
              </w:rPr>
              <w:t>防止造成污染</w:t>
            </w:r>
          </w:p>
        </w:tc>
        <w:tc>
          <w:tcPr>
            <w:tcW w:w="3036" w:type="dxa"/>
            <w:gridSpan w:val="3"/>
            <w:vAlign w:val="center"/>
          </w:tcPr>
          <w:p>
            <w:pPr>
              <w:jc w:val="center"/>
              <w:rPr>
                <w:rFonts w:eastAsia="仿宋_GB2312"/>
                <w:sz w:val="24"/>
              </w:rPr>
            </w:pPr>
            <w:r>
              <w:rPr>
                <w:rFonts w:eastAsia="仿宋_GB2312"/>
                <w:sz w:val="24"/>
              </w:rPr>
              <w:t>确保港区生态环境稳中向好发展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360" w:lineRule="exact"/>
              <w:jc w:val="center"/>
              <w:rPr>
                <w:rFonts w:eastAsia="仿宋_GB2312"/>
                <w:sz w:val="24"/>
              </w:rPr>
            </w:pPr>
            <w:r>
              <w:rPr>
                <w:rFonts w:eastAsia="仿宋_GB2312"/>
                <w:sz w:val="24"/>
              </w:rPr>
              <w:t>群众满意度</w:t>
            </w:r>
          </w:p>
        </w:tc>
        <w:tc>
          <w:tcPr>
            <w:tcW w:w="1082" w:type="dxa"/>
            <w:gridSpan w:val="2"/>
            <w:vAlign w:val="center"/>
          </w:tcPr>
          <w:p>
            <w:pPr>
              <w:jc w:val="center"/>
              <w:rPr>
                <w:rFonts w:eastAsia="仿宋_GB2312"/>
                <w:sz w:val="24"/>
              </w:rPr>
            </w:pPr>
            <w:r>
              <w:rPr>
                <w:rFonts w:hint="eastAsia" w:eastAsia="仿宋_GB2312"/>
                <w:sz w:val="24"/>
              </w:rPr>
              <w:t>90%</w:t>
            </w:r>
          </w:p>
        </w:tc>
        <w:tc>
          <w:tcPr>
            <w:tcW w:w="3036" w:type="dxa"/>
            <w:gridSpan w:val="3"/>
            <w:vAlign w:val="center"/>
          </w:tcPr>
          <w:p>
            <w:pPr>
              <w:jc w:val="center"/>
              <w:rPr>
                <w:rFonts w:eastAsia="仿宋_GB2312"/>
                <w:sz w:val="24"/>
              </w:rPr>
            </w:pPr>
            <w:r>
              <w:rPr>
                <w:rFonts w:hint="eastAsia"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eastAsia="仿宋_GB2312"/>
                <w:sz w:val="24"/>
              </w:rPr>
            </w:pPr>
            <w:r>
              <w:rPr>
                <w:rFonts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eastAsia="仿宋_GB2312"/>
                <w:sz w:val="24"/>
              </w:rPr>
              <w:t>卢奕良</w:t>
            </w:r>
          </w:p>
        </w:tc>
        <w:tc>
          <w:tcPr>
            <w:tcW w:w="2332" w:type="dxa"/>
            <w:gridSpan w:val="4"/>
            <w:vAlign w:val="center"/>
          </w:tcPr>
          <w:p>
            <w:pPr>
              <w:jc w:val="center"/>
              <w:rPr>
                <w:rFonts w:eastAsia="仿宋_GB2312"/>
                <w:sz w:val="24"/>
              </w:rPr>
            </w:pPr>
            <w:r>
              <w:rPr>
                <w:rFonts w:eastAsia="仿宋_GB2312"/>
                <w:sz w:val="24"/>
              </w:rPr>
              <w:t>局长</w:t>
            </w:r>
          </w:p>
        </w:tc>
        <w:tc>
          <w:tcPr>
            <w:tcW w:w="1950" w:type="dxa"/>
            <w:gridSpan w:val="4"/>
            <w:vAlign w:val="center"/>
          </w:tcPr>
          <w:p>
            <w:pPr>
              <w:rPr>
                <w:rFonts w:eastAsia="仿宋_GB2312"/>
                <w:sz w:val="24"/>
              </w:rPr>
            </w:pPr>
            <w:r>
              <w:rPr>
                <w:rFonts w:eastAsia="仿宋_GB2312"/>
                <w:sz w:val="24"/>
              </w:rPr>
              <w:t>城陵矶新港区生态环境分局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eastAsia="仿宋_GB2312"/>
                <w:sz w:val="24"/>
              </w:rPr>
              <w:t>喻方琴</w:t>
            </w:r>
          </w:p>
        </w:tc>
        <w:tc>
          <w:tcPr>
            <w:tcW w:w="2332" w:type="dxa"/>
            <w:gridSpan w:val="4"/>
            <w:vAlign w:val="center"/>
          </w:tcPr>
          <w:p>
            <w:pPr>
              <w:jc w:val="center"/>
              <w:rPr>
                <w:rFonts w:eastAsia="仿宋_GB2312"/>
                <w:sz w:val="24"/>
              </w:rPr>
            </w:pPr>
            <w:r>
              <w:rPr>
                <w:rFonts w:hint="eastAsia" w:eastAsia="仿宋_GB2312"/>
                <w:sz w:val="24"/>
              </w:rPr>
              <w:t>副局长</w:t>
            </w:r>
          </w:p>
        </w:tc>
        <w:tc>
          <w:tcPr>
            <w:tcW w:w="1950" w:type="dxa"/>
            <w:gridSpan w:val="4"/>
            <w:vAlign w:val="center"/>
          </w:tcPr>
          <w:p>
            <w:pPr>
              <w:rPr>
                <w:rFonts w:eastAsia="仿宋_GB2312"/>
                <w:sz w:val="24"/>
              </w:rPr>
            </w:pPr>
            <w:r>
              <w:rPr>
                <w:rFonts w:eastAsia="仿宋_GB2312"/>
                <w:sz w:val="24"/>
              </w:rPr>
              <w:t>城陵矶新港区生态环境分局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朱龙</w:t>
            </w:r>
          </w:p>
        </w:tc>
        <w:tc>
          <w:tcPr>
            <w:tcW w:w="2332" w:type="dxa"/>
            <w:gridSpan w:val="4"/>
            <w:vAlign w:val="center"/>
          </w:tcPr>
          <w:p>
            <w:pPr>
              <w:jc w:val="center"/>
              <w:rPr>
                <w:rFonts w:eastAsia="仿宋_GB2312"/>
                <w:sz w:val="24"/>
              </w:rPr>
            </w:pPr>
            <w:r>
              <w:rPr>
                <w:rFonts w:eastAsia="仿宋_GB2312"/>
                <w:sz w:val="24"/>
              </w:rPr>
              <w:t>科员</w:t>
            </w:r>
          </w:p>
        </w:tc>
        <w:tc>
          <w:tcPr>
            <w:tcW w:w="1950" w:type="dxa"/>
            <w:gridSpan w:val="4"/>
            <w:vAlign w:val="center"/>
          </w:tcPr>
          <w:p>
            <w:pPr>
              <w:rPr>
                <w:rFonts w:eastAsia="仿宋_GB2312"/>
                <w:sz w:val="24"/>
              </w:rPr>
            </w:pPr>
            <w:r>
              <w:rPr>
                <w:rFonts w:eastAsia="仿宋_GB2312"/>
                <w:sz w:val="24"/>
              </w:rPr>
              <w:t>城陵矶新港区生态环境分局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94" w:firstLineChars="200"/>
              <w:rPr>
                <w:rFonts w:eastAsia="仿宋_GB2312"/>
                <w:sz w:val="30"/>
                <w:szCs w:val="30"/>
              </w:rPr>
            </w:pPr>
            <w:r>
              <w:rPr>
                <w:rFonts w:hint="eastAsia" w:eastAsia="仿宋_GB2312"/>
                <w:sz w:val="30"/>
                <w:szCs w:val="30"/>
              </w:rPr>
              <w:t>（一）项目基本概况</w:t>
            </w:r>
          </w:p>
          <w:p>
            <w:pPr>
              <w:spacing w:line="560" w:lineRule="exact"/>
              <w:ind w:firstLine="594" w:firstLineChars="200"/>
              <w:rPr>
                <w:rFonts w:eastAsia="仿宋_GB2312"/>
                <w:sz w:val="30"/>
                <w:szCs w:val="30"/>
              </w:rPr>
            </w:pPr>
            <w:r>
              <w:rPr>
                <w:rFonts w:hint="eastAsia" w:eastAsia="仿宋_GB2312"/>
                <w:sz w:val="30"/>
                <w:szCs w:val="30"/>
              </w:rPr>
              <w:t>本次园区环境影响跟踪评价的重点在于发展现状的调查、现行规划环境影响的回顾、环境合理性、环境总量相符性及规划调整的建议与环境影响的减缓措施。</w:t>
            </w:r>
          </w:p>
          <w:p>
            <w:pPr>
              <w:spacing w:line="560" w:lineRule="exact"/>
              <w:ind w:firstLine="594" w:firstLineChars="200"/>
              <w:rPr>
                <w:rFonts w:eastAsia="仿宋_GB2312"/>
                <w:sz w:val="30"/>
                <w:szCs w:val="30"/>
              </w:rPr>
            </w:pPr>
            <w:r>
              <w:rPr>
                <w:rFonts w:hint="eastAsia" w:eastAsia="仿宋_GB2312"/>
                <w:sz w:val="30"/>
                <w:szCs w:val="30"/>
              </w:rPr>
              <w:t>（二）项目资金使用及管理情况</w:t>
            </w:r>
          </w:p>
          <w:p>
            <w:pPr>
              <w:spacing w:line="560" w:lineRule="exact"/>
              <w:ind w:left="68" w:leftChars="33" w:firstLine="594" w:firstLineChars="200"/>
              <w:rPr>
                <w:rFonts w:eastAsia="仿宋_GB2312"/>
                <w:sz w:val="30"/>
                <w:szCs w:val="30"/>
              </w:rPr>
            </w:pPr>
            <w:r>
              <w:rPr>
                <w:rFonts w:hint="eastAsia" w:eastAsia="仿宋_GB2312"/>
                <w:sz w:val="30"/>
                <w:szCs w:val="30"/>
              </w:rPr>
              <w:t>支出依据合规，无虚列项目支出情况；无截留挤占挪用情况；无超标准开支情况；资金管理、费用支出等制度健全；制度执行严格。</w:t>
            </w:r>
          </w:p>
          <w:p>
            <w:pPr>
              <w:spacing w:line="560" w:lineRule="exact"/>
              <w:ind w:firstLine="594" w:firstLineChars="200"/>
              <w:rPr>
                <w:rFonts w:eastAsia="仿宋_GB2312"/>
                <w:sz w:val="30"/>
                <w:szCs w:val="30"/>
              </w:rPr>
            </w:pPr>
            <w:r>
              <w:rPr>
                <w:rFonts w:hint="eastAsia" w:eastAsia="仿宋_GB2312"/>
                <w:sz w:val="30"/>
                <w:szCs w:val="30"/>
              </w:rPr>
              <w:t>（三）项目组织实施情况</w:t>
            </w:r>
          </w:p>
          <w:p>
            <w:pPr>
              <w:spacing w:line="560" w:lineRule="exact"/>
              <w:ind w:firstLine="594" w:firstLineChars="200"/>
              <w:rPr>
                <w:rFonts w:eastAsia="仿宋_GB2312"/>
                <w:sz w:val="30"/>
                <w:szCs w:val="30"/>
              </w:rPr>
            </w:pPr>
            <w:r>
              <w:rPr>
                <w:rFonts w:eastAsia="仿宋_GB2312"/>
                <w:sz w:val="30"/>
                <w:szCs w:val="30"/>
              </w:rPr>
              <w:t>该项目通过政府采购程序</w:t>
            </w:r>
            <w:r>
              <w:rPr>
                <w:rFonts w:hint="eastAsia" w:eastAsia="仿宋_GB2312"/>
                <w:sz w:val="30"/>
                <w:szCs w:val="30"/>
              </w:rPr>
              <w:t>，</w:t>
            </w:r>
            <w:r>
              <w:rPr>
                <w:rFonts w:eastAsia="仿宋_GB2312"/>
                <w:sz w:val="30"/>
                <w:szCs w:val="30"/>
              </w:rPr>
              <w:t>最终有资质的湖南</w:t>
            </w:r>
            <w:r>
              <w:rPr>
                <w:rFonts w:hint="eastAsia" w:eastAsia="仿宋_GB2312"/>
                <w:sz w:val="30"/>
                <w:szCs w:val="30"/>
              </w:rPr>
              <w:t>景</w:t>
            </w:r>
            <w:r>
              <w:rPr>
                <w:rFonts w:eastAsia="仿宋_GB2312"/>
                <w:sz w:val="30"/>
                <w:szCs w:val="30"/>
              </w:rPr>
              <w:t>玺环保科技有限公司中标</w:t>
            </w:r>
            <w:r>
              <w:rPr>
                <w:rFonts w:hint="eastAsia" w:eastAsia="仿宋_GB2312"/>
                <w:sz w:val="30"/>
                <w:szCs w:val="30"/>
              </w:rPr>
              <w:t>。2020年6月启动项目，开展数据、地形数据等基础数据资料收集调查，对土壤、地下水、地表水、大气、噪声等因子进行检测，编制文本规划文件，邀请专家现场勘察、技术评估，于2021年7月完成。</w:t>
            </w:r>
          </w:p>
          <w:p>
            <w:pPr>
              <w:spacing w:line="560" w:lineRule="exact"/>
              <w:ind w:firstLine="594" w:firstLineChars="200"/>
              <w:rPr>
                <w:rFonts w:eastAsia="仿宋_GB2312"/>
                <w:sz w:val="30"/>
                <w:szCs w:val="30"/>
              </w:rPr>
            </w:pPr>
            <w:r>
              <w:rPr>
                <w:rFonts w:hint="eastAsia" w:eastAsia="仿宋_GB2312"/>
                <w:sz w:val="30"/>
                <w:szCs w:val="30"/>
              </w:rPr>
              <w:t>（四）综合评价情况及评价结论</w:t>
            </w:r>
          </w:p>
          <w:p>
            <w:pPr>
              <w:spacing w:line="560" w:lineRule="exact"/>
              <w:ind w:firstLine="594" w:firstLineChars="200"/>
              <w:rPr>
                <w:rFonts w:eastAsia="仿宋_GB2312"/>
                <w:sz w:val="30"/>
                <w:szCs w:val="30"/>
              </w:rPr>
            </w:pPr>
            <w:r>
              <w:rPr>
                <w:rFonts w:hint="eastAsia" w:eastAsia="仿宋_GB2312"/>
                <w:sz w:val="30"/>
                <w:szCs w:val="30"/>
              </w:rPr>
              <w:t>项目综合评分为100分，综合评价结论为优。</w:t>
            </w:r>
          </w:p>
          <w:p>
            <w:pPr>
              <w:spacing w:line="560" w:lineRule="exact"/>
              <w:ind w:firstLine="594" w:firstLineChars="200"/>
              <w:rPr>
                <w:rFonts w:eastAsia="仿宋_GB2312"/>
                <w:sz w:val="30"/>
                <w:szCs w:val="30"/>
              </w:rPr>
            </w:pPr>
            <w:r>
              <w:rPr>
                <w:rFonts w:hint="eastAsia" w:eastAsia="仿宋_GB2312"/>
                <w:sz w:val="30"/>
                <w:szCs w:val="30"/>
              </w:rPr>
              <w:t>（五）项目主要绩效情况分析</w:t>
            </w:r>
          </w:p>
          <w:p>
            <w:pPr>
              <w:spacing w:line="560" w:lineRule="exact"/>
              <w:ind w:firstLine="594" w:firstLineChars="200"/>
              <w:rPr>
                <w:rFonts w:eastAsia="仿宋_GB2312"/>
                <w:sz w:val="30"/>
                <w:szCs w:val="30"/>
              </w:rPr>
            </w:pPr>
            <w:r>
              <w:rPr>
                <w:rFonts w:hint="eastAsia" w:eastAsia="仿宋_GB2312"/>
                <w:sz w:val="30"/>
                <w:szCs w:val="30"/>
              </w:rPr>
              <w:t>湖南城陵矶临港产业新区产业核心区规划环评跟踪评价完成后，后期入驻项目可以实行环评审批告知承诺制，大大减少企业成本，加快项目落地；并以此次跟踪评价为契机，全面摸清园区的产业格局、发展特色、发展现状及存在的问题，提出切实可行的方案，促使园区升级，实现可持续发展，为岳阳的经济发展助力。</w:t>
            </w:r>
          </w:p>
          <w:p>
            <w:pPr>
              <w:spacing w:line="560" w:lineRule="exact"/>
              <w:ind w:firstLine="594"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594" w:firstLineChars="200"/>
              <w:rPr>
                <w:rFonts w:eastAsia="楷体_GB2312"/>
                <w:bCs/>
                <w:sz w:val="28"/>
                <w:szCs w:val="28"/>
              </w:rPr>
            </w:pPr>
            <w:r>
              <w:rPr>
                <w:rFonts w:hint="eastAsia" w:eastAsia="仿宋_GB2312"/>
                <w:sz w:val="30"/>
                <w:szCs w:val="30"/>
              </w:rPr>
              <w:t>无</w:t>
            </w:r>
          </w:p>
        </w:tc>
      </w:tr>
    </w:tbl>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pStyle w:val="15"/>
              <w:widowControl/>
              <w:numPr>
                <w:ilvl w:val="0"/>
                <w:numId w:val="1"/>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sz w:val="28"/>
          <w:szCs w:val="28"/>
        </w:rPr>
      </w:pPr>
    </w:p>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ascii="Wingdings 2" w:hAnsi="Wingdings 2" w:eastAsia="仿宋_GB2312"/>
          <w:sz w:val="32"/>
          <w:szCs w:val="32"/>
        </w:rPr>
        <w:t></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空气小微站建设</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岳阳市生态环境局城陵矶新港区分局</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岳阳市生态环境局城陵矶新港区分局</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报告日期：2021年6月30日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66"/>
        <w:gridCol w:w="502"/>
        <w:gridCol w:w="785"/>
        <w:gridCol w:w="297"/>
        <w:gridCol w:w="826"/>
        <w:gridCol w:w="151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300" w:type="dxa"/>
            <w:gridSpan w:val="6"/>
            <w:vAlign w:val="center"/>
          </w:tcPr>
          <w:p>
            <w:pPr>
              <w:rPr>
                <w:rFonts w:eastAsia="仿宋_GB2312"/>
                <w:sz w:val="24"/>
              </w:rPr>
            </w:pPr>
            <w:r>
              <w:rPr>
                <w:rFonts w:hint="eastAsia" w:eastAsia="仿宋_GB2312"/>
                <w:sz w:val="24"/>
              </w:rPr>
              <w:t>冯亮</w:t>
            </w:r>
          </w:p>
        </w:tc>
        <w:tc>
          <w:tcPr>
            <w:tcW w:w="128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15273013317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300" w:type="dxa"/>
            <w:gridSpan w:val="6"/>
            <w:vAlign w:val="center"/>
          </w:tcPr>
          <w:p>
            <w:pPr>
              <w:rPr>
                <w:rFonts w:eastAsia="仿宋_GB2312"/>
                <w:sz w:val="24"/>
              </w:rPr>
            </w:pPr>
            <w:r>
              <w:rPr>
                <w:rFonts w:eastAsia="仿宋_GB2312"/>
                <w:sz w:val="24"/>
              </w:rPr>
              <w:t>岳阳市通关服务中心</w:t>
            </w:r>
            <w:r>
              <w:rPr>
                <w:rFonts w:hint="eastAsia" w:eastAsia="仿宋_GB2312"/>
                <w:sz w:val="24"/>
              </w:rPr>
              <w:t>571室</w:t>
            </w:r>
          </w:p>
        </w:tc>
        <w:tc>
          <w:tcPr>
            <w:tcW w:w="1287" w:type="dxa"/>
            <w:gridSpan w:val="2"/>
            <w:vAlign w:val="center"/>
          </w:tcPr>
          <w:p>
            <w:pPr>
              <w:rPr>
                <w:rFonts w:eastAsia="仿宋_GB2312"/>
                <w:sz w:val="24"/>
              </w:rPr>
            </w:pPr>
            <w:r>
              <w:rPr>
                <w:rFonts w:hint="eastAsia" w:eastAsia="仿宋_GB2312"/>
                <w:sz w:val="24"/>
              </w:rPr>
              <w:t>邮编</w:t>
            </w:r>
          </w:p>
        </w:tc>
        <w:tc>
          <w:tcPr>
            <w:tcW w:w="3333" w:type="dxa"/>
            <w:gridSpan w:val="4"/>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rPr>
              <w:t>2020年6月起至2020年8月止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46</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8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46</w:t>
            </w:r>
          </w:p>
        </w:tc>
        <w:tc>
          <w:tcPr>
            <w:tcW w:w="158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26"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40.36</w:t>
            </w:r>
          </w:p>
        </w:tc>
        <w:tc>
          <w:tcPr>
            <w:tcW w:w="1514"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val="0"/>
                <w:bCs/>
                <w:sz w:val="24"/>
              </w:rPr>
            </w:pPr>
            <w:r>
              <w:rPr>
                <w:rFonts w:hint="eastAsia" w:eastAsia="仿宋_GB2312"/>
                <w:b w:val="0"/>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80" w:type="dxa"/>
            <w:gridSpan w:val="3"/>
            <w:tcBorders>
              <w:bottom w:val="single" w:color="auto" w:sz="4" w:space="0"/>
            </w:tcBorders>
            <w:vAlign w:val="center"/>
          </w:tcPr>
          <w:p>
            <w:pPr>
              <w:rPr>
                <w:rFonts w:eastAsia="仿宋_GB2312"/>
                <w:spacing w:val="-6"/>
                <w:sz w:val="24"/>
              </w:rPr>
            </w:pPr>
          </w:p>
        </w:tc>
        <w:tc>
          <w:tcPr>
            <w:tcW w:w="158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26" w:type="dxa"/>
            <w:tcBorders>
              <w:bottom w:val="single" w:color="auto" w:sz="4" w:space="0"/>
            </w:tcBorders>
            <w:vAlign w:val="center"/>
          </w:tcPr>
          <w:p>
            <w:pPr>
              <w:rPr>
                <w:rFonts w:eastAsia="仿宋_GB2312"/>
                <w:spacing w:val="-6"/>
                <w:sz w:val="24"/>
              </w:rPr>
            </w:pPr>
          </w:p>
        </w:tc>
        <w:tc>
          <w:tcPr>
            <w:tcW w:w="1514"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80" w:type="dxa"/>
            <w:gridSpan w:val="3"/>
            <w:tcBorders>
              <w:bottom w:val="single" w:color="auto" w:sz="4" w:space="0"/>
            </w:tcBorders>
            <w:vAlign w:val="center"/>
          </w:tcPr>
          <w:p>
            <w:pPr>
              <w:rPr>
                <w:rFonts w:eastAsia="仿宋_GB2312"/>
                <w:sz w:val="24"/>
              </w:rPr>
            </w:pPr>
          </w:p>
        </w:tc>
        <w:tc>
          <w:tcPr>
            <w:tcW w:w="158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826" w:type="dxa"/>
            <w:tcBorders>
              <w:bottom w:val="single" w:color="auto" w:sz="4" w:space="0"/>
            </w:tcBorders>
            <w:vAlign w:val="center"/>
          </w:tcPr>
          <w:p>
            <w:pPr>
              <w:rPr>
                <w:rFonts w:eastAsia="仿宋_GB2312"/>
                <w:sz w:val="24"/>
              </w:rPr>
            </w:pPr>
          </w:p>
        </w:tc>
        <w:tc>
          <w:tcPr>
            <w:tcW w:w="1514"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80" w:type="dxa"/>
            <w:gridSpan w:val="3"/>
            <w:tcBorders>
              <w:bottom w:val="single" w:color="auto" w:sz="4" w:space="0"/>
            </w:tcBorders>
            <w:vAlign w:val="center"/>
          </w:tcPr>
          <w:p>
            <w:pPr>
              <w:rPr>
                <w:rFonts w:eastAsia="仿宋_GB2312"/>
                <w:sz w:val="24"/>
              </w:rPr>
            </w:pPr>
          </w:p>
        </w:tc>
        <w:tc>
          <w:tcPr>
            <w:tcW w:w="158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826" w:type="dxa"/>
            <w:tcBorders>
              <w:bottom w:val="single" w:color="auto" w:sz="4" w:space="0"/>
            </w:tcBorders>
            <w:vAlign w:val="center"/>
          </w:tcPr>
          <w:p>
            <w:pPr>
              <w:rPr>
                <w:rFonts w:eastAsia="仿宋_GB2312"/>
                <w:sz w:val="24"/>
              </w:rPr>
            </w:pPr>
          </w:p>
        </w:tc>
        <w:tc>
          <w:tcPr>
            <w:tcW w:w="1514"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46</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80" w:type="dxa"/>
            <w:gridSpan w:val="3"/>
            <w:tcBorders>
              <w:bottom w:val="single" w:color="auto" w:sz="4" w:space="0"/>
            </w:tcBorders>
            <w:vAlign w:val="center"/>
          </w:tcPr>
          <w:p>
            <w:pPr>
              <w:rPr>
                <w:rFonts w:eastAsia="仿宋_GB2312"/>
                <w:sz w:val="24"/>
              </w:rPr>
            </w:pPr>
            <w:r>
              <w:rPr>
                <w:rFonts w:hint="eastAsia" w:eastAsia="仿宋_GB2312"/>
                <w:sz w:val="24"/>
              </w:rPr>
              <w:t>46</w:t>
            </w:r>
          </w:p>
        </w:tc>
        <w:tc>
          <w:tcPr>
            <w:tcW w:w="158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826" w:type="dxa"/>
            <w:tcBorders>
              <w:bottom w:val="single" w:color="auto" w:sz="4" w:space="0"/>
            </w:tcBorders>
            <w:vAlign w:val="center"/>
          </w:tcPr>
          <w:p>
            <w:pPr>
              <w:rPr>
                <w:rFonts w:eastAsia="仿宋_GB2312"/>
                <w:sz w:val="24"/>
              </w:rPr>
            </w:pPr>
            <w:r>
              <w:rPr>
                <w:rFonts w:hint="eastAsia" w:eastAsia="仿宋_GB2312"/>
                <w:sz w:val="24"/>
              </w:rPr>
              <w:t>40.36</w:t>
            </w:r>
          </w:p>
        </w:tc>
        <w:tc>
          <w:tcPr>
            <w:tcW w:w="1514"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val="0"/>
                <w:bCs/>
                <w:sz w:val="24"/>
              </w:rPr>
            </w:pPr>
            <w:r>
              <w:rPr>
                <w:rFonts w:hint="eastAsia" w:eastAsia="仿宋_GB2312"/>
                <w:b w:val="0"/>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80" w:type="dxa"/>
            <w:gridSpan w:val="3"/>
            <w:tcBorders>
              <w:bottom w:val="single" w:color="auto" w:sz="4" w:space="0"/>
            </w:tcBorders>
            <w:vAlign w:val="center"/>
          </w:tcPr>
          <w:p>
            <w:pPr>
              <w:rPr>
                <w:rFonts w:eastAsia="仿宋_GB2312"/>
                <w:sz w:val="24"/>
              </w:rPr>
            </w:pPr>
          </w:p>
        </w:tc>
        <w:tc>
          <w:tcPr>
            <w:tcW w:w="158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826" w:type="dxa"/>
            <w:tcBorders>
              <w:bottom w:val="single" w:color="auto" w:sz="4" w:space="0"/>
            </w:tcBorders>
            <w:vAlign w:val="center"/>
          </w:tcPr>
          <w:p>
            <w:pPr>
              <w:rPr>
                <w:rFonts w:eastAsia="仿宋_GB2312"/>
                <w:sz w:val="24"/>
              </w:rPr>
            </w:pPr>
          </w:p>
        </w:tc>
        <w:tc>
          <w:tcPr>
            <w:tcW w:w="1514"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空气小微站建设</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40.36万</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eastAsia="仿宋_GB2312"/>
                <w:sz w:val="24"/>
              </w:rPr>
              <w:t>完成环境空气质量自动监测空气小微站及自动监测平台建设</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eastAsia="仿宋_GB2312"/>
                <w:b w:val="0"/>
                <w:bCs/>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360" w:lineRule="exact"/>
              <w:jc w:val="center"/>
              <w:rPr>
                <w:rFonts w:eastAsia="仿宋_GB2312"/>
                <w:sz w:val="24"/>
              </w:rPr>
            </w:pPr>
            <w:r>
              <w:rPr>
                <w:rFonts w:hint="eastAsia" w:eastAsia="仿宋_GB2312"/>
                <w:sz w:val="24"/>
              </w:rPr>
              <w:t>空气小微站</w:t>
            </w:r>
            <w:r>
              <w:rPr>
                <w:rFonts w:eastAsia="仿宋_GB2312"/>
                <w:sz w:val="24"/>
              </w:rPr>
              <w:t>建设</w:t>
            </w:r>
          </w:p>
        </w:tc>
        <w:tc>
          <w:tcPr>
            <w:tcW w:w="1082" w:type="dxa"/>
            <w:gridSpan w:val="2"/>
            <w:vAlign w:val="center"/>
          </w:tcPr>
          <w:p>
            <w:pPr>
              <w:jc w:val="center"/>
              <w:rPr>
                <w:rFonts w:eastAsia="仿宋_GB2312"/>
                <w:sz w:val="24"/>
              </w:rPr>
            </w:pPr>
            <w:r>
              <w:rPr>
                <w:rFonts w:hint="eastAsia" w:eastAsia="仿宋_GB2312"/>
                <w:sz w:val="24"/>
              </w:rPr>
              <w:t>2套</w:t>
            </w:r>
          </w:p>
        </w:tc>
        <w:tc>
          <w:tcPr>
            <w:tcW w:w="3036" w:type="dxa"/>
            <w:gridSpan w:val="3"/>
            <w:vAlign w:val="center"/>
          </w:tcPr>
          <w:p>
            <w:pPr>
              <w:jc w:val="center"/>
              <w:rPr>
                <w:rFonts w:eastAsia="仿宋_GB2312"/>
                <w:sz w:val="24"/>
              </w:rPr>
            </w:pPr>
            <w:r>
              <w:rPr>
                <w:rFonts w:hint="eastAsia"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360" w:lineRule="exact"/>
              <w:jc w:val="center"/>
              <w:rPr>
                <w:rFonts w:eastAsia="仿宋_GB2312"/>
                <w:sz w:val="24"/>
              </w:rPr>
            </w:pPr>
            <w:r>
              <w:rPr>
                <w:rFonts w:hint="eastAsia" w:eastAsia="仿宋_GB2312"/>
                <w:sz w:val="24"/>
              </w:rPr>
              <w:t>完成建设及项目运维</w:t>
            </w:r>
          </w:p>
        </w:tc>
        <w:tc>
          <w:tcPr>
            <w:tcW w:w="1082" w:type="dxa"/>
            <w:gridSpan w:val="2"/>
            <w:vAlign w:val="center"/>
          </w:tcPr>
          <w:p>
            <w:pPr>
              <w:jc w:val="center"/>
              <w:rPr>
                <w:rFonts w:eastAsia="仿宋_GB2312"/>
                <w:sz w:val="24"/>
              </w:rPr>
            </w:pPr>
            <w:r>
              <w:rPr>
                <w:rFonts w:hint="eastAsia" w:eastAsia="仿宋_GB2312"/>
                <w:sz w:val="24"/>
              </w:rPr>
              <w:t>设施</w:t>
            </w:r>
            <w:r>
              <w:rPr>
                <w:rFonts w:eastAsia="仿宋_GB2312"/>
                <w:sz w:val="24"/>
              </w:rPr>
              <w:t>正常运行</w:t>
            </w:r>
          </w:p>
        </w:tc>
        <w:tc>
          <w:tcPr>
            <w:tcW w:w="3036" w:type="dxa"/>
            <w:gridSpan w:val="3"/>
            <w:vAlign w:val="center"/>
          </w:tcPr>
          <w:p>
            <w:pPr>
              <w:jc w:val="center"/>
              <w:rPr>
                <w:rFonts w:eastAsia="仿宋_GB2312"/>
                <w:sz w:val="24"/>
              </w:rPr>
            </w:pPr>
            <w:r>
              <w:rPr>
                <w:rFonts w:hint="eastAsia" w:eastAsia="仿宋_GB2312"/>
                <w:sz w:val="24"/>
              </w:rPr>
              <w:t>设施</w:t>
            </w:r>
            <w:r>
              <w:rPr>
                <w:rFonts w:eastAsia="仿宋_GB2312"/>
                <w:sz w:val="24"/>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Align w:val="center"/>
          </w:tcPr>
          <w:p>
            <w:pPr>
              <w:spacing w:line="360" w:lineRule="exact"/>
              <w:jc w:val="center"/>
              <w:rPr>
                <w:rFonts w:eastAsia="仿宋_GB2312"/>
                <w:sz w:val="24"/>
              </w:rPr>
            </w:pPr>
            <w:r>
              <w:rPr>
                <w:rFonts w:eastAsia="仿宋_GB2312"/>
                <w:sz w:val="24"/>
              </w:rPr>
              <w:t>在时限内完成</w:t>
            </w:r>
          </w:p>
        </w:tc>
        <w:tc>
          <w:tcPr>
            <w:tcW w:w="1082" w:type="dxa"/>
            <w:gridSpan w:val="2"/>
            <w:vAlign w:val="center"/>
          </w:tcPr>
          <w:p>
            <w:pPr>
              <w:jc w:val="center"/>
              <w:rPr>
                <w:rFonts w:eastAsia="仿宋_GB2312"/>
                <w:sz w:val="24"/>
              </w:rPr>
            </w:pPr>
            <w:r>
              <w:rPr>
                <w:rFonts w:hint="eastAsia" w:eastAsia="仿宋_GB2312"/>
                <w:sz w:val="24"/>
              </w:rPr>
              <w:t>1个月</w:t>
            </w:r>
          </w:p>
        </w:tc>
        <w:tc>
          <w:tcPr>
            <w:tcW w:w="3036" w:type="dxa"/>
            <w:gridSpan w:val="3"/>
            <w:vAlign w:val="center"/>
          </w:tcPr>
          <w:p>
            <w:pPr>
              <w:jc w:val="center"/>
              <w:rPr>
                <w:rFonts w:eastAsia="仿宋_GB2312"/>
                <w:sz w:val="24"/>
              </w:rPr>
            </w:pPr>
            <w:r>
              <w:rPr>
                <w:rFonts w:hint="eastAsia" w:eastAsia="仿宋_GB2312"/>
                <w:sz w:val="24"/>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Align w:val="center"/>
          </w:tcPr>
          <w:p>
            <w:pPr>
              <w:spacing w:line="360" w:lineRule="exact"/>
              <w:jc w:val="center"/>
              <w:rPr>
                <w:rFonts w:eastAsia="仿宋_GB2312"/>
                <w:sz w:val="24"/>
              </w:rPr>
            </w:pPr>
            <w:r>
              <w:rPr>
                <w:rFonts w:eastAsia="仿宋_GB2312"/>
                <w:sz w:val="24"/>
              </w:rPr>
              <w:t>控制在成本内</w:t>
            </w:r>
          </w:p>
        </w:tc>
        <w:tc>
          <w:tcPr>
            <w:tcW w:w="1082" w:type="dxa"/>
            <w:gridSpan w:val="2"/>
            <w:vAlign w:val="center"/>
          </w:tcPr>
          <w:p>
            <w:pPr>
              <w:jc w:val="center"/>
              <w:rPr>
                <w:rFonts w:eastAsia="仿宋_GB2312"/>
                <w:sz w:val="24"/>
              </w:rPr>
            </w:pPr>
            <w:r>
              <w:rPr>
                <w:rFonts w:hint="eastAsia" w:eastAsia="仿宋_GB2312"/>
                <w:sz w:val="24"/>
              </w:rPr>
              <w:t>40.36万元</w:t>
            </w:r>
          </w:p>
        </w:tc>
        <w:tc>
          <w:tcPr>
            <w:tcW w:w="3036" w:type="dxa"/>
            <w:gridSpan w:val="3"/>
            <w:vAlign w:val="center"/>
          </w:tcPr>
          <w:p>
            <w:pPr>
              <w:jc w:val="center"/>
              <w:rPr>
                <w:rFonts w:eastAsia="仿宋_GB2312"/>
                <w:sz w:val="24"/>
              </w:rPr>
            </w:pPr>
            <w:r>
              <w:rPr>
                <w:rFonts w:hint="eastAsia" w:eastAsia="仿宋_GB2312"/>
                <w:sz w:val="24"/>
              </w:rPr>
              <w:t>40.36万元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eastAsia="仿宋_GB2312"/>
                <w:sz w:val="24"/>
              </w:rPr>
              <w:t>为空气污染防治提供信息资源</w:t>
            </w:r>
            <w:r>
              <w:rPr>
                <w:rFonts w:eastAsia="仿宋_GB2312"/>
                <w:sz w:val="24"/>
              </w:rPr>
              <w:t xml:space="preserve"> </w:t>
            </w:r>
          </w:p>
        </w:tc>
        <w:tc>
          <w:tcPr>
            <w:tcW w:w="1082" w:type="dxa"/>
            <w:gridSpan w:val="2"/>
            <w:vAlign w:val="center"/>
          </w:tcPr>
          <w:p>
            <w:pPr>
              <w:jc w:val="center"/>
              <w:rPr>
                <w:rFonts w:eastAsia="仿宋_GB2312"/>
                <w:sz w:val="24"/>
              </w:rPr>
            </w:pPr>
            <w:r>
              <w:rPr>
                <w:rFonts w:eastAsia="仿宋_GB2312"/>
                <w:sz w:val="24"/>
              </w:rPr>
              <w:t>环境经济正效益</w:t>
            </w:r>
          </w:p>
        </w:tc>
        <w:tc>
          <w:tcPr>
            <w:tcW w:w="3036" w:type="dxa"/>
            <w:gridSpan w:val="3"/>
            <w:vAlign w:val="center"/>
          </w:tcPr>
          <w:p>
            <w:pPr>
              <w:jc w:val="center"/>
              <w:rPr>
                <w:rFonts w:eastAsia="仿宋_GB2312"/>
                <w:sz w:val="24"/>
              </w:rPr>
            </w:pPr>
            <w:r>
              <w:rPr>
                <w:rFonts w:hint="eastAsia" w:eastAsia="仿宋_GB2312"/>
                <w:sz w:val="24"/>
              </w:rPr>
              <w:t>降低空气污染防治成本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ascii="仿宋_GB2312" w:hAnsi="宋体" w:eastAsia="仿宋_GB2312" w:cs="仿宋_GB2312"/>
                <w:color w:val="000000"/>
                <w:sz w:val="22"/>
              </w:rPr>
              <w:t>完善监测监管协同</w:t>
            </w:r>
          </w:p>
        </w:tc>
        <w:tc>
          <w:tcPr>
            <w:tcW w:w="1082" w:type="dxa"/>
            <w:gridSpan w:val="2"/>
            <w:vAlign w:val="center"/>
          </w:tcPr>
          <w:p>
            <w:pPr>
              <w:spacing w:line="360" w:lineRule="exact"/>
              <w:jc w:val="center"/>
              <w:rPr>
                <w:rFonts w:eastAsia="仿宋_GB2312"/>
                <w:sz w:val="24"/>
              </w:rPr>
            </w:pPr>
            <w:r>
              <w:rPr>
                <w:rFonts w:hint="eastAsia" w:ascii="仿宋_GB2312" w:hAnsi="宋体" w:eastAsia="仿宋_GB2312" w:cs="仿宋_GB2312"/>
                <w:color w:val="000000"/>
                <w:sz w:val="22"/>
              </w:rPr>
              <w:t>建成生态环境监测网络</w:t>
            </w:r>
          </w:p>
        </w:tc>
        <w:tc>
          <w:tcPr>
            <w:tcW w:w="3036" w:type="dxa"/>
            <w:gridSpan w:val="3"/>
            <w:vAlign w:val="center"/>
          </w:tcPr>
          <w:p>
            <w:pPr>
              <w:jc w:val="center"/>
              <w:rPr>
                <w:rFonts w:eastAsia="仿宋_GB2312"/>
                <w:sz w:val="24"/>
              </w:rPr>
            </w:pPr>
            <w:r>
              <w:rPr>
                <w:rFonts w:hint="eastAsia" w:ascii="仿宋_GB2312" w:hAnsi="宋体" w:eastAsia="仿宋_GB2312" w:cs="仿宋_GB2312"/>
                <w:color w:val="000000"/>
                <w:sz w:val="22"/>
              </w:rPr>
              <w:t>提升信息化能力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ascii="仿宋_GB2312" w:hAnsi="宋体" w:eastAsia="仿宋_GB2312" w:cs="仿宋_GB2312"/>
                <w:color w:val="000000"/>
                <w:sz w:val="22"/>
              </w:rPr>
              <w:t>完善空气质量在线监控体系</w:t>
            </w:r>
          </w:p>
        </w:tc>
        <w:tc>
          <w:tcPr>
            <w:tcW w:w="1082" w:type="dxa"/>
            <w:gridSpan w:val="2"/>
            <w:vAlign w:val="center"/>
          </w:tcPr>
          <w:p>
            <w:pPr>
              <w:spacing w:line="360" w:lineRule="exact"/>
              <w:jc w:val="center"/>
              <w:rPr>
                <w:rFonts w:eastAsia="仿宋_GB2312"/>
                <w:sz w:val="24"/>
              </w:rPr>
            </w:pPr>
            <w:r>
              <w:rPr>
                <w:rFonts w:ascii="仿宋_GB2312" w:hAnsi="宋体" w:eastAsia="仿宋_GB2312" w:cs="仿宋_GB2312"/>
                <w:color w:val="000000"/>
                <w:sz w:val="22"/>
              </w:rPr>
              <w:t>强化空气污染防治体系</w:t>
            </w:r>
          </w:p>
        </w:tc>
        <w:tc>
          <w:tcPr>
            <w:tcW w:w="3036" w:type="dxa"/>
            <w:gridSpan w:val="3"/>
            <w:vAlign w:val="center"/>
          </w:tcPr>
          <w:p>
            <w:pPr>
              <w:jc w:val="center"/>
              <w:rPr>
                <w:rFonts w:eastAsia="仿宋_GB2312"/>
                <w:sz w:val="24"/>
              </w:rPr>
            </w:pPr>
            <w:r>
              <w:rPr>
                <w:rFonts w:hint="eastAsia" w:ascii="仿宋_GB2312" w:hAnsi="宋体" w:eastAsia="仿宋_GB2312" w:cs="仿宋_GB2312"/>
                <w:color w:val="000000"/>
                <w:sz w:val="22"/>
              </w:rPr>
              <w:t>提高空气污染防治能力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360" w:lineRule="exact"/>
              <w:jc w:val="center"/>
              <w:rPr>
                <w:rFonts w:eastAsia="仿宋_GB2312"/>
                <w:sz w:val="24"/>
              </w:rPr>
            </w:pPr>
            <w:r>
              <w:rPr>
                <w:rFonts w:eastAsia="仿宋_GB2312"/>
                <w:sz w:val="24"/>
              </w:rPr>
              <w:t>群众满意度</w:t>
            </w:r>
          </w:p>
        </w:tc>
        <w:tc>
          <w:tcPr>
            <w:tcW w:w="1082" w:type="dxa"/>
            <w:gridSpan w:val="2"/>
            <w:vAlign w:val="center"/>
          </w:tcPr>
          <w:p>
            <w:pPr>
              <w:jc w:val="center"/>
              <w:rPr>
                <w:rFonts w:eastAsia="仿宋_GB2312"/>
                <w:sz w:val="24"/>
              </w:rPr>
            </w:pPr>
            <w:r>
              <w:rPr>
                <w:rFonts w:hint="eastAsia" w:eastAsia="仿宋_GB2312"/>
                <w:sz w:val="24"/>
              </w:rPr>
              <w:t>90%</w:t>
            </w:r>
          </w:p>
        </w:tc>
        <w:tc>
          <w:tcPr>
            <w:tcW w:w="3036" w:type="dxa"/>
            <w:gridSpan w:val="3"/>
            <w:vAlign w:val="center"/>
          </w:tcPr>
          <w:p>
            <w:pPr>
              <w:jc w:val="center"/>
              <w:rPr>
                <w:rFonts w:eastAsia="仿宋_GB2312"/>
                <w:sz w:val="24"/>
              </w:rPr>
            </w:pPr>
            <w:r>
              <w:rPr>
                <w:rFonts w:hint="eastAsia"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eastAsia="仿宋_GB2312"/>
                <w:sz w:val="24"/>
              </w:rPr>
            </w:pPr>
            <w:r>
              <w:rPr>
                <w:rFonts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2264" w:type="dxa"/>
            <w:gridSpan w:val="3"/>
            <w:vAlign w:val="center"/>
          </w:tcPr>
          <w:p>
            <w:pPr>
              <w:rPr>
                <w:rFonts w:eastAsia="仿宋_GB2312"/>
                <w:sz w:val="24"/>
              </w:rPr>
            </w:pPr>
            <w:r>
              <w:rPr>
                <w:rFonts w:eastAsia="仿宋_GB2312"/>
                <w:sz w:val="24"/>
              </w:rPr>
              <w:t>卢奕良</w:t>
            </w:r>
          </w:p>
        </w:tc>
        <w:tc>
          <w:tcPr>
            <w:tcW w:w="2332" w:type="dxa"/>
            <w:gridSpan w:val="4"/>
            <w:vAlign w:val="center"/>
          </w:tcPr>
          <w:p>
            <w:pPr>
              <w:jc w:val="center"/>
              <w:rPr>
                <w:rFonts w:eastAsia="仿宋_GB2312"/>
                <w:sz w:val="24"/>
              </w:rPr>
            </w:pPr>
            <w:r>
              <w:rPr>
                <w:rFonts w:eastAsia="仿宋_GB2312"/>
                <w:sz w:val="24"/>
              </w:rPr>
              <w:t>局长</w:t>
            </w:r>
          </w:p>
        </w:tc>
        <w:tc>
          <w:tcPr>
            <w:tcW w:w="1950" w:type="dxa"/>
            <w:gridSpan w:val="4"/>
            <w:vAlign w:val="center"/>
          </w:tcPr>
          <w:p>
            <w:pPr>
              <w:rPr>
                <w:rFonts w:eastAsia="仿宋_GB2312"/>
                <w:sz w:val="24"/>
              </w:rPr>
            </w:pPr>
            <w:r>
              <w:rPr>
                <w:rFonts w:eastAsia="仿宋_GB2312"/>
                <w:sz w:val="24"/>
              </w:rPr>
              <w:t>城陵矶新港区生态环境分局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2264" w:type="dxa"/>
            <w:gridSpan w:val="3"/>
            <w:vAlign w:val="center"/>
          </w:tcPr>
          <w:p>
            <w:pPr>
              <w:rPr>
                <w:rFonts w:eastAsia="仿宋_GB2312"/>
                <w:sz w:val="24"/>
              </w:rPr>
            </w:pPr>
            <w:r>
              <w:rPr>
                <w:rFonts w:eastAsia="仿宋_GB2312"/>
                <w:sz w:val="24"/>
              </w:rPr>
              <w:t>喻方琴</w:t>
            </w:r>
          </w:p>
        </w:tc>
        <w:tc>
          <w:tcPr>
            <w:tcW w:w="2332" w:type="dxa"/>
            <w:gridSpan w:val="4"/>
            <w:vAlign w:val="center"/>
          </w:tcPr>
          <w:p>
            <w:pPr>
              <w:jc w:val="center"/>
              <w:rPr>
                <w:rFonts w:eastAsia="仿宋_GB2312"/>
                <w:sz w:val="24"/>
              </w:rPr>
            </w:pPr>
            <w:r>
              <w:rPr>
                <w:rFonts w:hint="eastAsia" w:eastAsia="仿宋_GB2312"/>
                <w:sz w:val="24"/>
              </w:rPr>
              <w:t>副局长</w:t>
            </w:r>
          </w:p>
        </w:tc>
        <w:tc>
          <w:tcPr>
            <w:tcW w:w="1950" w:type="dxa"/>
            <w:gridSpan w:val="4"/>
            <w:vAlign w:val="center"/>
          </w:tcPr>
          <w:p>
            <w:pPr>
              <w:rPr>
                <w:rFonts w:eastAsia="仿宋_GB2312"/>
                <w:sz w:val="24"/>
              </w:rPr>
            </w:pPr>
            <w:r>
              <w:rPr>
                <w:rFonts w:eastAsia="仿宋_GB2312"/>
                <w:sz w:val="24"/>
              </w:rPr>
              <w:t>城陵矶新港区生态环境分局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2264" w:type="dxa"/>
            <w:gridSpan w:val="3"/>
            <w:vAlign w:val="center"/>
          </w:tcPr>
          <w:p>
            <w:pPr>
              <w:rPr>
                <w:rFonts w:eastAsia="仿宋_GB2312"/>
                <w:sz w:val="24"/>
              </w:rPr>
            </w:pPr>
            <w:r>
              <w:rPr>
                <w:rFonts w:hint="eastAsia" w:eastAsia="仿宋_GB2312"/>
                <w:sz w:val="24"/>
              </w:rPr>
              <w:t>朱龙</w:t>
            </w:r>
          </w:p>
        </w:tc>
        <w:tc>
          <w:tcPr>
            <w:tcW w:w="2332" w:type="dxa"/>
            <w:gridSpan w:val="4"/>
            <w:vAlign w:val="center"/>
          </w:tcPr>
          <w:p>
            <w:pPr>
              <w:jc w:val="center"/>
              <w:rPr>
                <w:rFonts w:eastAsia="仿宋_GB2312"/>
                <w:sz w:val="24"/>
              </w:rPr>
            </w:pPr>
            <w:r>
              <w:rPr>
                <w:rFonts w:eastAsia="仿宋_GB2312"/>
                <w:sz w:val="24"/>
              </w:rPr>
              <w:t>科员</w:t>
            </w:r>
          </w:p>
        </w:tc>
        <w:tc>
          <w:tcPr>
            <w:tcW w:w="1950" w:type="dxa"/>
            <w:gridSpan w:val="4"/>
            <w:vAlign w:val="center"/>
          </w:tcPr>
          <w:p>
            <w:pPr>
              <w:rPr>
                <w:rFonts w:eastAsia="仿宋_GB2312"/>
                <w:sz w:val="24"/>
              </w:rPr>
            </w:pPr>
            <w:r>
              <w:rPr>
                <w:rFonts w:eastAsia="仿宋_GB2312"/>
                <w:sz w:val="24"/>
              </w:rPr>
              <w:t>城陵矶新港区生态环境分局</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94" w:firstLineChars="200"/>
              <w:rPr>
                <w:rFonts w:eastAsia="仿宋_GB2312"/>
                <w:sz w:val="30"/>
                <w:szCs w:val="30"/>
              </w:rPr>
            </w:pPr>
            <w:r>
              <w:rPr>
                <w:rFonts w:hint="eastAsia" w:eastAsia="仿宋_GB2312"/>
                <w:sz w:val="30"/>
                <w:szCs w:val="30"/>
              </w:rPr>
              <w:t>（一）项目基本概况</w:t>
            </w:r>
          </w:p>
          <w:p>
            <w:pPr>
              <w:spacing w:line="560" w:lineRule="exact"/>
              <w:ind w:firstLine="594" w:firstLineChars="200"/>
              <w:rPr>
                <w:rFonts w:eastAsia="仿宋_GB2312"/>
                <w:sz w:val="30"/>
                <w:szCs w:val="30"/>
              </w:rPr>
            </w:pPr>
            <w:r>
              <w:rPr>
                <w:rFonts w:hint="eastAsia" w:eastAsia="仿宋_GB2312"/>
                <w:sz w:val="30"/>
                <w:szCs w:val="30"/>
              </w:rPr>
              <w:t>通过建设网格化空气质量在线监管体系，对港区空气质量可以实现网格化监测。在此基础上，为污染物减排提供有效的数据支撑，制定科学方案，最大程度的减少对经济生活的影响。</w:t>
            </w:r>
          </w:p>
          <w:p>
            <w:pPr>
              <w:spacing w:line="560" w:lineRule="exact"/>
              <w:ind w:firstLine="594" w:firstLineChars="200"/>
              <w:rPr>
                <w:rFonts w:eastAsia="仿宋_GB2312"/>
                <w:sz w:val="30"/>
                <w:szCs w:val="30"/>
              </w:rPr>
            </w:pPr>
            <w:r>
              <w:rPr>
                <w:rFonts w:hint="eastAsia" w:eastAsia="仿宋_GB2312"/>
                <w:sz w:val="30"/>
                <w:szCs w:val="30"/>
              </w:rPr>
              <w:t>（二）项目资金使用及管理情况</w:t>
            </w:r>
          </w:p>
          <w:p>
            <w:pPr>
              <w:spacing w:line="560" w:lineRule="exact"/>
              <w:ind w:left="68" w:leftChars="33" w:firstLine="594" w:firstLineChars="200"/>
              <w:rPr>
                <w:rFonts w:eastAsia="仿宋_GB2312"/>
                <w:sz w:val="30"/>
                <w:szCs w:val="30"/>
              </w:rPr>
            </w:pPr>
            <w:r>
              <w:rPr>
                <w:rFonts w:hint="eastAsia" w:eastAsia="仿宋_GB2312"/>
                <w:sz w:val="30"/>
                <w:szCs w:val="30"/>
              </w:rPr>
              <w:t>支出依据合规，无虚列项目支出情况；无截留挤占挪用情况；无超标准开支情况；资金管理、费用支出等制度健全；制度执行严格。</w:t>
            </w:r>
          </w:p>
          <w:p>
            <w:pPr>
              <w:spacing w:line="560" w:lineRule="exact"/>
              <w:ind w:firstLine="594" w:firstLineChars="200"/>
              <w:rPr>
                <w:rFonts w:eastAsia="仿宋_GB2312"/>
                <w:sz w:val="30"/>
                <w:szCs w:val="30"/>
              </w:rPr>
            </w:pPr>
            <w:r>
              <w:rPr>
                <w:rFonts w:hint="eastAsia" w:eastAsia="仿宋_GB2312"/>
                <w:sz w:val="30"/>
                <w:szCs w:val="30"/>
              </w:rPr>
              <w:t>（三）项目组织实施情况</w:t>
            </w:r>
          </w:p>
          <w:p>
            <w:pPr>
              <w:spacing w:line="560" w:lineRule="exact"/>
              <w:ind w:firstLine="594" w:firstLineChars="200"/>
              <w:rPr>
                <w:rFonts w:eastAsia="仿宋_GB2312"/>
                <w:sz w:val="30"/>
                <w:szCs w:val="30"/>
              </w:rPr>
            </w:pPr>
            <w:r>
              <w:rPr>
                <w:rFonts w:eastAsia="仿宋_GB2312"/>
                <w:sz w:val="30"/>
                <w:szCs w:val="30"/>
              </w:rPr>
              <w:t>该项目通过政府采购程序</w:t>
            </w:r>
            <w:r>
              <w:rPr>
                <w:rFonts w:hint="eastAsia" w:eastAsia="仿宋_GB2312"/>
                <w:sz w:val="30"/>
                <w:szCs w:val="30"/>
              </w:rPr>
              <w:t>，</w:t>
            </w:r>
            <w:r>
              <w:rPr>
                <w:rFonts w:eastAsia="仿宋_GB2312"/>
                <w:sz w:val="30"/>
                <w:szCs w:val="30"/>
              </w:rPr>
              <w:t>最终有资质的</w:t>
            </w:r>
            <w:r>
              <w:rPr>
                <w:rFonts w:hint="eastAsia" w:eastAsia="仿宋_GB2312"/>
                <w:sz w:val="30"/>
                <w:szCs w:val="30"/>
              </w:rPr>
              <w:t>湖南</w:t>
            </w:r>
            <w:r>
              <w:rPr>
                <w:rFonts w:eastAsia="仿宋_GB2312"/>
                <w:sz w:val="30"/>
                <w:szCs w:val="30"/>
              </w:rPr>
              <w:t>创阳环保科技有限公司中标</w:t>
            </w:r>
            <w:r>
              <w:rPr>
                <w:rFonts w:hint="eastAsia" w:eastAsia="仿宋_GB2312"/>
                <w:sz w:val="30"/>
                <w:szCs w:val="30"/>
              </w:rPr>
              <w:t>。2020年7月启动项目，1个月内完成环境空气质量自动监测系统2套、环境空气质量在线自动监测平台1套、数据库软件1套开发建设。</w:t>
            </w:r>
          </w:p>
          <w:p>
            <w:pPr>
              <w:spacing w:line="560" w:lineRule="exact"/>
              <w:ind w:firstLine="594" w:firstLineChars="200"/>
              <w:rPr>
                <w:rFonts w:eastAsia="仿宋_GB2312"/>
                <w:sz w:val="30"/>
                <w:szCs w:val="30"/>
              </w:rPr>
            </w:pPr>
            <w:r>
              <w:rPr>
                <w:rFonts w:hint="eastAsia" w:eastAsia="仿宋_GB2312"/>
                <w:sz w:val="30"/>
                <w:szCs w:val="30"/>
              </w:rPr>
              <w:t>（四）综合评价情况及评价结论</w:t>
            </w:r>
          </w:p>
          <w:p>
            <w:pPr>
              <w:spacing w:line="560" w:lineRule="exact"/>
              <w:ind w:firstLine="594" w:firstLineChars="200"/>
              <w:rPr>
                <w:rFonts w:eastAsia="仿宋_GB2312"/>
                <w:sz w:val="30"/>
                <w:szCs w:val="30"/>
              </w:rPr>
            </w:pPr>
            <w:r>
              <w:rPr>
                <w:rFonts w:hint="eastAsia" w:eastAsia="仿宋_GB2312"/>
                <w:sz w:val="30"/>
                <w:szCs w:val="30"/>
              </w:rPr>
              <w:t>项目综合评分为100分，综合评价结论为优。</w:t>
            </w:r>
          </w:p>
          <w:p>
            <w:pPr>
              <w:spacing w:line="560" w:lineRule="exact"/>
              <w:ind w:firstLine="594" w:firstLineChars="200"/>
              <w:rPr>
                <w:rFonts w:eastAsia="仿宋_GB2312"/>
                <w:sz w:val="30"/>
                <w:szCs w:val="30"/>
              </w:rPr>
            </w:pPr>
            <w:r>
              <w:rPr>
                <w:rFonts w:hint="eastAsia" w:eastAsia="仿宋_GB2312"/>
                <w:sz w:val="30"/>
                <w:szCs w:val="30"/>
              </w:rPr>
              <w:t>（五）项目主要绩效情况分析</w:t>
            </w:r>
          </w:p>
          <w:p>
            <w:pPr>
              <w:spacing w:line="560" w:lineRule="exact"/>
              <w:ind w:firstLine="594" w:firstLineChars="200"/>
              <w:rPr>
                <w:rFonts w:eastAsia="仿宋_GB2312"/>
                <w:sz w:val="30"/>
                <w:szCs w:val="30"/>
              </w:rPr>
            </w:pPr>
            <w:r>
              <w:rPr>
                <w:rFonts w:hint="eastAsia" w:eastAsia="仿宋_GB2312"/>
                <w:sz w:val="30"/>
                <w:szCs w:val="30"/>
              </w:rPr>
              <w:t>结合信息化大数据的应用平台，实现实时采集数据传输、实时监控空气环境质量、实现在线数据查询、时空动态趋势分析、自动预警预报、环保信息综合分析等功能，为空气污染防治工作提供信息资源和及时有效的决策支持。</w:t>
            </w:r>
          </w:p>
          <w:p>
            <w:pPr>
              <w:spacing w:line="560" w:lineRule="exact"/>
              <w:ind w:firstLine="594"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594" w:firstLineChars="200"/>
              <w:rPr>
                <w:rFonts w:eastAsia="楷体_GB2312"/>
                <w:bCs/>
                <w:sz w:val="28"/>
                <w:szCs w:val="28"/>
              </w:rPr>
            </w:pPr>
            <w:r>
              <w:rPr>
                <w:rFonts w:hint="eastAsia" w:eastAsia="仿宋_GB2312"/>
                <w:sz w:val="30"/>
                <w:szCs w:val="30"/>
              </w:rPr>
              <w:t>无</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70C3F"/>
    <w:multiLevelType w:val="multilevel"/>
    <w:tmpl w:val="55C70C3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21AC"/>
    <w:rsid w:val="00005DF5"/>
    <w:rsid w:val="00026EDF"/>
    <w:rsid w:val="000907A7"/>
    <w:rsid w:val="000B04EC"/>
    <w:rsid w:val="000B10DA"/>
    <w:rsid w:val="000D2C50"/>
    <w:rsid w:val="000D35DF"/>
    <w:rsid w:val="000D6385"/>
    <w:rsid w:val="000E0C52"/>
    <w:rsid w:val="000E44B2"/>
    <w:rsid w:val="000F2261"/>
    <w:rsid w:val="001274A6"/>
    <w:rsid w:val="001477FB"/>
    <w:rsid w:val="001A3ADE"/>
    <w:rsid w:val="001A6003"/>
    <w:rsid w:val="001D0882"/>
    <w:rsid w:val="001D59FA"/>
    <w:rsid w:val="001E757A"/>
    <w:rsid w:val="001F769E"/>
    <w:rsid w:val="002228C6"/>
    <w:rsid w:val="002319A0"/>
    <w:rsid w:val="00241C05"/>
    <w:rsid w:val="00244B21"/>
    <w:rsid w:val="002903DD"/>
    <w:rsid w:val="002908F0"/>
    <w:rsid w:val="002B101B"/>
    <w:rsid w:val="002F390D"/>
    <w:rsid w:val="0030296E"/>
    <w:rsid w:val="00394B7F"/>
    <w:rsid w:val="003B56A9"/>
    <w:rsid w:val="003B709B"/>
    <w:rsid w:val="003C08FC"/>
    <w:rsid w:val="003D0A51"/>
    <w:rsid w:val="003F0034"/>
    <w:rsid w:val="003F6FBE"/>
    <w:rsid w:val="00423A7B"/>
    <w:rsid w:val="00430B54"/>
    <w:rsid w:val="00497775"/>
    <w:rsid w:val="004A175A"/>
    <w:rsid w:val="004B0C69"/>
    <w:rsid w:val="004B269B"/>
    <w:rsid w:val="004C380E"/>
    <w:rsid w:val="004E15CD"/>
    <w:rsid w:val="004E4D39"/>
    <w:rsid w:val="00532371"/>
    <w:rsid w:val="005549BF"/>
    <w:rsid w:val="00557CE8"/>
    <w:rsid w:val="00564E7D"/>
    <w:rsid w:val="005725E6"/>
    <w:rsid w:val="005901A2"/>
    <w:rsid w:val="00595358"/>
    <w:rsid w:val="005961D8"/>
    <w:rsid w:val="005A5CEA"/>
    <w:rsid w:val="005E5F54"/>
    <w:rsid w:val="00604AE8"/>
    <w:rsid w:val="00632C0B"/>
    <w:rsid w:val="0066251B"/>
    <w:rsid w:val="0067543D"/>
    <w:rsid w:val="00682829"/>
    <w:rsid w:val="006C4524"/>
    <w:rsid w:val="006D5D56"/>
    <w:rsid w:val="00700961"/>
    <w:rsid w:val="00701987"/>
    <w:rsid w:val="00736EFE"/>
    <w:rsid w:val="007437E4"/>
    <w:rsid w:val="007556ED"/>
    <w:rsid w:val="00773BC9"/>
    <w:rsid w:val="007928AF"/>
    <w:rsid w:val="00796AD5"/>
    <w:rsid w:val="007B1988"/>
    <w:rsid w:val="0080718A"/>
    <w:rsid w:val="00816B66"/>
    <w:rsid w:val="008613DB"/>
    <w:rsid w:val="008671CE"/>
    <w:rsid w:val="008766B7"/>
    <w:rsid w:val="00880D72"/>
    <w:rsid w:val="00893926"/>
    <w:rsid w:val="00895144"/>
    <w:rsid w:val="008F291E"/>
    <w:rsid w:val="00902843"/>
    <w:rsid w:val="00904DA1"/>
    <w:rsid w:val="00914A31"/>
    <w:rsid w:val="00942A92"/>
    <w:rsid w:val="009A306D"/>
    <w:rsid w:val="009A6E11"/>
    <w:rsid w:val="009C67E8"/>
    <w:rsid w:val="00A33916"/>
    <w:rsid w:val="00AA16BE"/>
    <w:rsid w:val="00AD105F"/>
    <w:rsid w:val="00AD574C"/>
    <w:rsid w:val="00AE7617"/>
    <w:rsid w:val="00B32B1E"/>
    <w:rsid w:val="00B73347"/>
    <w:rsid w:val="00B735BC"/>
    <w:rsid w:val="00B80BBB"/>
    <w:rsid w:val="00B84DDE"/>
    <w:rsid w:val="00B964F2"/>
    <w:rsid w:val="00BC7F9A"/>
    <w:rsid w:val="00BF3858"/>
    <w:rsid w:val="00C111C8"/>
    <w:rsid w:val="00C473A5"/>
    <w:rsid w:val="00C54F0E"/>
    <w:rsid w:val="00C747E0"/>
    <w:rsid w:val="00C778EA"/>
    <w:rsid w:val="00CE7209"/>
    <w:rsid w:val="00D26650"/>
    <w:rsid w:val="00D33D86"/>
    <w:rsid w:val="00D41F2D"/>
    <w:rsid w:val="00D42A74"/>
    <w:rsid w:val="00D62C9D"/>
    <w:rsid w:val="00D7081E"/>
    <w:rsid w:val="00D91125"/>
    <w:rsid w:val="00DB2C5A"/>
    <w:rsid w:val="00DB5A46"/>
    <w:rsid w:val="00DC0295"/>
    <w:rsid w:val="00DC5AFB"/>
    <w:rsid w:val="00DE2FF2"/>
    <w:rsid w:val="00DF1BBB"/>
    <w:rsid w:val="00DF6725"/>
    <w:rsid w:val="00E3012B"/>
    <w:rsid w:val="00E55E4B"/>
    <w:rsid w:val="00E60FCA"/>
    <w:rsid w:val="00EA1E6B"/>
    <w:rsid w:val="00EB2748"/>
    <w:rsid w:val="00F521AC"/>
    <w:rsid w:val="00F7441E"/>
    <w:rsid w:val="00F74B28"/>
    <w:rsid w:val="00F86472"/>
    <w:rsid w:val="00FC7606"/>
    <w:rsid w:val="025E0E2C"/>
    <w:rsid w:val="21DE1912"/>
    <w:rsid w:val="2A6D1036"/>
    <w:rsid w:val="30DF318F"/>
    <w:rsid w:val="36AD3559"/>
    <w:rsid w:val="3C12626D"/>
    <w:rsid w:val="46EF7542"/>
    <w:rsid w:val="5AD730F4"/>
    <w:rsid w:val="6AD16123"/>
    <w:rsid w:val="6CA13E77"/>
    <w:rsid w:val="77FA7304"/>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themeColor="hyperlink"/>
      <w:u w:val="singl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character" w:customStyle="1" w:styleId="14">
    <w:name w:val="正文文本缩进 2 Char"/>
    <w:basedOn w:val="7"/>
    <w:link w:val="2"/>
    <w:qFormat/>
    <w:uiPriority w:val="0"/>
    <w:rPr>
      <w:rFonts w:ascii="仿宋_GB2312" w:hAnsi="Calibri" w:eastAsia="仿宋_GB2312" w:cs="Times New Roman"/>
      <w:sz w:val="32"/>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2909</Words>
  <Characters>16585</Characters>
  <Lines>138</Lines>
  <Paragraphs>38</Paragraphs>
  <TotalTime>0</TotalTime>
  <ScaleCrop>false</ScaleCrop>
  <LinksUpToDate>false</LinksUpToDate>
  <CharactersWithSpaces>19456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肖志芳</cp:lastModifiedBy>
  <cp:lastPrinted>2021-07-23T09:19:00Z</cp:lastPrinted>
  <dcterms:modified xsi:type="dcterms:W3CDTF">2021-08-26T07:39:31Z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7A39C0F03D08436D96AAC10E373ABD04</vt:lpwstr>
  </property>
</Properties>
</file>