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right="600"/>
        <w:jc w:val="right"/>
        <w:rPr>
          <w:rFonts w:hint="eastAsia" w:ascii="华文仿宋" w:hAnsi="华文仿宋" w:eastAsia="华文仿宋"/>
          <w:color w:val="000000"/>
          <w:sz w:val="30"/>
          <w:szCs w:val="30"/>
        </w:rPr>
      </w:pPr>
    </w:p>
    <w:p>
      <w:pPr>
        <w:spacing w:line="590" w:lineRule="exact"/>
        <w:jc w:val="center"/>
        <w:rPr>
          <w:rFonts w:eastAsia="方正小标宋简体"/>
          <w:color w:val="000000"/>
          <w:kern w:val="0"/>
          <w:sz w:val="32"/>
          <w:szCs w:val="32"/>
        </w:rPr>
      </w:pPr>
      <w:r>
        <w:rPr>
          <w:rFonts w:hint="eastAsia" w:eastAsia="方正小标宋简体"/>
          <w:color w:val="000000"/>
          <w:kern w:val="0"/>
          <w:sz w:val="44"/>
          <w:szCs w:val="44"/>
          <w:lang w:eastAsia="zh-CN"/>
        </w:rPr>
        <w:t>岳阳市市本级</w:t>
      </w:r>
      <w:r>
        <w:rPr>
          <w:rFonts w:eastAsia="方正小标宋简体"/>
          <w:color w:val="000000"/>
          <w:kern w:val="0"/>
          <w:sz w:val="44"/>
          <w:szCs w:val="44"/>
        </w:rPr>
        <w:t>财政投资评审</w:t>
      </w:r>
      <w:r>
        <w:rPr>
          <w:rFonts w:hint="eastAsia" w:eastAsia="方正小标宋简体"/>
          <w:color w:val="000000"/>
          <w:kern w:val="0"/>
          <w:sz w:val="44"/>
          <w:szCs w:val="44"/>
        </w:rPr>
        <w:t>业务</w:t>
      </w:r>
      <w:r>
        <w:rPr>
          <w:rFonts w:hint="eastAsia" w:eastAsia="方正小标宋简体"/>
          <w:color w:val="000000"/>
          <w:kern w:val="0"/>
          <w:sz w:val="44"/>
          <w:szCs w:val="44"/>
          <w:lang w:val="en-US" w:eastAsia="zh-CN"/>
        </w:rPr>
        <w:t xml:space="preserve">          </w:t>
      </w:r>
      <w:r>
        <w:rPr>
          <w:rFonts w:hint="eastAsia" w:eastAsia="方正小标宋简体"/>
          <w:color w:val="000000"/>
          <w:kern w:val="0"/>
          <w:sz w:val="44"/>
          <w:szCs w:val="44"/>
        </w:rPr>
        <w:t>委托</w:t>
      </w:r>
      <w:r>
        <w:rPr>
          <w:rFonts w:eastAsia="方正小标宋简体"/>
          <w:color w:val="000000"/>
          <w:kern w:val="0"/>
          <w:sz w:val="44"/>
          <w:szCs w:val="44"/>
        </w:rPr>
        <w:t>管理</w:t>
      </w:r>
      <w:r>
        <w:rPr>
          <w:rFonts w:hint="eastAsia" w:eastAsia="方正小标宋简体"/>
          <w:color w:val="000000"/>
          <w:kern w:val="0"/>
          <w:sz w:val="44"/>
          <w:szCs w:val="44"/>
        </w:rPr>
        <w:t>暂行办法</w:t>
      </w:r>
      <w:bookmarkStart w:id="0" w:name="_GoBack"/>
      <w:bookmarkEnd w:id="0"/>
    </w:p>
    <w:p>
      <w:pPr>
        <w:spacing w:line="590" w:lineRule="exact"/>
        <w:ind w:firstLine="640" w:firstLineChars="200"/>
        <w:jc w:val="left"/>
        <w:rPr>
          <w:rFonts w:eastAsia="黑体"/>
          <w:color w:val="000000"/>
          <w:kern w:val="0"/>
          <w:sz w:val="32"/>
          <w:szCs w:val="32"/>
        </w:rPr>
      </w:pPr>
    </w:p>
    <w:p>
      <w:pPr>
        <w:spacing w:line="590" w:lineRule="exact"/>
        <w:ind w:firstLine="640" w:firstLineChars="200"/>
        <w:jc w:val="left"/>
        <w:rPr>
          <w:rFonts w:eastAsia="微软雅黑"/>
          <w:color w:val="000000"/>
          <w:kern w:val="0"/>
          <w:szCs w:val="21"/>
        </w:rPr>
      </w:pPr>
      <w:r>
        <w:rPr>
          <w:rFonts w:eastAsia="黑体"/>
          <w:color w:val="000000"/>
          <w:kern w:val="0"/>
          <w:sz w:val="32"/>
          <w:szCs w:val="32"/>
        </w:rPr>
        <w:t>第一条</w:t>
      </w:r>
      <w:r>
        <w:rPr>
          <w:rFonts w:eastAsia="仿宋_GB2312"/>
          <w:color w:val="000000"/>
          <w:kern w:val="0"/>
          <w:sz w:val="32"/>
          <w:szCs w:val="32"/>
        </w:rPr>
        <w:t xml:space="preserve"> 为保证财政投资评审工作质量，提高评审效率，规范财政投资评审</w:t>
      </w:r>
      <w:r>
        <w:rPr>
          <w:rFonts w:hint="eastAsia" w:eastAsia="仿宋_GB2312"/>
          <w:color w:val="000000"/>
          <w:kern w:val="0"/>
          <w:sz w:val="32"/>
          <w:szCs w:val="32"/>
        </w:rPr>
        <w:t>业务委托</w:t>
      </w:r>
      <w:r>
        <w:rPr>
          <w:rFonts w:eastAsia="仿宋_GB2312"/>
          <w:color w:val="000000"/>
          <w:kern w:val="0"/>
          <w:sz w:val="32"/>
          <w:szCs w:val="32"/>
        </w:rPr>
        <w:t>，</w:t>
      </w:r>
      <w:r>
        <w:rPr>
          <w:rFonts w:hint="eastAsia" w:eastAsia="仿宋_GB2312"/>
          <w:color w:val="000000"/>
          <w:kern w:val="0"/>
          <w:sz w:val="32"/>
          <w:szCs w:val="32"/>
        </w:rPr>
        <w:t>依据《中华人民共和国政府采购法》、</w:t>
      </w:r>
      <w:r>
        <w:rPr>
          <w:rFonts w:hint="eastAsia" w:ascii="仿宋_GB2312" w:eastAsia="仿宋_GB2312"/>
          <w:color w:val="000000"/>
          <w:sz w:val="32"/>
          <w:szCs w:val="32"/>
        </w:rPr>
        <w:t>《财政投资评审管理规定》（财建〔2009〕648号）等法律和行政规定，制定本规定。</w:t>
      </w:r>
    </w:p>
    <w:p>
      <w:pPr>
        <w:pStyle w:val="4"/>
        <w:spacing w:before="240" w:beforeAutospacing="0" w:after="240" w:afterAutospacing="0" w:line="555" w:lineRule="atLeast"/>
        <w:ind w:firstLine="645"/>
        <w:jc w:val="both"/>
        <w:rPr>
          <w:color w:val="000000"/>
        </w:rPr>
      </w:pPr>
      <w:r>
        <w:rPr>
          <w:rFonts w:eastAsia="黑体"/>
          <w:color w:val="000000"/>
          <w:sz w:val="32"/>
          <w:szCs w:val="32"/>
        </w:rPr>
        <w:t>第二条</w:t>
      </w:r>
      <w:r>
        <w:rPr>
          <w:rFonts w:hint="eastAsia" w:eastAsia="黑体"/>
          <w:color w:val="000000"/>
          <w:sz w:val="32"/>
          <w:szCs w:val="32"/>
        </w:rPr>
        <w:t xml:space="preserve"> </w:t>
      </w:r>
      <w:r>
        <w:rPr>
          <w:rFonts w:hint="eastAsia" w:ascii="仿宋_GB2312" w:eastAsia="仿宋_GB2312"/>
          <w:color w:val="000000"/>
          <w:sz w:val="32"/>
          <w:szCs w:val="32"/>
        </w:rPr>
        <w:t>财政投资评审业务包括对</w:t>
      </w:r>
      <w:r>
        <w:rPr>
          <w:color w:val="000000"/>
        </w:rPr>
        <w:fldChar w:fldCharType="begin"/>
      </w:r>
      <w:r>
        <w:rPr>
          <w:color w:val="000000"/>
        </w:rPr>
        <w:instrText xml:space="preserve">HYPERLINK "https://baike.sogou.com/lemma/ShowInnerLink.htm?lemmaId=34799&amp;ss_c=ssc.citiao.link"</w:instrText>
      </w:r>
      <w:r>
        <w:rPr>
          <w:color w:val="000000"/>
        </w:rPr>
        <w:fldChar w:fldCharType="separate"/>
      </w:r>
      <w:r>
        <w:rPr>
          <w:rStyle w:val="7"/>
          <w:rFonts w:hint="eastAsia" w:ascii="仿宋_GB2312" w:eastAsia="仿宋_GB2312"/>
          <w:color w:val="000000"/>
          <w:sz w:val="32"/>
          <w:szCs w:val="32"/>
          <w:u w:val="none"/>
        </w:rPr>
        <w:t>财政性资金</w:t>
      </w:r>
      <w:r>
        <w:rPr>
          <w:color w:val="000000"/>
        </w:rPr>
        <w:fldChar w:fldCharType="end"/>
      </w:r>
      <w:r>
        <w:rPr>
          <w:rFonts w:hint="eastAsia" w:ascii="仿宋_GB2312" w:eastAsia="仿宋_GB2312"/>
          <w:color w:val="000000"/>
          <w:sz w:val="32"/>
          <w:szCs w:val="32"/>
        </w:rPr>
        <w:t>投资项目预（概）算和竣工决（结）算进行评价与审查，对财政性资金投资项目资金使用情况，以及其他</w:t>
      </w:r>
      <w:r>
        <w:rPr>
          <w:color w:val="000000"/>
        </w:rPr>
        <w:fldChar w:fldCharType="begin"/>
      </w:r>
      <w:r>
        <w:rPr>
          <w:color w:val="000000"/>
        </w:rPr>
        <w:instrText xml:space="preserve">HYPERLINK "https://baike.sogou.com/lemma/ShowInnerLink.htm?lemmaId=63545206&amp;ss_c=ssc.citiao.link"</w:instrText>
      </w:r>
      <w:r>
        <w:rPr>
          <w:color w:val="000000"/>
        </w:rPr>
        <w:fldChar w:fldCharType="separate"/>
      </w:r>
      <w:r>
        <w:rPr>
          <w:rStyle w:val="7"/>
          <w:rFonts w:hint="eastAsia" w:ascii="仿宋_GB2312" w:eastAsia="仿宋_GB2312"/>
          <w:color w:val="000000"/>
          <w:sz w:val="32"/>
          <w:szCs w:val="32"/>
          <w:u w:val="none"/>
        </w:rPr>
        <w:t>财政专项资金</w:t>
      </w:r>
      <w:r>
        <w:rPr>
          <w:color w:val="000000"/>
        </w:rPr>
        <w:fldChar w:fldCharType="end"/>
      </w:r>
      <w:r>
        <w:rPr>
          <w:rFonts w:hint="eastAsia" w:ascii="仿宋_GB2312" w:eastAsia="仿宋_GB2312"/>
          <w:color w:val="000000"/>
          <w:sz w:val="32"/>
          <w:szCs w:val="32"/>
        </w:rPr>
        <w:t>使用情况进行专项核查及追踪问效。</w:t>
      </w:r>
    </w:p>
    <w:p>
      <w:pPr>
        <w:spacing w:after="240" w:line="590" w:lineRule="exact"/>
        <w:ind w:firstLine="640" w:firstLineChars="200"/>
        <w:jc w:val="left"/>
        <w:rPr>
          <w:rFonts w:ascii="仿宋_GB2312" w:hAnsi="宋体" w:eastAsia="仿宋_GB2312" w:cs="宋体"/>
          <w:color w:val="000000"/>
          <w:kern w:val="0"/>
          <w:sz w:val="32"/>
          <w:szCs w:val="32"/>
        </w:rPr>
      </w:pPr>
      <w:r>
        <w:rPr>
          <w:rFonts w:eastAsia="黑体"/>
          <w:color w:val="000000"/>
          <w:kern w:val="0"/>
          <w:sz w:val="32"/>
          <w:szCs w:val="32"/>
        </w:rPr>
        <w:t>第三条</w:t>
      </w:r>
      <w:r>
        <w:rPr>
          <w:rFonts w:hint="eastAsia" w:eastAsia="黑体"/>
          <w:color w:val="000000"/>
          <w:kern w:val="0"/>
          <w:sz w:val="32"/>
          <w:szCs w:val="32"/>
        </w:rPr>
        <w:t xml:space="preserve"> </w:t>
      </w:r>
      <w:r>
        <w:rPr>
          <w:rFonts w:eastAsia="仿宋_GB2312"/>
          <w:color w:val="000000"/>
          <w:kern w:val="0"/>
          <w:sz w:val="32"/>
          <w:szCs w:val="32"/>
        </w:rPr>
        <w:t>财政投资评审</w:t>
      </w:r>
      <w:r>
        <w:rPr>
          <w:rFonts w:hint="eastAsia" w:eastAsia="仿宋_GB2312"/>
          <w:color w:val="000000"/>
          <w:kern w:val="0"/>
          <w:sz w:val="32"/>
          <w:szCs w:val="32"/>
        </w:rPr>
        <w:t>业务以委托中介咨询机构评审为主，自行评审为辅，</w:t>
      </w:r>
      <w:r>
        <w:rPr>
          <w:rFonts w:eastAsia="仿宋_GB2312"/>
          <w:color w:val="000000"/>
          <w:kern w:val="0"/>
          <w:sz w:val="32"/>
          <w:szCs w:val="32"/>
        </w:rPr>
        <w:t>财政投资评审</w:t>
      </w:r>
      <w:r>
        <w:rPr>
          <w:rFonts w:hint="eastAsia" w:eastAsia="仿宋_GB2312"/>
          <w:color w:val="000000"/>
          <w:kern w:val="0"/>
          <w:sz w:val="32"/>
          <w:szCs w:val="32"/>
        </w:rPr>
        <w:t>业务委托对象实行</w:t>
      </w:r>
      <w:r>
        <w:rPr>
          <w:rFonts w:eastAsia="仿宋_GB2312"/>
          <w:color w:val="000000"/>
          <w:kern w:val="0"/>
          <w:sz w:val="32"/>
          <w:szCs w:val="32"/>
        </w:rPr>
        <w:t>“</w:t>
      </w:r>
      <w:r>
        <w:rPr>
          <w:rFonts w:hint="eastAsia" w:eastAsia="仿宋_GB2312"/>
          <w:color w:val="000000"/>
          <w:kern w:val="0"/>
          <w:sz w:val="32"/>
          <w:szCs w:val="32"/>
        </w:rPr>
        <w:t>宽门</w:t>
      </w:r>
      <w:r>
        <w:rPr>
          <w:rFonts w:hint="eastAsia" w:ascii="仿宋_GB2312" w:hAnsi="宋体" w:eastAsia="仿宋_GB2312" w:cs="宋体"/>
          <w:color w:val="000000"/>
          <w:kern w:val="0"/>
          <w:sz w:val="32"/>
          <w:szCs w:val="32"/>
        </w:rPr>
        <w:t>槛准入、严监督考核</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的原则，实行动态管理</w:t>
      </w:r>
      <w:r>
        <w:rPr>
          <w:rFonts w:ascii="仿宋_GB2312" w:hAnsi="宋体" w:eastAsia="仿宋_GB2312" w:cs="宋体"/>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 xml:space="preserve">第四条 </w:t>
      </w:r>
      <w:r>
        <w:rPr>
          <w:rFonts w:eastAsia="仿宋_GB2312"/>
          <w:color w:val="000000"/>
          <w:kern w:val="0"/>
          <w:sz w:val="32"/>
          <w:szCs w:val="32"/>
        </w:rPr>
        <w:t>中介</w:t>
      </w:r>
      <w:r>
        <w:rPr>
          <w:rFonts w:hint="eastAsia" w:eastAsia="仿宋_GB2312"/>
          <w:color w:val="000000"/>
          <w:kern w:val="0"/>
          <w:sz w:val="32"/>
          <w:szCs w:val="32"/>
        </w:rPr>
        <w:t>咨询</w:t>
      </w:r>
      <w:r>
        <w:rPr>
          <w:rFonts w:eastAsia="仿宋_GB2312"/>
          <w:color w:val="000000"/>
          <w:kern w:val="0"/>
          <w:sz w:val="32"/>
          <w:szCs w:val="32"/>
        </w:rPr>
        <w:t>机构</w:t>
      </w:r>
      <w:r>
        <w:rPr>
          <w:rFonts w:hint="eastAsia" w:eastAsia="仿宋_GB2312"/>
          <w:color w:val="000000"/>
          <w:kern w:val="0"/>
          <w:sz w:val="32"/>
          <w:szCs w:val="32"/>
        </w:rPr>
        <w:t>实行备案</w:t>
      </w:r>
      <w:r>
        <w:rPr>
          <w:rFonts w:eastAsia="仿宋_GB2312"/>
          <w:color w:val="000000"/>
          <w:kern w:val="0"/>
          <w:sz w:val="32"/>
          <w:szCs w:val="32"/>
        </w:rPr>
        <w:t>准入</w:t>
      </w:r>
      <w:r>
        <w:rPr>
          <w:rFonts w:hint="eastAsia" w:eastAsia="仿宋_GB2312"/>
          <w:color w:val="000000"/>
          <w:kern w:val="0"/>
          <w:sz w:val="32"/>
          <w:szCs w:val="32"/>
        </w:rPr>
        <w:t>制度，准入</w:t>
      </w:r>
      <w:r>
        <w:rPr>
          <w:rFonts w:eastAsia="仿宋_GB2312"/>
          <w:color w:val="000000"/>
          <w:kern w:val="0"/>
          <w:sz w:val="32"/>
          <w:szCs w:val="32"/>
        </w:rPr>
        <w:t>的基本条件：</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（一）独立的法人资格；</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（二）具有国家有关部门颁发的</w:t>
      </w:r>
      <w:r>
        <w:rPr>
          <w:rFonts w:hint="eastAsia" w:eastAsia="仿宋_GB2312"/>
          <w:color w:val="000000"/>
          <w:kern w:val="0"/>
          <w:sz w:val="32"/>
          <w:szCs w:val="32"/>
        </w:rPr>
        <w:t>从事相关业务的资质；</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（三）具有</w:t>
      </w:r>
      <w:r>
        <w:rPr>
          <w:rFonts w:hint="eastAsia" w:eastAsia="仿宋_GB2312"/>
          <w:color w:val="000000"/>
          <w:kern w:val="0"/>
          <w:sz w:val="32"/>
          <w:szCs w:val="32"/>
        </w:rPr>
        <w:t>相关</w:t>
      </w:r>
      <w:r>
        <w:rPr>
          <w:rFonts w:eastAsia="仿宋_GB2312"/>
          <w:color w:val="000000"/>
          <w:kern w:val="0"/>
          <w:sz w:val="32"/>
          <w:szCs w:val="32"/>
        </w:rPr>
        <w:t>专业技术力量和必要的设备、软件；</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（四）岳阳市范围内具有独立办公场所，并入驻湖南省政府采购电子卖场；</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（五）近三年内经营活动中没有违法记录</w:t>
      </w:r>
      <w:r>
        <w:rPr>
          <w:rFonts w:hint="eastAsia"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第五条</w:t>
      </w:r>
      <w:r>
        <w:rPr>
          <w:rFonts w:hint="eastAsia" w:eastAsia="黑体"/>
          <w:color w:val="000000"/>
          <w:kern w:val="0"/>
          <w:sz w:val="32"/>
          <w:szCs w:val="32"/>
        </w:rPr>
        <w:t xml:space="preserve"> </w:t>
      </w:r>
      <w:r>
        <w:rPr>
          <w:rFonts w:hint="eastAsia" w:eastAsia="仿宋_GB2312"/>
          <w:color w:val="000000"/>
          <w:kern w:val="0"/>
          <w:sz w:val="32"/>
          <w:szCs w:val="32"/>
        </w:rPr>
        <w:t>符合</w:t>
      </w:r>
      <w:r>
        <w:rPr>
          <w:rFonts w:eastAsia="仿宋_GB2312"/>
          <w:color w:val="000000"/>
          <w:kern w:val="0"/>
          <w:sz w:val="32"/>
          <w:szCs w:val="32"/>
        </w:rPr>
        <w:t>准入</w:t>
      </w:r>
      <w:r>
        <w:rPr>
          <w:rFonts w:hint="eastAsia" w:eastAsia="仿宋_GB2312"/>
          <w:color w:val="000000"/>
          <w:kern w:val="0"/>
          <w:sz w:val="32"/>
          <w:szCs w:val="32"/>
        </w:rPr>
        <w:t>条件的中介咨询机构</w:t>
      </w:r>
      <w:r>
        <w:rPr>
          <w:rFonts w:eastAsia="仿宋_GB2312"/>
          <w:color w:val="000000"/>
          <w:kern w:val="0"/>
          <w:sz w:val="32"/>
          <w:szCs w:val="32"/>
        </w:rPr>
        <w:t>，经市财政投资评审</w:t>
      </w:r>
      <w:r>
        <w:rPr>
          <w:rFonts w:hint="eastAsia" w:eastAsia="仿宋_GB2312"/>
          <w:color w:val="000000"/>
          <w:kern w:val="0"/>
          <w:sz w:val="32"/>
          <w:szCs w:val="32"/>
        </w:rPr>
        <w:t>中心</w:t>
      </w:r>
      <w:r>
        <w:rPr>
          <w:rFonts w:eastAsia="仿宋_GB2312"/>
          <w:color w:val="000000"/>
          <w:kern w:val="0"/>
          <w:sz w:val="32"/>
          <w:szCs w:val="32"/>
        </w:rPr>
        <w:t>组织考察、培训</w:t>
      </w:r>
      <w:r>
        <w:rPr>
          <w:rFonts w:hint="eastAsia" w:eastAsia="仿宋_GB2312"/>
          <w:color w:val="000000"/>
          <w:kern w:val="0"/>
          <w:sz w:val="32"/>
          <w:szCs w:val="32"/>
        </w:rPr>
        <w:t>合格</w:t>
      </w:r>
      <w:r>
        <w:rPr>
          <w:rFonts w:eastAsia="仿宋_GB2312"/>
          <w:color w:val="000000"/>
          <w:kern w:val="0"/>
          <w:sz w:val="32"/>
          <w:szCs w:val="32"/>
        </w:rPr>
        <w:t>后，</w:t>
      </w:r>
      <w:r>
        <w:rPr>
          <w:rFonts w:hint="eastAsia" w:eastAsia="仿宋_GB2312"/>
          <w:color w:val="000000"/>
          <w:kern w:val="0"/>
          <w:sz w:val="32"/>
          <w:szCs w:val="32"/>
        </w:rPr>
        <w:t>准入备案。对准入备案的中介咨询机构每两年考察一次，考察合格的继续保留</w:t>
      </w:r>
      <w:r>
        <w:rPr>
          <w:rFonts w:eastAsia="仿宋_GB2312"/>
          <w:color w:val="000000"/>
          <w:kern w:val="0"/>
          <w:sz w:val="32"/>
          <w:szCs w:val="32"/>
        </w:rPr>
        <w:t>。</w:t>
      </w:r>
    </w:p>
    <w:p>
      <w:pPr>
        <w:spacing w:line="590" w:lineRule="exact"/>
        <w:ind w:firstLine="640" w:firstLineChars="200"/>
        <w:jc w:val="left"/>
        <w:rPr>
          <w:rFonts w:hint="eastAsia"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六</w:t>
      </w:r>
      <w:r>
        <w:rPr>
          <w:rFonts w:eastAsia="黑体"/>
          <w:color w:val="000000"/>
          <w:kern w:val="0"/>
          <w:sz w:val="32"/>
          <w:szCs w:val="32"/>
        </w:rPr>
        <w:t>条</w:t>
      </w:r>
      <w:r>
        <w:rPr>
          <w:rFonts w:hint="eastAsia" w:eastAsia="黑体"/>
          <w:color w:val="000000"/>
          <w:kern w:val="0"/>
          <w:sz w:val="32"/>
          <w:szCs w:val="32"/>
        </w:rPr>
        <w:t xml:space="preserve"> </w:t>
      </w:r>
      <w:r>
        <w:rPr>
          <w:rFonts w:eastAsia="仿宋_GB2312"/>
          <w:color w:val="000000"/>
          <w:kern w:val="0"/>
          <w:sz w:val="32"/>
          <w:szCs w:val="32"/>
        </w:rPr>
        <w:t>市财政投资评审</w:t>
      </w:r>
      <w:r>
        <w:rPr>
          <w:rFonts w:hint="eastAsia" w:eastAsia="仿宋_GB2312"/>
          <w:color w:val="000000"/>
          <w:kern w:val="0"/>
          <w:sz w:val="32"/>
          <w:szCs w:val="32"/>
        </w:rPr>
        <w:t>中心根据长驻岳的技术力量、专业优势等对进入备案的咨询单位进行综合统计分类。</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七</w:t>
      </w:r>
      <w:r>
        <w:rPr>
          <w:rFonts w:eastAsia="黑体"/>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市</w:t>
      </w:r>
      <w:r>
        <w:rPr>
          <w:rFonts w:eastAsia="仿宋_GB2312"/>
          <w:color w:val="000000"/>
          <w:kern w:val="0"/>
          <w:sz w:val="32"/>
          <w:szCs w:val="32"/>
        </w:rPr>
        <w:t>财政投资评审</w:t>
      </w:r>
      <w:r>
        <w:rPr>
          <w:rFonts w:hint="eastAsia" w:eastAsia="仿宋_GB2312"/>
          <w:color w:val="000000"/>
          <w:kern w:val="0"/>
          <w:sz w:val="32"/>
          <w:szCs w:val="32"/>
        </w:rPr>
        <w:t>中心</w:t>
      </w:r>
      <w:r>
        <w:rPr>
          <w:rFonts w:eastAsia="仿宋_GB2312"/>
          <w:color w:val="000000"/>
          <w:kern w:val="0"/>
          <w:sz w:val="32"/>
          <w:szCs w:val="32"/>
        </w:rPr>
        <w:t>根据评审计划和评审项目申报情况，结合工作实际，提出</w:t>
      </w:r>
      <w:r>
        <w:rPr>
          <w:rFonts w:hint="eastAsia" w:eastAsia="仿宋_GB2312"/>
          <w:color w:val="000000"/>
          <w:kern w:val="0"/>
          <w:sz w:val="32"/>
          <w:szCs w:val="32"/>
        </w:rPr>
        <w:t>项目评审业务委托单。</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八</w:t>
      </w:r>
      <w:r>
        <w:rPr>
          <w:rFonts w:eastAsia="黑体"/>
          <w:color w:val="000000"/>
          <w:kern w:val="0"/>
          <w:sz w:val="32"/>
          <w:szCs w:val="32"/>
        </w:rPr>
        <w:t>条</w:t>
      </w:r>
      <w:r>
        <w:rPr>
          <w:rFonts w:hint="eastAsia" w:eastAsia="黑体"/>
          <w:color w:val="000000"/>
          <w:kern w:val="0"/>
          <w:sz w:val="32"/>
          <w:szCs w:val="32"/>
        </w:rPr>
        <w:t xml:space="preserve"> </w:t>
      </w:r>
      <w:r>
        <w:rPr>
          <w:rFonts w:eastAsia="仿宋_GB2312"/>
          <w:color w:val="000000"/>
          <w:kern w:val="0"/>
          <w:sz w:val="32"/>
          <w:szCs w:val="32"/>
        </w:rPr>
        <w:t>评审业务委托方式</w:t>
      </w:r>
      <w:r>
        <w:rPr>
          <w:rFonts w:hint="eastAsia" w:eastAsia="仿宋_GB2312"/>
          <w:color w:val="000000"/>
          <w:kern w:val="0"/>
          <w:sz w:val="32"/>
          <w:szCs w:val="32"/>
        </w:rPr>
        <w:t>及基本原则</w:t>
      </w:r>
      <w:r>
        <w:rPr>
          <w:rFonts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（一）</w:t>
      </w:r>
      <w:r>
        <w:rPr>
          <w:rFonts w:hint="eastAsia" w:eastAsia="仿宋_GB2312"/>
          <w:color w:val="000000"/>
          <w:kern w:val="0"/>
          <w:sz w:val="32"/>
          <w:szCs w:val="32"/>
        </w:rPr>
        <w:t>政府采购。评审服务费预算金额达到政府采购限额的业务，实行政府采购。</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二</w:t>
      </w:r>
      <w:r>
        <w:rPr>
          <w:rFonts w:eastAsia="仿宋_GB2312"/>
          <w:color w:val="000000"/>
          <w:kern w:val="0"/>
          <w:sz w:val="32"/>
          <w:szCs w:val="32"/>
        </w:rPr>
        <w:t>）</w:t>
      </w:r>
      <w:r>
        <w:rPr>
          <w:rFonts w:hint="eastAsia" w:eastAsia="仿宋_GB2312"/>
          <w:color w:val="000000"/>
          <w:kern w:val="0"/>
          <w:sz w:val="32"/>
          <w:szCs w:val="32"/>
        </w:rPr>
        <w:t>询价</w:t>
      </w:r>
      <w:r>
        <w:rPr>
          <w:rFonts w:eastAsia="仿宋_GB2312"/>
          <w:color w:val="000000"/>
          <w:kern w:val="0"/>
          <w:sz w:val="32"/>
          <w:szCs w:val="32"/>
        </w:rPr>
        <w:t>委托。评审服务费预算</w:t>
      </w:r>
      <w:r>
        <w:rPr>
          <w:rFonts w:hint="eastAsia" w:eastAsia="仿宋_GB2312"/>
          <w:color w:val="000000"/>
          <w:kern w:val="0"/>
          <w:sz w:val="32"/>
          <w:szCs w:val="32"/>
        </w:rPr>
        <w:t>5万元以上至政府采购限额以下的业务采取推荐不少于三家中介咨询机构进行询价委托。财政投资评审中心综合岗位责任人根据项目特征、评审要求提出推荐名单、推荐理由报中心主任及分管领导审批后通过询价方式进行委托，并在电子卖场办理相关手续。</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询价委托时，先由市</w:t>
      </w:r>
      <w:r>
        <w:rPr>
          <w:rFonts w:eastAsia="仿宋_GB2312"/>
          <w:color w:val="000000"/>
          <w:kern w:val="0"/>
          <w:sz w:val="32"/>
          <w:szCs w:val="32"/>
        </w:rPr>
        <w:t>财政投资评审</w:t>
      </w:r>
      <w:r>
        <w:rPr>
          <w:rFonts w:hint="eastAsia" w:eastAsia="仿宋_GB2312"/>
          <w:color w:val="000000"/>
          <w:kern w:val="0"/>
          <w:sz w:val="32"/>
          <w:szCs w:val="32"/>
        </w:rPr>
        <w:t>中心确定项目服务费估值上限及评审时效，各中介咨询机构在满足评审时效的前提下根据项目及自身情况进行一次报价，报价最低者中标。当最低报价相同时，则采取随机抽签确定中介咨询机构。</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（三）</w:t>
      </w:r>
      <w:r>
        <w:rPr>
          <w:rFonts w:hint="eastAsia" w:eastAsia="仿宋_GB2312"/>
          <w:color w:val="000000"/>
          <w:kern w:val="0"/>
          <w:sz w:val="32"/>
          <w:szCs w:val="32"/>
        </w:rPr>
        <w:t>电子卖场直购</w:t>
      </w:r>
      <w:r>
        <w:rPr>
          <w:rFonts w:eastAsia="仿宋_GB2312"/>
          <w:color w:val="000000"/>
          <w:kern w:val="0"/>
          <w:sz w:val="32"/>
          <w:szCs w:val="32"/>
        </w:rPr>
        <w:t>。评审服务费预算在</w:t>
      </w:r>
      <w:r>
        <w:rPr>
          <w:rFonts w:hint="eastAsia" w:eastAsia="仿宋_GB2312"/>
          <w:color w:val="000000"/>
          <w:kern w:val="0"/>
          <w:sz w:val="32"/>
          <w:szCs w:val="32"/>
        </w:rPr>
        <w:t>5</w:t>
      </w:r>
      <w:r>
        <w:rPr>
          <w:rFonts w:eastAsia="仿宋_GB2312"/>
          <w:color w:val="000000"/>
          <w:kern w:val="0"/>
          <w:sz w:val="32"/>
          <w:szCs w:val="32"/>
        </w:rPr>
        <w:t>万元以下的项目，</w:t>
      </w:r>
      <w:r>
        <w:rPr>
          <w:rFonts w:hint="eastAsia" w:eastAsia="仿宋_GB2312"/>
          <w:color w:val="000000"/>
          <w:kern w:val="0"/>
          <w:sz w:val="32"/>
          <w:szCs w:val="32"/>
        </w:rPr>
        <w:t>根据项目特征、评审要求，采取综合实力基本相同及考核同档次的咨询公司业务量基本平衡的原则电子卖场直购中介咨询机构</w:t>
      </w:r>
      <w:r>
        <w:rPr>
          <w:rFonts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（1）建筑安装、市政园林</w:t>
      </w:r>
      <w:r>
        <w:rPr>
          <w:rFonts w:hint="eastAsia" w:eastAsia="仿宋_GB2312"/>
          <w:color w:val="000000"/>
          <w:kern w:val="0"/>
          <w:sz w:val="32"/>
          <w:szCs w:val="32"/>
        </w:rPr>
        <w:t>等计量计价标准成熟、评审难度低的通用工程项目在技术力量充足、保证时效的基础上，采取总体业务趋于平衡的方式进行直购。</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（2）涉及交通、水利、</w:t>
      </w:r>
      <w:r>
        <w:rPr>
          <w:rFonts w:hint="eastAsia" w:eastAsia="仿宋_GB2312"/>
          <w:color w:val="000000"/>
          <w:kern w:val="0"/>
          <w:sz w:val="32"/>
          <w:szCs w:val="32"/>
        </w:rPr>
        <w:t>专业安装</w:t>
      </w:r>
      <w:r>
        <w:rPr>
          <w:rFonts w:eastAsia="仿宋_GB2312"/>
          <w:color w:val="000000"/>
          <w:kern w:val="0"/>
          <w:sz w:val="32"/>
          <w:szCs w:val="32"/>
        </w:rPr>
        <w:t>等特殊行业的项目，从中介机构库中已备案具有该特殊专业造价师（员）的单位</w:t>
      </w:r>
      <w:r>
        <w:rPr>
          <w:rFonts w:hint="eastAsia" w:eastAsia="仿宋_GB2312"/>
          <w:color w:val="000000"/>
          <w:kern w:val="0"/>
          <w:sz w:val="32"/>
          <w:szCs w:val="32"/>
        </w:rPr>
        <w:t>内综合平衡直购</w:t>
      </w:r>
      <w:r>
        <w:rPr>
          <w:rFonts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四</w:t>
      </w:r>
      <w:r>
        <w:rPr>
          <w:rFonts w:eastAsia="仿宋_GB2312"/>
          <w:color w:val="000000"/>
          <w:kern w:val="0"/>
          <w:sz w:val="32"/>
          <w:szCs w:val="32"/>
        </w:rPr>
        <w:t>）关联性整体性强的项目，或同一项目的后续工程、变更增加工程、分期实施、暂估定价等项目，</w:t>
      </w:r>
      <w:r>
        <w:rPr>
          <w:rFonts w:hint="eastAsia" w:eastAsia="仿宋_GB2312"/>
          <w:color w:val="000000"/>
          <w:kern w:val="0"/>
          <w:sz w:val="32"/>
          <w:szCs w:val="32"/>
        </w:rPr>
        <w:t>原则上由原评审机构</w:t>
      </w:r>
      <w:r>
        <w:rPr>
          <w:rFonts w:eastAsia="仿宋_GB2312"/>
          <w:color w:val="000000"/>
          <w:kern w:val="0"/>
          <w:sz w:val="32"/>
          <w:szCs w:val="32"/>
        </w:rPr>
        <w:t>实行跟踪评审。</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（五）涉密工程等特殊业务由建设单位推荐一家中介咨询机构、市财评中心综合岗位责任人推荐两家中介咨询机构后由市财政投资评审中心全体人员及分管领导研究决定。</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非中介咨询服务机构原因，已委托一个5万元以上或两个5万以下的评审任务在未完成前原则上不参与询价</w:t>
      </w:r>
      <w:r>
        <w:rPr>
          <w:rFonts w:eastAsia="仿宋_GB2312"/>
          <w:color w:val="000000"/>
          <w:kern w:val="0"/>
          <w:sz w:val="32"/>
          <w:szCs w:val="32"/>
        </w:rPr>
        <w:t>委托</w:t>
      </w:r>
      <w:r>
        <w:rPr>
          <w:rFonts w:hint="eastAsia" w:eastAsia="仿宋_GB2312"/>
          <w:color w:val="000000"/>
          <w:kern w:val="0"/>
          <w:sz w:val="32"/>
          <w:szCs w:val="32"/>
        </w:rPr>
        <w:t>或电子卖场直购。</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九</w:t>
      </w:r>
      <w:r>
        <w:rPr>
          <w:rFonts w:eastAsia="黑体"/>
          <w:color w:val="000000"/>
          <w:kern w:val="0"/>
          <w:sz w:val="32"/>
          <w:szCs w:val="32"/>
        </w:rPr>
        <w:t>条</w:t>
      </w:r>
      <w:r>
        <w:rPr>
          <w:rFonts w:hint="eastAsia" w:eastAsia="黑体"/>
          <w:color w:val="000000"/>
          <w:kern w:val="0"/>
          <w:sz w:val="32"/>
          <w:szCs w:val="32"/>
        </w:rPr>
        <w:t xml:space="preserve"> </w:t>
      </w:r>
      <w:r>
        <w:rPr>
          <w:rFonts w:hint="eastAsia" w:eastAsia="仿宋_GB2312"/>
          <w:color w:val="000000"/>
          <w:kern w:val="0"/>
          <w:sz w:val="32"/>
          <w:szCs w:val="32"/>
        </w:rPr>
        <w:t>为确保财政投资业务评审质量，市财政投资评审中心依据《岳阳市财政投资评审中介咨询服务机构考核办法》对项目评审质量进行考核，考核周期每六个月一次。</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w:t>
      </w:r>
      <w:r>
        <w:rPr>
          <w:rFonts w:eastAsia="黑体"/>
          <w:color w:val="000000"/>
          <w:kern w:val="0"/>
          <w:sz w:val="32"/>
          <w:szCs w:val="32"/>
        </w:rPr>
        <w:t>条</w:t>
      </w:r>
      <w:r>
        <w:rPr>
          <w:rFonts w:hint="eastAsia" w:eastAsia="黑体"/>
          <w:color w:val="000000"/>
          <w:kern w:val="0"/>
          <w:sz w:val="32"/>
          <w:szCs w:val="32"/>
        </w:rPr>
        <w:t xml:space="preserve"> </w:t>
      </w:r>
      <w:r>
        <w:rPr>
          <w:rFonts w:hint="eastAsia" w:eastAsia="仿宋_GB2312"/>
          <w:color w:val="000000"/>
          <w:kern w:val="0"/>
          <w:sz w:val="32"/>
          <w:szCs w:val="32"/>
        </w:rPr>
        <w:t>考核结果与财政评审业务委托量挂钩。</w:t>
      </w:r>
    </w:p>
    <w:p>
      <w:pPr>
        <w:spacing w:line="590" w:lineRule="exact"/>
        <w:ind w:firstLine="640" w:firstLineChars="200"/>
        <w:jc w:val="left"/>
        <w:rPr>
          <w:color w:val="000000"/>
          <w:sz w:val="24"/>
          <w:szCs w:val="24"/>
        </w:rPr>
      </w:pPr>
      <w:r>
        <w:rPr>
          <w:rFonts w:hint="eastAsia" w:eastAsia="仿宋_GB2312"/>
          <w:color w:val="000000"/>
          <w:kern w:val="0"/>
          <w:sz w:val="32"/>
          <w:szCs w:val="32"/>
        </w:rPr>
        <w:t>（一）考核结果分为三个档次，前20%的为第一档，21%至80%的为第二档，后20%为第三档。</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（二）考核结果为第一档的中介咨询机构，业务委托量适当予以奖励，奖励原则为本考核周期当期平均业务量的基础上提高约20%；考核结果为第三档的中介咨询机构暂停一个考核周期（半年）的业务委托。</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十一</w:t>
      </w:r>
      <w:r>
        <w:rPr>
          <w:rFonts w:eastAsia="黑体"/>
          <w:color w:val="000000"/>
          <w:kern w:val="0"/>
          <w:sz w:val="32"/>
          <w:szCs w:val="32"/>
        </w:rPr>
        <w:t>条</w:t>
      </w:r>
      <w:r>
        <w:rPr>
          <w:rFonts w:hint="eastAsia" w:eastAsia="黑体"/>
          <w:color w:val="000000"/>
          <w:kern w:val="0"/>
          <w:sz w:val="32"/>
          <w:szCs w:val="32"/>
        </w:rPr>
        <w:t xml:space="preserve"> </w:t>
      </w:r>
      <w:r>
        <w:rPr>
          <w:rFonts w:eastAsia="仿宋_GB2312"/>
          <w:color w:val="000000"/>
          <w:kern w:val="0"/>
          <w:sz w:val="32"/>
          <w:szCs w:val="32"/>
        </w:rPr>
        <w:t>无正当原因，中介</w:t>
      </w:r>
      <w:r>
        <w:rPr>
          <w:rFonts w:hint="eastAsia" w:eastAsia="仿宋_GB2312"/>
          <w:color w:val="000000"/>
          <w:kern w:val="0"/>
          <w:sz w:val="32"/>
          <w:szCs w:val="32"/>
        </w:rPr>
        <w:t>咨询</w:t>
      </w:r>
      <w:r>
        <w:rPr>
          <w:rFonts w:eastAsia="仿宋_GB2312"/>
          <w:color w:val="000000"/>
          <w:kern w:val="0"/>
          <w:sz w:val="32"/>
          <w:szCs w:val="32"/>
        </w:rPr>
        <w:t>机构不得拒绝</w:t>
      </w:r>
      <w:r>
        <w:rPr>
          <w:rFonts w:hint="eastAsia" w:eastAsia="仿宋_GB2312"/>
          <w:color w:val="000000"/>
          <w:kern w:val="0"/>
          <w:sz w:val="32"/>
          <w:szCs w:val="32"/>
        </w:rPr>
        <w:t>市财政投资评审中心业务委托，</w:t>
      </w:r>
      <w:r>
        <w:rPr>
          <w:rFonts w:eastAsia="仿宋_GB2312"/>
          <w:color w:val="000000"/>
          <w:kern w:val="0"/>
          <w:sz w:val="32"/>
          <w:szCs w:val="32"/>
        </w:rPr>
        <w:t>如确</w:t>
      </w:r>
      <w:r>
        <w:rPr>
          <w:rFonts w:hint="eastAsia" w:eastAsia="仿宋_GB2312"/>
          <w:color w:val="000000"/>
          <w:kern w:val="0"/>
          <w:sz w:val="32"/>
          <w:szCs w:val="32"/>
        </w:rPr>
        <w:t>有正当情形</w:t>
      </w:r>
      <w:r>
        <w:rPr>
          <w:rFonts w:eastAsia="仿宋_GB2312"/>
          <w:color w:val="000000"/>
          <w:kern w:val="0"/>
          <w:sz w:val="32"/>
          <w:szCs w:val="32"/>
        </w:rPr>
        <w:t>，应提交书面说明。对无正当理由拒绝</w:t>
      </w:r>
      <w:r>
        <w:rPr>
          <w:rFonts w:hint="eastAsia" w:eastAsia="仿宋_GB2312"/>
          <w:color w:val="000000"/>
          <w:kern w:val="0"/>
          <w:sz w:val="32"/>
          <w:szCs w:val="32"/>
        </w:rPr>
        <w:t>一次业务委托</w:t>
      </w:r>
      <w:r>
        <w:rPr>
          <w:rFonts w:eastAsia="仿宋_GB2312"/>
          <w:color w:val="000000"/>
          <w:kern w:val="0"/>
          <w:sz w:val="32"/>
          <w:szCs w:val="32"/>
        </w:rPr>
        <w:t>的中介</w:t>
      </w:r>
      <w:r>
        <w:rPr>
          <w:rFonts w:hint="eastAsia" w:eastAsia="仿宋_GB2312"/>
          <w:color w:val="000000"/>
          <w:kern w:val="0"/>
          <w:sz w:val="32"/>
          <w:szCs w:val="32"/>
        </w:rPr>
        <w:t>咨询</w:t>
      </w:r>
      <w:r>
        <w:rPr>
          <w:rFonts w:eastAsia="仿宋_GB2312"/>
          <w:color w:val="000000"/>
          <w:kern w:val="0"/>
          <w:sz w:val="32"/>
          <w:szCs w:val="32"/>
        </w:rPr>
        <w:t>机构给予警告</w:t>
      </w:r>
      <w:r>
        <w:rPr>
          <w:rFonts w:hint="eastAsia" w:eastAsia="仿宋_GB2312"/>
          <w:color w:val="000000"/>
          <w:kern w:val="0"/>
          <w:sz w:val="32"/>
          <w:szCs w:val="32"/>
        </w:rPr>
        <w:t>，拒绝</w:t>
      </w:r>
      <w:r>
        <w:rPr>
          <w:rFonts w:eastAsia="仿宋_GB2312"/>
          <w:color w:val="000000"/>
          <w:kern w:val="0"/>
          <w:sz w:val="32"/>
          <w:szCs w:val="32"/>
        </w:rPr>
        <w:t>两次</w:t>
      </w:r>
      <w:r>
        <w:rPr>
          <w:rFonts w:hint="eastAsia" w:eastAsia="仿宋_GB2312"/>
          <w:color w:val="000000"/>
          <w:kern w:val="0"/>
          <w:sz w:val="32"/>
          <w:szCs w:val="32"/>
        </w:rPr>
        <w:t>以上业务委托的将退出备案库，不再委托任何业务</w:t>
      </w:r>
      <w:r>
        <w:rPr>
          <w:rFonts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十二</w:t>
      </w:r>
      <w:r>
        <w:rPr>
          <w:rFonts w:eastAsia="黑体"/>
          <w:color w:val="000000"/>
          <w:kern w:val="0"/>
          <w:sz w:val="32"/>
          <w:szCs w:val="32"/>
        </w:rPr>
        <w:t>条</w:t>
      </w:r>
      <w:r>
        <w:rPr>
          <w:rFonts w:hint="eastAsia" w:eastAsia="黑体"/>
          <w:color w:val="000000"/>
          <w:kern w:val="0"/>
          <w:sz w:val="32"/>
          <w:szCs w:val="32"/>
        </w:rPr>
        <w:t xml:space="preserve"> </w:t>
      </w:r>
      <w:r>
        <w:rPr>
          <w:rFonts w:hint="eastAsia" w:eastAsia="仿宋_GB2312"/>
          <w:color w:val="000000"/>
          <w:kern w:val="0"/>
          <w:sz w:val="32"/>
          <w:szCs w:val="32"/>
        </w:rPr>
        <w:t>评审业务委托后，签订财政投资评审业务委托合同，按照合同约定要求完成咨询服务后进行服务费用结算，服务费用结算原则上每六个月一次。</w:t>
      </w:r>
    </w:p>
    <w:p>
      <w:pPr>
        <w:spacing w:line="590" w:lineRule="exact"/>
        <w:ind w:firstLine="640" w:firstLineChars="200"/>
        <w:jc w:val="left"/>
        <w:rPr>
          <w:rFonts w:eastAsia="仿宋_GB2312"/>
          <w:color w:val="000000"/>
          <w:kern w:val="0"/>
          <w:sz w:val="32"/>
          <w:szCs w:val="32"/>
        </w:rPr>
      </w:pPr>
      <w:r>
        <w:rPr>
          <w:rFonts w:eastAsia="黑体"/>
          <w:color w:val="000000"/>
          <w:kern w:val="0"/>
          <w:sz w:val="32"/>
          <w:szCs w:val="32"/>
        </w:rPr>
        <w:t>第十</w:t>
      </w:r>
      <w:r>
        <w:rPr>
          <w:rFonts w:hint="eastAsia" w:eastAsia="黑体"/>
          <w:color w:val="000000"/>
          <w:kern w:val="0"/>
          <w:sz w:val="32"/>
          <w:szCs w:val="32"/>
        </w:rPr>
        <w:t>三</w:t>
      </w:r>
      <w:r>
        <w:rPr>
          <w:rFonts w:eastAsia="黑体"/>
          <w:color w:val="000000"/>
          <w:kern w:val="0"/>
          <w:sz w:val="32"/>
          <w:szCs w:val="32"/>
        </w:rPr>
        <w:t xml:space="preserve">条 </w:t>
      </w:r>
      <w:r>
        <w:rPr>
          <w:rFonts w:eastAsia="仿宋_GB2312"/>
          <w:color w:val="000000"/>
          <w:kern w:val="0"/>
          <w:sz w:val="32"/>
          <w:szCs w:val="32"/>
        </w:rPr>
        <w:t>实行回避制度。存在以下情形的，中介</w:t>
      </w:r>
      <w:r>
        <w:rPr>
          <w:rFonts w:hint="eastAsia" w:eastAsia="仿宋_GB2312"/>
          <w:color w:val="000000"/>
          <w:kern w:val="0"/>
          <w:sz w:val="32"/>
          <w:szCs w:val="32"/>
        </w:rPr>
        <w:t>咨询</w:t>
      </w:r>
      <w:r>
        <w:rPr>
          <w:rFonts w:eastAsia="仿宋_GB2312"/>
          <w:color w:val="000000"/>
          <w:kern w:val="0"/>
          <w:sz w:val="32"/>
          <w:szCs w:val="32"/>
        </w:rPr>
        <w:t>机构应当事前申报，按要求回避。</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（一）评审</w:t>
      </w:r>
      <w:r>
        <w:rPr>
          <w:rFonts w:hint="eastAsia" w:eastAsia="仿宋_GB2312"/>
          <w:color w:val="000000"/>
          <w:kern w:val="0"/>
          <w:sz w:val="32"/>
          <w:szCs w:val="32"/>
        </w:rPr>
        <w:t>业务</w:t>
      </w:r>
      <w:r>
        <w:rPr>
          <w:rFonts w:eastAsia="仿宋_GB2312"/>
          <w:color w:val="000000"/>
          <w:kern w:val="0"/>
          <w:sz w:val="32"/>
          <w:szCs w:val="32"/>
        </w:rPr>
        <w:t>系</w:t>
      </w:r>
      <w:r>
        <w:rPr>
          <w:rFonts w:hint="eastAsia" w:eastAsia="仿宋_GB2312"/>
          <w:color w:val="000000"/>
          <w:kern w:val="0"/>
          <w:sz w:val="32"/>
          <w:szCs w:val="32"/>
        </w:rPr>
        <w:t>本</w:t>
      </w:r>
      <w:r>
        <w:rPr>
          <w:rFonts w:eastAsia="仿宋_GB2312"/>
          <w:color w:val="000000"/>
          <w:kern w:val="0"/>
          <w:sz w:val="32"/>
          <w:szCs w:val="32"/>
        </w:rPr>
        <w:t>中介</w:t>
      </w:r>
      <w:r>
        <w:rPr>
          <w:rFonts w:hint="eastAsia" w:eastAsia="仿宋_GB2312"/>
          <w:color w:val="000000"/>
          <w:kern w:val="0"/>
          <w:sz w:val="32"/>
          <w:szCs w:val="32"/>
        </w:rPr>
        <w:t>咨询</w:t>
      </w:r>
      <w:r>
        <w:rPr>
          <w:rFonts w:eastAsia="仿宋_GB2312"/>
          <w:color w:val="000000"/>
          <w:kern w:val="0"/>
          <w:sz w:val="32"/>
          <w:szCs w:val="32"/>
        </w:rPr>
        <w:t>机构或其工作人员编制的；</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（二）中介</w:t>
      </w:r>
      <w:r>
        <w:rPr>
          <w:rFonts w:hint="eastAsia" w:eastAsia="仿宋_GB2312"/>
          <w:color w:val="000000"/>
          <w:kern w:val="0"/>
          <w:sz w:val="32"/>
          <w:szCs w:val="32"/>
        </w:rPr>
        <w:t>咨询</w:t>
      </w:r>
      <w:r>
        <w:rPr>
          <w:rFonts w:eastAsia="仿宋_GB2312"/>
          <w:color w:val="000000"/>
          <w:kern w:val="0"/>
          <w:sz w:val="32"/>
          <w:szCs w:val="32"/>
        </w:rPr>
        <w:t>机构与被审核单位存在关联关系的；</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（三）中介</w:t>
      </w:r>
      <w:r>
        <w:rPr>
          <w:rFonts w:hint="eastAsia" w:eastAsia="仿宋_GB2312"/>
          <w:color w:val="000000"/>
          <w:kern w:val="0"/>
          <w:sz w:val="32"/>
          <w:szCs w:val="32"/>
        </w:rPr>
        <w:t>咨询</w:t>
      </w:r>
      <w:r>
        <w:rPr>
          <w:rFonts w:eastAsia="仿宋_GB2312"/>
          <w:color w:val="000000"/>
          <w:kern w:val="0"/>
          <w:sz w:val="32"/>
          <w:szCs w:val="32"/>
        </w:rPr>
        <w:t>机构审核人员与被审单位及项目主要负责人存在亲属关系的；</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（四）法律规定需要回避的其他情形。</w:t>
      </w:r>
    </w:p>
    <w:p>
      <w:pPr>
        <w:spacing w:line="590" w:lineRule="exact"/>
        <w:ind w:firstLine="640" w:firstLineChars="200"/>
        <w:jc w:val="left"/>
        <w:rPr>
          <w:rFonts w:eastAsia="微软雅黑"/>
          <w:color w:val="000000"/>
          <w:kern w:val="0"/>
          <w:szCs w:val="21"/>
        </w:rPr>
      </w:pPr>
      <w:r>
        <w:rPr>
          <w:rFonts w:eastAsia="黑体"/>
          <w:color w:val="000000"/>
          <w:kern w:val="0"/>
          <w:sz w:val="32"/>
          <w:szCs w:val="32"/>
        </w:rPr>
        <w:t>第十</w:t>
      </w:r>
      <w:r>
        <w:rPr>
          <w:rFonts w:hint="eastAsia" w:eastAsia="黑体"/>
          <w:color w:val="000000"/>
          <w:kern w:val="0"/>
          <w:sz w:val="32"/>
          <w:szCs w:val="32"/>
        </w:rPr>
        <w:t>四</w:t>
      </w:r>
      <w:r>
        <w:rPr>
          <w:rFonts w:eastAsia="黑体"/>
          <w:color w:val="000000"/>
          <w:kern w:val="0"/>
          <w:sz w:val="32"/>
          <w:szCs w:val="32"/>
        </w:rPr>
        <w:t>条</w:t>
      </w:r>
      <w:r>
        <w:rPr>
          <w:rFonts w:eastAsia="仿宋_GB2312"/>
          <w:color w:val="000000"/>
          <w:kern w:val="0"/>
          <w:sz w:val="32"/>
          <w:szCs w:val="32"/>
        </w:rPr>
        <w:t>中介</w:t>
      </w:r>
      <w:r>
        <w:rPr>
          <w:rFonts w:hint="eastAsia" w:eastAsia="仿宋_GB2312"/>
          <w:color w:val="000000"/>
          <w:kern w:val="0"/>
          <w:sz w:val="32"/>
          <w:szCs w:val="32"/>
        </w:rPr>
        <w:t>咨询</w:t>
      </w:r>
      <w:r>
        <w:rPr>
          <w:rFonts w:eastAsia="仿宋_GB2312"/>
          <w:color w:val="000000"/>
          <w:kern w:val="0"/>
          <w:sz w:val="32"/>
          <w:szCs w:val="32"/>
        </w:rPr>
        <w:t>机构有下列情形之一的，</w:t>
      </w:r>
      <w:r>
        <w:rPr>
          <w:rFonts w:hint="eastAsia" w:eastAsia="仿宋_GB2312"/>
          <w:color w:val="000000"/>
          <w:kern w:val="0"/>
          <w:sz w:val="32"/>
          <w:szCs w:val="32"/>
        </w:rPr>
        <w:t>3</w:t>
      </w:r>
      <w:r>
        <w:rPr>
          <w:rFonts w:eastAsia="仿宋_GB2312"/>
          <w:color w:val="000000"/>
          <w:kern w:val="0"/>
          <w:sz w:val="32"/>
          <w:szCs w:val="32"/>
        </w:rPr>
        <w:t>年内不得参与市财政投资评审</w:t>
      </w:r>
      <w:r>
        <w:rPr>
          <w:rFonts w:hint="eastAsia" w:eastAsia="仿宋_GB2312"/>
          <w:color w:val="000000"/>
          <w:kern w:val="0"/>
          <w:sz w:val="32"/>
          <w:szCs w:val="32"/>
        </w:rPr>
        <w:t>中心</w:t>
      </w:r>
      <w:r>
        <w:rPr>
          <w:rFonts w:eastAsia="仿宋_GB2312"/>
          <w:color w:val="000000"/>
          <w:kern w:val="0"/>
          <w:sz w:val="32"/>
          <w:szCs w:val="32"/>
        </w:rPr>
        <w:t>的相关业务</w:t>
      </w:r>
      <w:r>
        <w:rPr>
          <w:rFonts w:hint="eastAsia" w:eastAsia="仿宋_GB2312"/>
          <w:color w:val="000000"/>
          <w:kern w:val="0"/>
          <w:sz w:val="32"/>
          <w:szCs w:val="32"/>
        </w:rPr>
        <w:t>：</w:t>
      </w:r>
    </w:p>
    <w:p>
      <w:pPr>
        <w:spacing w:line="590" w:lineRule="exact"/>
        <w:ind w:firstLine="640" w:firstLineChars="200"/>
        <w:jc w:val="left"/>
        <w:rPr>
          <w:rFonts w:eastAsia="微软雅黑"/>
          <w:color w:val="000000"/>
          <w:kern w:val="0"/>
          <w:szCs w:val="21"/>
        </w:rPr>
      </w:pPr>
      <w:r>
        <w:rPr>
          <w:rFonts w:eastAsia="仿宋_GB2312"/>
          <w:color w:val="000000"/>
          <w:kern w:val="0"/>
          <w:sz w:val="32"/>
          <w:szCs w:val="32"/>
        </w:rPr>
        <w:t>（一）在企业资质、业绩、奖惩情况、执业人员等方面弄虚作假、提供不真实信息资料的</w:t>
      </w:r>
      <w:r>
        <w:rPr>
          <w:rFonts w:hint="eastAsia" w:eastAsia="仿宋_GB2312"/>
          <w:color w:val="000000"/>
          <w:kern w:val="0"/>
          <w:sz w:val="32"/>
          <w:szCs w:val="32"/>
        </w:rPr>
        <w:t>；</w:t>
      </w:r>
    </w:p>
    <w:p>
      <w:pPr>
        <w:spacing w:line="590" w:lineRule="exact"/>
        <w:ind w:firstLine="640" w:firstLineChars="200"/>
        <w:jc w:val="left"/>
        <w:rPr>
          <w:rFonts w:eastAsia="微软雅黑"/>
          <w:color w:val="000000"/>
          <w:kern w:val="0"/>
          <w:szCs w:val="21"/>
        </w:rPr>
      </w:pPr>
      <w:r>
        <w:rPr>
          <w:rFonts w:eastAsia="仿宋_GB2312"/>
          <w:color w:val="000000"/>
          <w:kern w:val="0"/>
          <w:sz w:val="32"/>
          <w:szCs w:val="32"/>
        </w:rPr>
        <w:t>（二）违反有关法律、法规，被司法机关、行政监督部门或行业自律组织处罚或处理的</w:t>
      </w:r>
      <w:r>
        <w:rPr>
          <w:rFonts w:hint="eastAsia" w:eastAsia="仿宋_GB2312"/>
          <w:color w:val="000000"/>
          <w:kern w:val="0"/>
          <w:sz w:val="32"/>
          <w:szCs w:val="32"/>
        </w:rPr>
        <w:t>；</w:t>
      </w:r>
    </w:p>
    <w:p>
      <w:pPr>
        <w:spacing w:line="590" w:lineRule="exact"/>
        <w:ind w:firstLine="640" w:firstLineChars="200"/>
        <w:jc w:val="left"/>
        <w:rPr>
          <w:rFonts w:eastAsia="微软雅黑"/>
          <w:color w:val="000000"/>
          <w:kern w:val="0"/>
          <w:szCs w:val="21"/>
        </w:rPr>
      </w:pPr>
      <w:r>
        <w:rPr>
          <w:rFonts w:eastAsia="仿宋_GB2312"/>
          <w:color w:val="000000"/>
          <w:kern w:val="0"/>
          <w:sz w:val="32"/>
          <w:szCs w:val="32"/>
        </w:rPr>
        <w:t>（三）工作失误造成较大损失的，出具的报告严重失实，误差率在±10%以上的</w:t>
      </w:r>
      <w:r>
        <w:rPr>
          <w:rFonts w:hint="eastAsia" w:eastAsia="仿宋_GB2312"/>
          <w:color w:val="000000"/>
          <w:kern w:val="0"/>
          <w:sz w:val="32"/>
          <w:szCs w:val="32"/>
        </w:rPr>
        <w:t>；</w:t>
      </w:r>
    </w:p>
    <w:p>
      <w:pPr>
        <w:spacing w:line="590" w:lineRule="exact"/>
        <w:ind w:firstLine="640" w:firstLineChars="200"/>
        <w:jc w:val="left"/>
        <w:rPr>
          <w:rFonts w:eastAsia="仿宋_GB2312"/>
          <w:bCs/>
          <w:color w:val="000000"/>
          <w:kern w:val="0"/>
          <w:sz w:val="32"/>
          <w:szCs w:val="32"/>
        </w:rPr>
      </w:pPr>
      <w:r>
        <w:rPr>
          <w:rFonts w:eastAsia="仿宋_GB2312"/>
          <w:bCs/>
          <w:color w:val="000000"/>
          <w:kern w:val="0"/>
          <w:sz w:val="32"/>
          <w:szCs w:val="32"/>
        </w:rPr>
        <w:t>（四）违反廉政纪律或保密纪律规定，利用评审工作获取不正当利益的</w:t>
      </w:r>
      <w:r>
        <w:rPr>
          <w:rFonts w:hint="eastAsia" w:eastAsia="仿宋_GB2312"/>
          <w:bCs/>
          <w:color w:val="000000"/>
          <w:kern w:val="0"/>
          <w:sz w:val="32"/>
          <w:szCs w:val="32"/>
        </w:rPr>
        <w:t>；</w:t>
      </w:r>
    </w:p>
    <w:p>
      <w:pPr>
        <w:spacing w:line="590" w:lineRule="exact"/>
        <w:ind w:firstLine="640" w:firstLineChars="200"/>
        <w:jc w:val="left"/>
        <w:rPr>
          <w:rFonts w:eastAsia="微软雅黑"/>
          <w:color w:val="000000"/>
          <w:kern w:val="0"/>
          <w:szCs w:val="21"/>
        </w:rPr>
      </w:pPr>
      <w:r>
        <w:rPr>
          <w:rFonts w:eastAsia="仿宋_GB2312"/>
          <w:color w:val="000000"/>
          <w:kern w:val="0"/>
          <w:sz w:val="32"/>
          <w:szCs w:val="32"/>
        </w:rPr>
        <w:t>（五）项目评审中隐瞒问题、弄虚作假、串通舞弊的</w:t>
      </w:r>
      <w:r>
        <w:rPr>
          <w:rFonts w:hint="eastAsia" w:eastAsia="仿宋_GB2312"/>
          <w:color w:val="000000"/>
          <w:kern w:val="0"/>
          <w:sz w:val="32"/>
          <w:szCs w:val="32"/>
        </w:rPr>
        <w:t>；</w:t>
      </w:r>
      <w:r>
        <w:rPr>
          <w:rFonts w:eastAsia="仿宋_GB2312"/>
          <w:color w:val="000000"/>
          <w:kern w:val="0"/>
          <w:sz w:val="32"/>
          <w:szCs w:val="32"/>
        </w:rPr>
        <w:t>　</w:t>
      </w:r>
    </w:p>
    <w:p>
      <w:pPr>
        <w:spacing w:line="590" w:lineRule="exact"/>
        <w:ind w:firstLine="640" w:firstLineChars="200"/>
        <w:jc w:val="left"/>
        <w:rPr>
          <w:rFonts w:eastAsia="微软雅黑"/>
          <w:color w:val="000000"/>
          <w:kern w:val="0"/>
          <w:szCs w:val="21"/>
        </w:rPr>
      </w:pPr>
      <w:r>
        <w:rPr>
          <w:rFonts w:eastAsia="仿宋_GB2312"/>
          <w:color w:val="000000"/>
          <w:kern w:val="0"/>
          <w:sz w:val="32"/>
          <w:szCs w:val="32"/>
        </w:rPr>
        <w:t>（六）拒绝或转让其应履行义务的</w:t>
      </w:r>
      <w:r>
        <w:rPr>
          <w:rFonts w:hint="eastAsia" w:eastAsia="仿宋_GB2312"/>
          <w:color w:val="000000"/>
          <w:kern w:val="0"/>
          <w:sz w:val="32"/>
          <w:szCs w:val="32"/>
        </w:rPr>
        <w:t>；</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七</w:t>
      </w:r>
      <w:r>
        <w:rPr>
          <w:rFonts w:eastAsia="仿宋_GB2312"/>
          <w:color w:val="000000"/>
          <w:kern w:val="0"/>
          <w:sz w:val="32"/>
          <w:szCs w:val="32"/>
        </w:rPr>
        <w:t>）有其他违法违规行为。</w:t>
      </w:r>
    </w:p>
    <w:p>
      <w:pPr>
        <w:spacing w:line="590" w:lineRule="exact"/>
        <w:ind w:firstLine="640" w:firstLineChars="200"/>
        <w:jc w:val="left"/>
        <w:rPr>
          <w:rFonts w:hint="eastAsia" w:eastAsia="仿宋_GB2312"/>
          <w:color w:val="000000"/>
          <w:kern w:val="0"/>
          <w:sz w:val="32"/>
          <w:szCs w:val="32"/>
        </w:rPr>
      </w:pPr>
      <w:r>
        <w:rPr>
          <w:rFonts w:eastAsia="黑体"/>
          <w:color w:val="000000"/>
          <w:kern w:val="0"/>
          <w:sz w:val="32"/>
          <w:szCs w:val="32"/>
        </w:rPr>
        <w:t>第十</w:t>
      </w:r>
      <w:r>
        <w:rPr>
          <w:rFonts w:hint="eastAsia" w:eastAsia="黑体"/>
          <w:color w:val="000000"/>
          <w:kern w:val="0"/>
          <w:sz w:val="32"/>
          <w:szCs w:val="32"/>
        </w:rPr>
        <w:t>五</w:t>
      </w:r>
      <w:r>
        <w:rPr>
          <w:rFonts w:eastAsia="黑体"/>
          <w:color w:val="000000"/>
          <w:kern w:val="0"/>
          <w:sz w:val="32"/>
          <w:szCs w:val="32"/>
        </w:rPr>
        <w:t>条</w:t>
      </w:r>
      <w:r>
        <w:rPr>
          <w:rFonts w:eastAsia="仿宋_GB2312"/>
          <w:color w:val="000000"/>
          <w:kern w:val="0"/>
          <w:sz w:val="32"/>
          <w:szCs w:val="32"/>
        </w:rPr>
        <w:t xml:space="preserve"> </w:t>
      </w:r>
      <w:r>
        <w:rPr>
          <w:rFonts w:hint="eastAsia" w:eastAsia="仿宋_GB2312"/>
          <w:color w:val="000000"/>
          <w:kern w:val="0"/>
          <w:sz w:val="32"/>
          <w:szCs w:val="32"/>
        </w:rPr>
        <w:t xml:space="preserve"> </w:t>
      </w:r>
      <w:r>
        <w:rPr>
          <w:rFonts w:eastAsia="仿宋_GB2312"/>
          <w:color w:val="000000"/>
          <w:kern w:val="0"/>
          <w:sz w:val="32"/>
          <w:szCs w:val="32"/>
        </w:rPr>
        <w:t>对评审过程中的违规问题，市财政投资评审</w:t>
      </w:r>
      <w:r>
        <w:rPr>
          <w:rFonts w:hint="eastAsia" w:eastAsia="仿宋_GB2312"/>
          <w:color w:val="000000"/>
          <w:kern w:val="0"/>
          <w:sz w:val="32"/>
          <w:szCs w:val="32"/>
        </w:rPr>
        <w:t>中心</w:t>
      </w:r>
      <w:r>
        <w:rPr>
          <w:rFonts w:eastAsia="仿宋_GB2312"/>
          <w:color w:val="000000"/>
          <w:kern w:val="0"/>
          <w:sz w:val="32"/>
          <w:szCs w:val="32"/>
        </w:rPr>
        <w:t>根据情节严重程度，按相关制度规定给予警告、通报批评、暂停或终止</w:t>
      </w:r>
      <w:r>
        <w:rPr>
          <w:rFonts w:hint="eastAsia" w:eastAsia="仿宋_GB2312"/>
          <w:color w:val="000000"/>
          <w:kern w:val="0"/>
          <w:sz w:val="32"/>
          <w:szCs w:val="32"/>
        </w:rPr>
        <w:t>业务</w:t>
      </w:r>
      <w:r>
        <w:rPr>
          <w:rFonts w:eastAsia="仿宋_GB2312"/>
          <w:color w:val="000000"/>
          <w:kern w:val="0"/>
          <w:sz w:val="32"/>
          <w:szCs w:val="32"/>
        </w:rPr>
        <w:t>委托、取消</w:t>
      </w:r>
      <w:r>
        <w:rPr>
          <w:rFonts w:hint="eastAsia" w:eastAsia="仿宋_GB2312"/>
          <w:color w:val="000000"/>
          <w:kern w:val="0"/>
          <w:sz w:val="32"/>
          <w:szCs w:val="32"/>
        </w:rPr>
        <w:t>备案</w:t>
      </w:r>
      <w:r>
        <w:rPr>
          <w:rFonts w:eastAsia="仿宋_GB2312"/>
          <w:color w:val="000000"/>
          <w:kern w:val="0"/>
          <w:sz w:val="32"/>
          <w:szCs w:val="32"/>
        </w:rPr>
        <w:t>资格、</w:t>
      </w:r>
      <w:r>
        <w:rPr>
          <w:rFonts w:hint="eastAsia" w:eastAsia="仿宋_GB2312"/>
          <w:color w:val="000000"/>
          <w:kern w:val="0"/>
          <w:sz w:val="32"/>
          <w:szCs w:val="32"/>
        </w:rPr>
        <w:t>不支付或</w:t>
      </w:r>
      <w:r>
        <w:rPr>
          <w:rFonts w:eastAsia="仿宋_GB2312"/>
          <w:color w:val="000000"/>
          <w:kern w:val="0"/>
          <w:sz w:val="32"/>
          <w:szCs w:val="32"/>
        </w:rPr>
        <w:t>扣减评审服务费，情节严重的、涉嫌违法的，移送司法机关处理。</w:t>
      </w:r>
    </w:p>
    <w:p>
      <w:pPr>
        <w:spacing w:line="590" w:lineRule="exact"/>
        <w:ind w:firstLine="640" w:firstLineChars="200"/>
        <w:jc w:val="left"/>
        <w:rPr>
          <w:rFonts w:hint="eastAsia" w:eastAsia="仿宋_GB2312"/>
          <w:color w:val="000000"/>
          <w:kern w:val="0"/>
          <w:sz w:val="32"/>
          <w:szCs w:val="32"/>
          <w:lang w:eastAsia="zh-CN"/>
        </w:rPr>
      </w:pPr>
      <w:r>
        <w:rPr>
          <w:rFonts w:hint="eastAsia" w:eastAsia="黑体"/>
          <w:color w:val="000000"/>
          <w:kern w:val="0"/>
          <w:sz w:val="32"/>
          <w:szCs w:val="32"/>
        </w:rPr>
        <w:t>第十六条</w:t>
      </w:r>
      <w:r>
        <w:rPr>
          <w:rFonts w:hint="eastAsia" w:eastAsia="仿宋_GB2312"/>
          <w:color w:val="000000"/>
          <w:kern w:val="0"/>
          <w:sz w:val="32"/>
          <w:szCs w:val="32"/>
        </w:rPr>
        <w:t>　本暂行办法自发布之日起施行。本部门以前发布的规定如与本规定不一致的，适用本规定</w:t>
      </w:r>
      <w:r>
        <w:rPr>
          <w:rFonts w:hint="eastAsia" w:eastAsia="仿宋_GB2312"/>
          <w:color w:val="000000"/>
          <w:kern w:val="0"/>
          <w:sz w:val="32"/>
          <w:szCs w:val="32"/>
          <w:lang w:eastAsia="zh-CN"/>
        </w:rPr>
        <w:t>。</w:t>
      </w: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附：《岳阳市财政投资评审中介咨询服务机构考核办法》</w:t>
      </w:r>
    </w:p>
    <w:p>
      <w:pPr>
        <w:spacing w:line="590" w:lineRule="exact"/>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left"/>
        <w:rPr>
          <w:rFonts w:hint="eastAsia" w:eastAsia="仿宋_GB2312"/>
          <w:color w:val="000000"/>
          <w:kern w:val="0"/>
          <w:sz w:val="32"/>
          <w:szCs w:val="32"/>
        </w:rPr>
      </w:pPr>
    </w:p>
    <w:p>
      <w:pPr>
        <w:spacing w:line="590" w:lineRule="exact"/>
        <w:jc w:val="center"/>
        <w:rPr>
          <w:rFonts w:hint="eastAsia" w:eastAsia="方正小标宋简体"/>
          <w:color w:val="000000"/>
          <w:kern w:val="0"/>
          <w:sz w:val="44"/>
          <w:szCs w:val="44"/>
          <w:lang w:eastAsia="zh-CN"/>
        </w:rPr>
      </w:pPr>
      <w:r>
        <w:rPr>
          <w:rFonts w:hint="eastAsia" w:eastAsia="方正小标宋简体"/>
          <w:color w:val="000000"/>
          <w:kern w:val="0"/>
          <w:sz w:val="44"/>
          <w:szCs w:val="44"/>
          <w:lang w:eastAsia="zh-CN"/>
        </w:rPr>
        <w:t>岳阳市市本级财政投资评审业务委托</w:t>
      </w:r>
      <w:r>
        <w:rPr>
          <w:rFonts w:hint="eastAsia" w:eastAsia="方正小标宋简体"/>
          <w:color w:val="000000"/>
          <w:kern w:val="0"/>
          <w:sz w:val="44"/>
          <w:szCs w:val="44"/>
          <w:lang w:val="en-US" w:eastAsia="zh-CN"/>
        </w:rPr>
        <w:t xml:space="preserve">     </w:t>
      </w:r>
      <w:r>
        <w:rPr>
          <w:rFonts w:hint="eastAsia" w:eastAsia="方正小标宋简体"/>
          <w:color w:val="000000"/>
          <w:kern w:val="0"/>
          <w:sz w:val="44"/>
          <w:szCs w:val="44"/>
          <w:lang w:eastAsia="zh-CN"/>
        </w:rPr>
        <w:t>考核办法</w:t>
      </w:r>
    </w:p>
    <w:p>
      <w:pPr>
        <w:jc w:val="center"/>
        <w:rPr>
          <w:sz w:val="24"/>
          <w:szCs w:val="24"/>
        </w:rPr>
      </w:pPr>
      <w:r>
        <w:rPr>
          <w:sz w:val="24"/>
          <w:szCs w:val="24"/>
        </w:rPr>
        <w:t xml:space="preserve"> </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为进一步加强我市财政投资评审管理工作、确保财政投资业务委托评审质量、公平公正，特制定业务委托考核办法。</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一、考核对象</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从事岳阳市市本级财政投资评审服务的中介咨询服务机构。</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二、考核办法</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考核采取百分制，实行日常考核和综合考核相结合。日常考核分为：单项业务考核（60分）、单项业务关联考核(15分)。综合考核分为：基础考核（20分）、联动考核（5分）。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三、考核内容和评分标准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（一）单项业务考核（60分）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1、技术性考核（30分）（1）初审成果考核：对单项工程预算、结算初审成果文件经复核中查出存在工程量计算、定额套用、主材价格差错及特殊材料设备价格来源依据不充分、偏差较大的每项扣0.5分；评审依据、取费标准上存在差错的每项扣1分。（2）修正稿及最终成果考核：对财评复核造价师提出的合理意见未调整到位的每项扣2分，审核说明不详尽、审减（增）清单不详细，每发现一项扣1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2、评审程序考核（8分）未按评审程序执行，如缺少现场勘察、询价记录、工作底稿、三级复核表等，每缺少一项扣2分。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3、评审时效考核（8分）中介咨询机构因自身原因未在规定时间内完成评审任务，每推迟1天扣2分。非中介咨询机构自身原因造成的延误，不纳入考核。</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4、资料的规范性考核（8分）评审资料不完整、签字手续不齐全、评审依据不充分，特殊材料询价依据不足、违规接受被评审对象补充资料、遗失评审资料等，每项扣1分。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5、单项综合评分考核（6分）：对咨询成果的完整度、信息披露的客观准确性、报告的规范性、严谨性，风险的控制与规避、中介咨询机构从业人员的职业道德、个人素质等进行综合评价，任何一项不到位，将酌情扣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（二）单项业务关联考核（15分）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单项业务关联考核是指从事岳阳市本级投资项目咨询服务的中介咨询机构，其业务非我中心委托，但其咨询成果在我中心进行评审的中介咨询机构的考核。</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如关联考核的中介咨询机构在我中心备案登记范围内，单项业务关联考核纳入综合考核范畴，如关联考核的中介咨询机构没在我中心备案登记，其考核结果作为将来备案和考核的依据。具体考核办法为：</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1、技术性考核（10分）：对单项工程预、结算初审成果文件经复审中查出在工程量计算、定额套用、主材价格存有差错及特殊材料设备价格来源依据不充分、偏差较大的每项扣1分，评审依据、取费标准上存在差错的每项扣2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2、财政资金使用考核（2分）：对财政资金使用政策、用途及使用范围理解错误，将非财政投资项目纳入评审结论的，每次扣1分。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3、咨询报告整体质量考核（3分）：对咨询成果的完整度、信息披露的客观准确性、报告的规范性、严谨性，任何一项不到位，将酌情扣分。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（三）基础考核（20分）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1、具备行业从业资质，在岳阳市范围内设立分公司并具有独立的办公场所，入驻湖南省政府采购电子卖场共计10分，四项基本条件不同时具备不计分。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2、内部管理制度计3分，包括建立《执业质量控制制度》、《廉政建设制度》、《档案管理制度》等，每少一项扣1分。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3、从业人员具有工程造价咨询执业资格，且按相关执业规定从事执业计3分，未达到要求不计分。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4、档案资料归档保管完整计2分。成果文件完成后应及时归档完整，摆放整齐。其中预算审核资料包括：工程预算造价汇总表及清单资料、工程量计算式、工程预算审核会议纪要及说明书、预算送审资料、施工设计图纸等必要的资料。结算审核资料包括：工程预算造价审核书及清单、工程预算工程量计算式、隐蔽工程记录签证、工程结算送审资料、审核工程结算书及清单、工程结算造价审核咨询报告等必要的资料。每少一项必要资料扣1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5、近三年获得市级及以上建设主管部门颁发的先进奖项的每项加1分，最多得2分。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（四）联动考核（5分）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联动考核指在综合考核时，将关联市区财政评审中心(岳阳楼区、经开区、南湖新区、君山区、云溪区、城陵矶新港区）和市区关联国有企业（市城投集团、市交投集团、洞庭新城公司、港投集团、三荷机场）对各中介咨询服务机构本年度执业质量考核情况，和市审计局对参与市本级财政投资项目审计的中介咨询机构执业质量反馈情况纳入我中心综合考核范畴。</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纳入联动考核结果认定前提是已建立完善的中介咨询机构质量考核体系，并进行实时有效考核的关联市区财评中心和关联市区国有企业的年度综合考核结果。具体以各单位年度整体考核结果文件为准。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市审计局对参与市本级财政投资项目审计的中介咨询机构执业质量反馈情况主要是指审计局在监督审计中发现经被考核中介咨询机构服务项目咨询质量超过允许误差或出现重大失误的情况反馈。</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符合上述条件的中介评审机构在年度综合考核排名前三的每项考核结果加1分，最多加5分，受到通报批评的每项扣2分。</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超过市审计局监督审计允许误差的扣1分（每增超1%增扣1分）、存在重大失误的每次扣5分。</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（五）综合考核</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考核每半年一次，结果分为三档次，前20%的为第一档，21%至80%的为第二档，后20%为第三档。</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综合考核得分＝基础考核得分+评价周期内的所有单项业务考核算术平均分+单项业务关联考核算术平均分+联动考核得分。</w:t>
      </w:r>
    </w:p>
    <w:p>
      <w:pPr>
        <w:spacing w:line="59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部分中介咨询机构无单项业务关联考核的，其关联考核分按所有参与关联考核单位的关联考核算术平均分计入。审计监</w:t>
      </w:r>
      <w:r>
        <w:rPr>
          <w:rFonts w:eastAsia="仿宋_GB2312"/>
          <w:color w:val="000000"/>
          <w:kern w:val="0"/>
          <w:sz w:val="32"/>
          <w:szCs w:val="32"/>
        </w:rPr>
        <w:t>审计监督扣分时点以市审计部门反馈时点为准，并纳入该时段的综合考核。</w:t>
      </w:r>
    </w:p>
    <w:p>
      <w:pPr>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四、考核结果运用</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考核结果与业务委托挂钩。</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考核结果为第一档的中介咨询机构，业务委托量适当予以奖励；考核结果为第三档的中介咨询机构暂停一个考核周期（半年）的业务委托。</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2、单项业务结算评审超过质量允许误差的按合同约定扣减相应咨询服务费。</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3、因中介咨询机构原因造成建设单位损失的，咨询服务费不予计算，并追究相关人员的责任。</w:t>
      </w:r>
    </w:p>
    <w:p>
      <w:pPr>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4、中介咨询机构审核人员出现重大过失、故意提供虚假工作底稿、徇私舞弊、不积极配合评审，追究相应的法律责任。</w:t>
      </w:r>
    </w:p>
    <w:p>
      <w:pPr>
        <w:spacing w:line="590" w:lineRule="exact"/>
        <w:ind w:firstLine="640" w:firstLineChars="200"/>
        <w:jc w:val="left"/>
        <w:rPr>
          <w:rFonts w:hint="eastAsia" w:eastAsia="仿宋_GB2312"/>
          <w:color w:val="000000"/>
          <w:kern w:val="0"/>
          <w:sz w:val="32"/>
          <w:szCs w:val="32"/>
        </w:rPr>
      </w:pPr>
    </w:p>
    <w:p>
      <w:pPr>
        <w:spacing w:line="590" w:lineRule="exact"/>
        <w:ind w:firstLine="640" w:firstLineChars="200"/>
        <w:jc w:val="right"/>
        <w:rPr>
          <w:rFonts w:ascii="宋体" w:hAnsi="宋体" w:eastAsia="宋体"/>
          <w:sz w:val="30"/>
          <w:szCs w:val="30"/>
        </w:rPr>
      </w:pPr>
      <w:r>
        <w:rPr>
          <w:rFonts w:eastAsia="仿宋_GB2312"/>
          <w:color w:val="000000"/>
          <w:kern w:val="0"/>
          <w:sz w:val="32"/>
          <w:szCs w:val="32"/>
        </w:rPr>
        <w:t xml:space="preserve"> </w:t>
      </w:r>
      <w:r>
        <w:rPr>
          <w:rFonts w:hint="eastAsia" w:eastAsia="仿宋_GB2312"/>
          <w:color w:val="000000"/>
          <w:kern w:val="0"/>
          <w:sz w:val="32"/>
          <w:szCs w:val="32"/>
        </w:rPr>
        <w:t>2020年</w:t>
      </w:r>
      <w:r>
        <w:rPr>
          <w:rFonts w:hint="eastAsia" w:eastAsia="仿宋_GB2312"/>
          <w:color w:val="000000"/>
          <w:kern w:val="0"/>
          <w:sz w:val="32"/>
          <w:szCs w:val="32"/>
          <w:lang w:val="en-US" w:eastAsia="zh-CN"/>
        </w:rPr>
        <w:t>9</w:t>
      </w:r>
      <w:r>
        <w:rPr>
          <w:rFonts w:hint="eastAsia" w:eastAsia="仿宋_GB2312"/>
          <w:color w:val="000000"/>
          <w:kern w:val="0"/>
          <w:sz w:val="32"/>
          <w:szCs w:val="32"/>
        </w:rPr>
        <w:t>月</w:t>
      </w:r>
      <w:r>
        <w:rPr>
          <w:rFonts w:hint="eastAsia" w:eastAsia="仿宋_GB2312"/>
          <w:color w:val="000000"/>
          <w:kern w:val="0"/>
          <w:sz w:val="32"/>
          <w:szCs w:val="32"/>
          <w:lang w:val="en-US" w:eastAsia="zh-CN"/>
        </w:rPr>
        <w:t>9</w:t>
      </w:r>
      <w:r>
        <w:rPr>
          <w:rFonts w:hint="eastAsia" w:eastAsia="仿宋_GB2312"/>
          <w:color w:val="000000"/>
          <w:kern w:val="0"/>
          <w:sz w:val="32"/>
          <w:szCs w:val="32"/>
        </w:rPr>
        <w:t>日</w:t>
      </w:r>
    </w:p>
    <w:p>
      <w:pPr>
        <w:ind w:firstLine="150" w:firstLineChars="50"/>
        <w:rPr>
          <w:rFonts w:ascii="宋体" w:hAnsi="宋体" w:eastAsia="宋体"/>
          <w:sz w:val="30"/>
          <w:szCs w:val="30"/>
        </w:rPr>
      </w:pPr>
      <w:r>
        <w:rPr>
          <w:rFonts w:ascii="宋体" w:hAnsi="宋体" w:eastAsia="宋体"/>
          <w:sz w:val="30"/>
          <w:szCs w:val="30"/>
        </w:rPr>
        <w:t>附考核评价表：</w:t>
      </w:r>
    </w:p>
    <w:tbl>
      <w:tblPr>
        <w:tblStyle w:val="5"/>
        <w:tblW w:w="9180" w:type="dxa"/>
        <w:tblInd w:w="93" w:type="dxa"/>
        <w:tblLayout w:type="autofit"/>
        <w:tblCellMar>
          <w:top w:w="0" w:type="dxa"/>
          <w:left w:w="108" w:type="dxa"/>
          <w:bottom w:w="0" w:type="dxa"/>
          <w:right w:w="108" w:type="dxa"/>
        </w:tblCellMar>
      </w:tblPr>
      <w:tblGrid>
        <w:gridCol w:w="646"/>
        <w:gridCol w:w="4367"/>
        <w:gridCol w:w="1091"/>
        <w:gridCol w:w="1091"/>
        <w:gridCol w:w="1091"/>
        <w:gridCol w:w="894"/>
      </w:tblGrid>
      <w:tr>
        <w:tblPrEx>
          <w:tblCellMar>
            <w:top w:w="0" w:type="dxa"/>
            <w:left w:w="108" w:type="dxa"/>
            <w:bottom w:w="0" w:type="dxa"/>
            <w:right w:w="108" w:type="dxa"/>
          </w:tblCellMar>
        </w:tblPrEx>
        <w:trPr>
          <w:trHeight w:val="638" w:hRule="atLeast"/>
        </w:trPr>
        <w:tc>
          <w:tcPr>
            <w:tcW w:w="9180" w:type="dxa"/>
            <w:gridSpan w:val="6"/>
            <w:tcBorders>
              <w:top w:val="nil"/>
              <w:left w:val="nil"/>
              <w:bottom w:val="nil"/>
              <w:right w:val="nil"/>
            </w:tcBorders>
            <w:noWrap/>
            <w:vAlign w:val="center"/>
          </w:tcPr>
          <w:p>
            <w:pPr>
              <w:widowControl/>
              <w:jc w:val="center"/>
              <w:rPr>
                <w:rFonts w:ascii="宋体" w:hAnsi="宋体"/>
                <w:b/>
                <w:bCs/>
                <w:color w:val="000000"/>
                <w:kern w:val="0"/>
                <w:sz w:val="22"/>
                <w:szCs w:val="22"/>
              </w:rPr>
            </w:pPr>
            <w:r>
              <w:rPr>
                <w:rFonts w:hint="eastAsia"/>
                <w:b/>
                <w:bCs/>
                <w:sz w:val="24"/>
                <w:szCs w:val="24"/>
              </w:rPr>
              <w:t>单项业务考核</w:t>
            </w:r>
          </w:p>
        </w:tc>
      </w:tr>
      <w:tr>
        <w:tblPrEx>
          <w:tblCellMar>
            <w:top w:w="0" w:type="dxa"/>
            <w:left w:w="108" w:type="dxa"/>
            <w:bottom w:w="0" w:type="dxa"/>
            <w:right w:w="108" w:type="dxa"/>
          </w:tblCellMar>
        </w:tblPrEx>
        <w:trPr>
          <w:trHeight w:val="547" w:hRule="atLeast"/>
        </w:trPr>
        <w:tc>
          <w:tcPr>
            <w:tcW w:w="9180" w:type="dxa"/>
            <w:gridSpan w:val="6"/>
            <w:tcBorders>
              <w:top w:val="nil"/>
              <w:left w:val="nil"/>
              <w:bottom w:val="nil"/>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项目名称：</w:t>
            </w:r>
          </w:p>
        </w:tc>
      </w:tr>
      <w:tr>
        <w:tblPrEx>
          <w:tblCellMar>
            <w:top w:w="0" w:type="dxa"/>
            <w:left w:w="108" w:type="dxa"/>
            <w:bottom w:w="0" w:type="dxa"/>
            <w:right w:w="108" w:type="dxa"/>
          </w:tblCellMar>
        </w:tblPrEx>
        <w:trPr>
          <w:trHeight w:val="638" w:hRule="atLeast"/>
        </w:trPr>
        <w:tc>
          <w:tcPr>
            <w:tcW w:w="9180" w:type="dxa"/>
            <w:gridSpan w:val="6"/>
            <w:tcBorders>
              <w:top w:val="nil"/>
              <w:left w:val="nil"/>
              <w:bottom w:val="single" w:color="auto" w:sz="4" w:space="0"/>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咨询机构：                 报告编号：</w:t>
            </w:r>
          </w:p>
        </w:tc>
      </w:tr>
      <w:tr>
        <w:tblPrEx>
          <w:tblCellMar>
            <w:top w:w="0" w:type="dxa"/>
            <w:left w:w="108" w:type="dxa"/>
            <w:bottom w:w="0" w:type="dxa"/>
            <w:right w:w="108" w:type="dxa"/>
          </w:tblCellMar>
        </w:tblPrEx>
        <w:trPr>
          <w:trHeight w:val="424"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4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考核内容</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考核人</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标准得分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考核得分</w:t>
            </w:r>
          </w:p>
        </w:tc>
        <w:tc>
          <w:tcPr>
            <w:tcW w:w="894"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签名</w:t>
            </w:r>
          </w:p>
        </w:tc>
      </w:tr>
      <w:tr>
        <w:tblPrEx>
          <w:tblCellMar>
            <w:top w:w="0" w:type="dxa"/>
            <w:left w:w="108" w:type="dxa"/>
            <w:bottom w:w="0" w:type="dxa"/>
            <w:right w:w="108" w:type="dxa"/>
          </w:tblCellMar>
        </w:tblPrEx>
        <w:trPr>
          <w:trHeight w:val="3821"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1</w:t>
            </w:r>
          </w:p>
        </w:tc>
        <w:tc>
          <w:tcPr>
            <w:tcW w:w="4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技术性考核：1、初审成果考核：对单项工程预、结算初审成果文件经复审中查出在工程量计算、定额套用、主材价格存有差错及特殊材料设备价格来源依据不充分、偏差较大的每项扣0.5分，评审依据、取费标准上存在差错的每项扣1分。</w:t>
            </w:r>
          </w:p>
          <w:p>
            <w:pPr>
              <w:widowControl/>
              <w:jc w:val="left"/>
              <w:rPr>
                <w:rFonts w:ascii="宋体" w:hAnsi="宋体"/>
                <w:color w:val="000000"/>
                <w:kern w:val="0"/>
              </w:rPr>
            </w:pPr>
            <w:r>
              <w:rPr>
                <w:rFonts w:hint="eastAsia" w:ascii="宋体" w:hAnsi="宋体"/>
                <w:color w:val="000000"/>
                <w:kern w:val="0"/>
              </w:rPr>
              <w:t>2、修正稿及最终成果考核：对财评复核造价师提出的合理意见未调整的每项扣2分，审核说明不详尽、主要审减（增）清单不详细每发现一项扣1分。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复核造价师</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30</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318"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2</w:t>
            </w:r>
          </w:p>
        </w:tc>
        <w:tc>
          <w:tcPr>
            <w:tcW w:w="4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评审程序考核：未按评审程序执行，如缺少现场勘察、询价记录、工作底稿、三级复核表等，每缺少一项扣2分。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技术岗位人员</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8</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318"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3</w:t>
            </w:r>
          </w:p>
        </w:tc>
        <w:tc>
          <w:tcPr>
            <w:tcW w:w="4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评审时效考核：中介咨询机构因自身原因未在规定时间内完成评审任务，每推迟1天扣2分。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综合岗位人员</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8</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541"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4</w:t>
            </w:r>
          </w:p>
        </w:tc>
        <w:tc>
          <w:tcPr>
            <w:tcW w:w="4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资料的规范性考核：评审资料不完整、签字手续不齐全、评审依据不充分，特殊材料询价依据不足、违规接受被评审对象补充资料、遗失评审资料等，每项扣1分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综合岗位人员</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8</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894"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922" w:hRule="atLeast"/>
        </w:trPr>
        <w:tc>
          <w:tcPr>
            <w:tcW w:w="646"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5</w:t>
            </w:r>
          </w:p>
        </w:tc>
        <w:tc>
          <w:tcPr>
            <w:tcW w:w="4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单项综合评分考核：对咨询成果的完整度、信息披露的客观准确性、报告的规范性、严谨性，风险的控制与规避、中介机构从业人员的执业规范、职业道德、个人素质等进行综合评价，任何一项不到位，将酌情扣分。</w:t>
            </w:r>
          </w:p>
        </w:tc>
        <w:tc>
          <w:tcPr>
            <w:tcW w:w="109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中心主任</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6</w:t>
            </w:r>
          </w:p>
        </w:tc>
        <w:tc>
          <w:tcPr>
            <w:tcW w:w="1091"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89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29" w:hRule="atLeast"/>
        </w:trPr>
        <w:tc>
          <w:tcPr>
            <w:tcW w:w="50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考核合计得分</w:t>
            </w:r>
          </w:p>
        </w:tc>
        <w:tc>
          <w:tcPr>
            <w:tcW w:w="109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60</w:t>
            </w:r>
          </w:p>
        </w:tc>
        <w:tc>
          <w:tcPr>
            <w:tcW w:w="109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894"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bl>
    <w:p>
      <w:pPr>
        <w:rPr>
          <w:rFonts w:ascii="仿宋" w:hAnsi="仿宋"/>
          <w:sz w:val="32"/>
          <w:szCs w:val="32"/>
        </w:rPr>
      </w:pPr>
      <w:r>
        <w:rPr>
          <w:rFonts w:ascii="仿宋" w:hAnsi="仿宋"/>
          <w:sz w:val="32"/>
          <w:szCs w:val="32"/>
        </w:rPr>
        <w:t xml:space="preserve"> </w:t>
      </w:r>
    </w:p>
    <w:tbl>
      <w:tblPr>
        <w:tblStyle w:val="5"/>
        <w:tblW w:w="8980" w:type="dxa"/>
        <w:tblInd w:w="93" w:type="dxa"/>
        <w:tblLayout w:type="autofit"/>
        <w:tblCellMar>
          <w:top w:w="0" w:type="dxa"/>
          <w:left w:w="108" w:type="dxa"/>
          <w:bottom w:w="0" w:type="dxa"/>
          <w:right w:w="108" w:type="dxa"/>
        </w:tblCellMar>
      </w:tblPr>
      <w:tblGrid>
        <w:gridCol w:w="1242"/>
        <w:gridCol w:w="226"/>
        <w:gridCol w:w="226"/>
        <w:gridCol w:w="226"/>
        <w:gridCol w:w="1860"/>
        <w:gridCol w:w="569"/>
        <w:gridCol w:w="1011"/>
        <w:gridCol w:w="292"/>
        <w:gridCol w:w="1008"/>
        <w:gridCol w:w="852"/>
        <w:gridCol w:w="1468"/>
      </w:tblGrid>
      <w:tr>
        <w:tblPrEx>
          <w:tblCellMar>
            <w:top w:w="0" w:type="dxa"/>
            <w:left w:w="108" w:type="dxa"/>
            <w:bottom w:w="0" w:type="dxa"/>
            <w:right w:w="108" w:type="dxa"/>
          </w:tblCellMar>
        </w:tblPrEx>
        <w:trPr>
          <w:trHeight w:val="693" w:hRule="atLeast"/>
        </w:trPr>
        <w:tc>
          <w:tcPr>
            <w:tcW w:w="8980" w:type="dxa"/>
            <w:gridSpan w:val="11"/>
            <w:tcBorders>
              <w:top w:val="nil"/>
              <w:left w:val="nil"/>
              <w:bottom w:val="nil"/>
              <w:right w:val="nil"/>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单项业务关联考核表</w:t>
            </w:r>
          </w:p>
        </w:tc>
      </w:tr>
      <w:tr>
        <w:tblPrEx>
          <w:tblCellMar>
            <w:top w:w="0" w:type="dxa"/>
            <w:left w:w="108" w:type="dxa"/>
            <w:bottom w:w="0" w:type="dxa"/>
            <w:right w:w="108" w:type="dxa"/>
          </w:tblCellMar>
        </w:tblPrEx>
        <w:trPr>
          <w:trHeight w:val="595" w:hRule="atLeast"/>
        </w:trPr>
        <w:tc>
          <w:tcPr>
            <w:tcW w:w="8980" w:type="dxa"/>
            <w:gridSpan w:val="11"/>
            <w:tcBorders>
              <w:top w:val="nil"/>
              <w:left w:val="nil"/>
              <w:bottom w:val="nil"/>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项目名称：</w:t>
            </w:r>
          </w:p>
        </w:tc>
      </w:tr>
      <w:tr>
        <w:tblPrEx>
          <w:tblCellMar>
            <w:top w:w="0" w:type="dxa"/>
            <w:left w:w="108" w:type="dxa"/>
            <w:bottom w:w="0" w:type="dxa"/>
            <w:right w:w="108" w:type="dxa"/>
          </w:tblCellMar>
        </w:tblPrEx>
        <w:trPr>
          <w:trHeight w:val="595" w:hRule="atLeast"/>
        </w:trPr>
        <w:tc>
          <w:tcPr>
            <w:tcW w:w="1242" w:type="dxa"/>
            <w:tcBorders>
              <w:top w:val="nil"/>
              <w:left w:val="nil"/>
              <w:bottom w:val="nil"/>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委托单位：</w:t>
            </w:r>
          </w:p>
        </w:tc>
        <w:tc>
          <w:tcPr>
            <w:tcW w:w="226" w:type="dxa"/>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226" w:type="dxa"/>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226" w:type="dxa"/>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1860" w:type="dxa"/>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1872" w:type="dxa"/>
            <w:gridSpan w:val="3"/>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1860" w:type="dxa"/>
            <w:gridSpan w:val="2"/>
            <w:tcBorders>
              <w:top w:val="nil"/>
              <w:left w:val="nil"/>
              <w:bottom w:val="nil"/>
              <w:right w:val="nil"/>
            </w:tcBorders>
            <w:noWrap/>
            <w:vAlign w:val="center"/>
          </w:tcPr>
          <w:p>
            <w:pPr>
              <w:widowControl/>
              <w:jc w:val="left"/>
              <w:rPr>
                <w:rFonts w:ascii="宋体" w:hAnsi="宋体"/>
                <w:b/>
                <w:bCs/>
                <w:color w:val="000000"/>
                <w:kern w:val="0"/>
                <w:sz w:val="22"/>
                <w:szCs w:val="22"/>
              </w:rPr>
            </w:pPr>
          </w:p>
        </w:tc>
        <w:tc>
          <w:tcPr>
            <w:tcW w:w="1468" w:type="dxa"/>
            <w:tcBorders>
              <w:top w:val="nil"/>
              <w:left w:val="nil"/>
              <w:bottom w:val="nil"/>
              <w:right w:val="nil"/>
            </w:tcBorders>
            <w:noWrap/>
            <w:vAlign w:val="center"/>
          </w:tcPr>
          <w:p>
            <w:pPr>
              <w:widowControl/>
              <w:jc w:val="left"/>
              <w:rPr>
                <w:rFonts w:ascii="宋体" w:hAnsi="宋体"/>
                <w:b/>
                <w:bCs/>
                <w:color w:val="000000"/>
                <w:kern w:val="0"/>
                <w:sz w:val="22"/>
                <w:szCs w:val="22"/>
              </w:rPr>
            </w:pPr>
          </w:p>
        </w:tc>
      </w:tr>
      <w:tr>
        <w:tblPrEx>
          <w:tblCellMar>
            <w:top w:w="0" w:type="dxa"/>
            <w:left w:w="108" w:type="dxa"/>
            <w:bottom w:w="0" w:type="dxa"/>
            <w:right w:w="108" w:type="dxa"/>
          </w:tblCellMar>
        </w:tblPrEx>
        <w:trPr>
          <w:trHeight w:val="693" w:hRule="atLeast"/>
        </w:trPr>
        <w:tc>
          <w:tcPr>
            <w:tcW w:w="8980" w:type="dxa"/>
            <w:gridSpan w:val="11"/>
            <w:tcBorders>
              <w:top w:val="nil"/>
              <w:left w:val="nil"/>
              <w:bottom w:val="single" w:color="auto" w:sz="4" w:space="0"/>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咨询机构：                 报告编号：</w:t>
            </w:r>
          </w:p>
        </w:tc>
      </w:tr>
      <w:tr>
        <w:tblPrEx>
          <w:tblCellMar>
            <w:top w:w="0" w:type="dxa"/>
            <w:left w:w="108" w:type="dxa"/>
            <w:bottom w:w="0" w:type="dxa"/>
            <w:right w:w="108" w:type="dxa"/>
          </w:tblCellMar>
        </w:tblPrEx>
        <w:trPr>
          <w:trHeight w:val="849" w:hRule="atLeast"/>
        </w:trPr>
        <w:tc>
          <w:tcPr>
            <w:tcW w:w="12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310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考核内容</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考核人</w:t>
            </w:r>
          </w:p>
        </w:tc>
        <w:tc>
          <w:tcPr>
            <w:tcW w:w="1300" w:type="dxa"/>
            <w:gridSpan w:val="2"/>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标准得分</w:t>
            </w:r>
          </w:p>
        </w:tc>
        <w:tc>
          <w:tcPr>
            <w:tcW w:w="852"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考核得分</w:t>
            </w:r>
          </w:p>
        </w:tc>
        <w:tc>
          <w:tcPr>
            <w:tcW w:w="1468"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签名</w:t>
            </w:r>
          </w:p>
        </w:tc>
      </w:tr>
      <w:tr>
        <w:tblPrEx>
          <w:tblCellMar>
            <w:top w:w="0" w:type="dxa"/>
            <w:left w:w="108" w:type="dxa"/>
            <w:bottom w:w="0" w:type="dxa"/>
            <w:right w:w="108" w:type="dxa"/>
          </w:tblCellMar>
        </w:tblPrEx>
        <w:trPr>
          <w:trHeight w:val="3328" w:hRule="atLeast"/>
        </w:trPr>
        <w:tc>
          <w:tcPr>
            <w:tcW w:w="1242"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1</w:t>
            </w:r>
          </w:p>
        </w:tc>
        <w:tc>
          <w:tcPr>
            <w:tcW w:w="3107"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技术性考核：对单项工程预、结算初审成果文件经复审中查出在工程量计算、定额套用、主材价格存有差错及特殊材料设备价格来源依据不充分、偏差较大的每项扣1分，评审依据、取费标准上存在差错的每项扣2分。</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复核造价师</w:t>
            </w:r>
          </w:p>
        </w:tc>
        <w:tc>
          <w:tcPr>
            <w:tcW w:w="1300" w:type="dxa"/>
            <w:gridSpan w:val="2"/>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10</w:t>
            </w:r>
          </w:p>
        </w:tc>
        <w:tc>
          <w:tcPr>
            <w:tcW w:w="852"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146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930" w:hRule="atLeast"/>
        </w:trPr>
        <w:tc>
          <w:tcPr>
            <w:tcW w:w="12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2</w:t>
            </w:r>
          </w:p>
        </w:tc>
        <w:tc>
          <w:tcPr>
            <w:tcW w:w="3107" w:type="dxa"/>
            <w:gridSpan w:val="5"/>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财政资金使用考核：对财政资金使用政策、用途及使用范围理解错误，将非财政投资项目纳入评审结论的，每次扣1分。</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技术岗位人员</w:t>
            </w:r>
          </w:p>
        </w:tc>
        <w:tc>
          <w:tcPr>
            <w:tcW w:w="1300" w:type="dxa"/>
            <w:gridSpan w:val="2"/>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2</w:t>
            </w:r>
          </w:p>
        </w:tc>
        <w:tc>
          <w:tcPr>
            <w:tcW w:w="85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088" w:hRule="atLeast"/>
        </w:trPr>
        <w:tc>
          <w:tcPr>
            <w:tcW w:w="1242"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3</w:t>
            </w:r>
          </w:p>
        </w:tc>
        <w:tc>
          <w:tcPr>
            <w:tcW w:w="3107"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rPr>
            </w:pPr>
            <w:r>
              <w:rPr>
                <w:rFonts w:hint="eastAsia" w:ascii="宋体" w:hAnsi="宋体"/>
                <w:color w:val="000000"/>
                <w:kern w:val="0"/>
              </w:rPr>
              <w:t>咨询报告整体质量考核：对咨询成果的完整度、信息披露的客观准确性、报告的规范性、严谨性，任何一项不到位，将酌情扣分。</w:t>
            </w:r>
          </w:p>
        </w:tc>
        <w:tc>
          <w:tcPr>
            <w:tcW w:w="1011"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技术岗位人员</w:t>
            </w:r>
          </w:p>
        </w:tc>
        <w:tc>
          <w:tcPr>
            <w:tcW w:w="1300" w:type="dxa"/>
            <w:gridSpan w:val="2"/>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3</w:t>
            </w:r>
          </w:p>
        </w:tc>
        <w:tc>
          <w:tcPr>
            <w:tcW w:w="852"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146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83" w:hRule="atLeast"/>
        </w:trPr>
        <w:tc>
          <w:tcPr>
            <w:tcW w:w="4349"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考核合计得分</w:t>
            </w:r>
          </w:p>
        </w:tc>
        <w:tc>
          <w:tcPr>
            <w:tcW w:w="101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30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15</w:t>
            </w:r>
          </w:p>
        </w:tc>
        <w:tc>
          <w:tcPr>
            <w:tcW w:w="852"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468"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bl>
    <w:p>
      <w:pPr>
        <w:ind w:firstLine="160" w:firstLineChars="50"/>
        <w:rPr>
          <w:rFonts w:ascii="仿宋" w:hAnsi="仿宋"/>
          <w:sz w:val="32"/>
          <w:szCs w:val="32"/>
        </w:rPr>
      </w:pPr>
      <w:r>
        <w:rPr>
          <w:rFonts w:ascii="仿宋" w:hAnsi="仿宋"/>
          <w:sz w:val="32"/>
          <w:szCs w:val="32"/>
        </w:rPr>
        <w:t xml:space="preserve"> </w:t>
      </w:r>
    </w:p>
    <w:p>
      <w:pPr>
        <w:ind w:firstLine="160" w:firstLineChars="50"/>
        <w:rPr>
          <w:rFonts w:ascii="仿宋" w:hAnsi="仿宋"/>
          <w:sz w:val="32"/>
          <w:szCs w:val="32"/>
        </w:rPr>
      </w:pPr>
      <w:r>
        <w:rPr>
          <w:rFonts w:ascii="仿宋" w:hAnsi="仿宋"/>
          <w:sz w:val="32"/>
          <w:szCs w:val="32"/>
        </w:rPr>
        <w:t xml:space="preserve"> </w:t>
      </w:r>
    </w:p>
    <w:p>
      <w:pPr>
        <w:rPr>
          <w:sz w:val="24"/>
          <w:szCs w:val="24"/>
        </w:rPr>
      </w:pPr>
      <w:r>
        <w:rPr>
          <w:sz w:val="24"/>
          <w:szCs w:val="24"/>
        </w:rPr>
        <w:t xml:space="preserve"> </w:t>
      </w:r>
    </w:p>
    <w:p>
      <w:pPr>
        <w:ind w:firstLine="120" w:firstLineChars="50"/>
        <w:rPr>
          <w:sz w:val="24"/>
          <w:szCs w:val="24"/>
        </w:rPr>
      </w:pPr>
      <w:r>
        <w:rPr>
          <w:sz w:val="24"/>
          <w:szCs w:val="24"/>
        </w:rPr>
        <w:t xml:space="preserve"> </w:t>
      </w:r>
    </w:p>
    <w:tbl>
      <w:tblPr>
        <w:tblStyle w:val="5"/>
        <w:tblW w:w="9320" w:type="dxa"/>
        <w:tblInd w:w="93" w:type="dxa"/>
        <w:tblLayout w:type="autofit"/>
        <w:tblCellMar>
          <w:top w:w="0" w:type="dxa"/>
          <w:left w:w="108" w:type="dxa"/>
          <w:bottom w:w="0" w:type="dxa"/>
          <w:right w:w="108" w:type="dxa"/>
        </w:tblCellMar>
      </w:tblPr>
      <w:tblGrid>
        <w:gridCol w:w="678"/>
        <w:gridCol w:w="4310"/>
        <w:gridCol w:w="1257"/>
        <w:gridCol w:w="1077"/>
        <w:gridCol w:w="1077"/>
        <w:gridCol w:w="921"/>
      </w:tblGrid>
      <w:tr>
        <w:tblPrEx>
          <w:tblCellMar>
            <w:top w:w="0" w:type="dxa"/>
            <w:left w:w="108" w:type="dxa"/>
            <w:bottom w:w="0" w:type="dxa"/>
            <w:right w:w="108" w:type="dxa"/>
          </w:tblCellMar>
        </w:tblPrEx>
        <w:trPr>
          <w:trHeight w:val="756" w:hRule="atLeast"/>
        </w:trPr>
        <w:tc>
          <w:tcPr>
            <w:tcW w:w="9320" w:type="dxa"/>
            <w:gridSpan w:val="6"/>
            <w:tcBorders>
              <w:top w:val="nil"/>
              <w:left w:val="nil"/>
              <w:bottom w:val="nil"/>
              <w:right w:val="nil"/>
            </w:tcBorders>
            <w:noWrap/>
            <w:vAlign w:val="center"/>
          </w:tcPr>
          <w:p>
            <w:pPr>
              <w:widowControl/>
              <w:jc w:val="center"/>
              <w:rPr>
                <w:rFonts w:ascii="宋体" w:hAnsi="宋体"/>
                <w:b/>
                <w:bCs/>
                <w:color w:val="000000"/>
                <w:kern w:val="0"/>
                <w:sz w:val="22"/>
                <w:szCs w:val="22"/>
              </w:rPr>
            </w:pPr>
          </w:p>
          <w:p>
            <w:pPr>
              <w:widowControl/>
              <w:jc w:val="center"/>
              <w:rPr>
                <w:rFonts w:ascii="宋体" w:hAnsi="宋体"/>
                <w:b/>
                <w:bCs/>
                <w:color w:val="000000"/>
                <w:kern w:val="0"/>
                <w:sz w:val="22"/>
                <w:szCs w:val="22"/>
              </w:rPr>
            </w:pPr>
            <w:r>
              <w:rPr>
                <w:rFonts w:hint="eastAsia" w:ascii="宋体" w:hAnsi="宋体"/>
                <w:b/>
                <w:bCs/>
                <w:color w:val="000000"/>
                <w:kern w:val="0"/>
                <w:sz w:val="22"/>
                <w:szCs w:val="22"/>
              </w:rPr>
              <w:t>中介咨询机构基本情况考核表</w:t>
            </w:r>
          </w:p>
        </w:tc>
      </w:tr>
      <w:tr>
        <w:tblPrEx>
          <w:tblCellMar>
            <w:top w:w="0" w:type="dxa"/>
            <w:left w:w="108" w:type="dxa"/>
            <w:bottom w:w="0" w:type="dxa"/>
            <w:right w:w="108" w:type="dxa"/>
          </w:tblCellMar>
        </w:tblPrEx>
        <w:trPr>
          <w:trHeight w:val="545" w:hRule="atLeast"/>
        </w:trPr>
        <w:tc>
          <w:tcPr>
            <w:tcW w:w="9320" w:type="dxa"/>
            <w:gridSpan w:val="6"/>
            <w:tcBorders>
              <w:top w:val="nil"/>
              <w:left w:val="nil"/>
              <w:bottom w:val="nil"/>
              <w:right w:val="nil"/>
            </w:tcBorders>
            <w:noWrap/>
            <w:vAlign w:val="center"/>
          </w:tcPr>
          <w:p>
            <w:pPr>
              <w:widowControl/>
              <w:jc w:val="left"/>
              <w:rPr>
                <w:rFonts w:ascii="宋体" w:hAnsi="宋体"/>
                <w:b/>
                <w:bCs/>
                <w:color w:val="000000"/>
                <w:kern w:val="0"/>
                <w:sz w:val="22"/>
                <w:szCs w:val="22"/>
              </w:rPr>
            </w:pPr>
          </w:p>
        </w:tc>
      </w:tr>
      <w:tr>
        <w:tblPrEx>
          <w:tblCellMar>
            <w:top w:w="0" w:type="dxa"/>
            <w:left w:w="108" w:type="dxa"/>
            <w:bottom w:w="0" w:type="dxa"/>
            <w:right w:w="108" w:type="dxa"/>
          </w:tblCellMar>
        </w:tblPrEx>
        <w:trPr>
          <w:trHeight w:val="636" w:hRule="atLeast"/>
        </w:trPr>
        <w:tc>
          <w:tcPr>
            <w:tcW w:w="9320" w:type="dxa"/>
            <w:gridSpan w:val="6"/>
            <w:tcBorders>
              <w:top w:val="nil"/>
              <w:left w:val="nil"/>
              <w:bottom w:val="single" w:color="auto" w:sz="4" w:space="0"/>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咨询机构：</w:t>
            </w:r>
          </w:p>
        </w:tc>
      </w:tr>
      <w:tr>
        <w:tblPrEx>
          <w:tblCellMar>
            <w:top w:w="0" w:type="dxa"/>
            <w:left w:w="108" w:type="dxa"/>
            <w:bottom w:w="0" w:type="dxa"/>
            <w:right w:w="108" w:type="dxa"/>
          </w:tblCellMar>
        </w:tblPrEx>
        <w:trPr>
          <w:trHeight w:val="412"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4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考核内容</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考核人</w:t>
            </w:r>
          </w:p>
        </w:tc>
        <w:tc>
          <w:tcPr>
            <w:tcW w:w="1077"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标准得分</w:t>
            </w:r>
          </w:p>
        </w:tc>
        <w:tc>
          <w:tcPr>
            <w:tcW w:w="1077"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考核得分</w:t>
            </w:r>
          </w:p>
        </w:tc>
        <w:tc>
          <w:tcPr>
            <w:tcW w:w="921"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签名</w:t>
            </w:r>
          </w:p>
        </w:tc>
      </w:tr>
      <w:tr>
        <w:tblPrEx>
          <w:tblCellMar>
            <w:top w:w="0" w:type="dxa"/>
            <w:left w:w="108" w:type="dxa"/>
            <w:bottom w:w="0" w:type="dxa"/>
            <w:right w:w="108" w:type="dxa"/>
          </w:tblCellMar>
        </w:tblPrEx>
        <w:trPr>
          <w:trHeight w:val="1525"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1</w:t>
            </w:r>
          </w:p>
        </w:tc>
        <w:tc>
          <w:tcPr>
            <w:tcW w:w="4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基本条件：具备行业从业资质，岳阳市范围内设立分公司并具有独立的办公场所，入驻湖南省政府采购电子卖场，四项基本条件不同时具备的不计分</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综合及内勤岗位人员</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10</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92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147"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2</w:t>
            </w:r>
          </w:p>
        </w:tc>
        <w:tc>
          <w:tcPr>
            <w:tcW w:w="43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kern w:val="0"/>
              </w:rPr>
            </w:pPr>
            <w:r>
              <w:rPr>
                <w:rFonts w:hint="eastAsia" w:ascii="宋体" w:hAnsi="宋体"/>
                <w:color w:val="000000"/>
                <w:kern w:val="0"/>
              </w:rPr>
              <w:t>管理制度：内部管理制度计3分。要求建立《执业质量控制制度》、《廉政建设制度》、《档案管理制度》等，每少一项扣1分。</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综合及内勤岗位人员</w:t>
            </w:r>
          </w:p>
        </w:tc>
        <w:tc>
          <w:tcPr>
            <w:tcW w:w="107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3</w:t>
            </w:r>
          </w:p>
        </w:tc>
        <w:tc>
          <w:tcPr>
            <w:tcW w:w="107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　</w:t>
            </w:r>
          </w:p>
        </w:tc>
        <w:tc>
          <w:tcPr>
            <w:tcW w:w="92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303"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3</w:t>
            </w:r>
          </w:p>
        </w:tc>
        <w:tc>
          <w:tcPr>
            <w:tcW w:w="4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从业人员是否具有工程造价咨询执业资格，且且按相关执业规定从事执业计3分，未达到要求不计分。</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综合及内勤岗位人员</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3</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92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4341"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4</w:t>
            </w:r>
          </w:p>
        </w:tc>
        <w:tc>
          <w:tcPr>
            <w:tcW w:w="4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档案资料归档保管完整计2分。成果文件完成后应及时归档完整，摆放整齐。其中预算审核资料包括：工程预算造价汇总表及清单资料、工程量计算式、工程预算审核会议纪要及说明书、预算送审资料、施工设计图纸等必要的资料；结算审核自资料包括：工程预算造价审核书及清单、工程预算工程量计算式、隐蔽工程记录签证、工程结算送审资料、审核工程结算书及清单、工程结算造价审核咨询报告等必要的资料。每项工程档案中少一项资料扣1分。</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综合及内勤岗位人员</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2</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92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1147" w:hRule="atLeast"/>
        </w:trPr>
        <w:tc>
          <w:tcPr>
            <w:tcW w:w="678" w:type="dxa"/>
            <w:tcBorders>
              <w:top w:val="nil"/>
              <w:left w:val="single" w:color="auto" w:sz="4" w:space="0"/>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5</w:t>
            </w:r>
          </w:p>
        </w:tc>
        <w:tc>
          <w:tcPr>
            <w:tcW w:w="43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近三年获得市级及以上建设主管部门颁发的先进奖项的每项加1分。</w:t>
            </w:r>
          </w:p>
        </w:tc>
        <w:tc>
          <w:tcPr>
            <w:tcW w:w="1257"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综合及内勤岗位人员</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2</w:t>
            </w:r>
          </w:p>
        </w:tc>
        <w:tc>
          <w:tcPr>
            <w:tcW w:w="1077"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92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06" w:hRule="atLeast"/>
        </w:trPr>
        <w:tc>
          <w:tcPr>
            <w:tcW w:w="4988"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考核合计得分</w:t>
            </w:r>
          </w:p>
        </w:tc>
        <w:tc>
          <w:tcPr>
            <w:tcW w:w="125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07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20</w:t>
            </w:r>
          </w:p>
        </w:tc>
        <w:tc>
          <w:tcPr>
            <w:tcW w:w="107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921"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bl>
    <w:p>
      <w:pPr>
        <w:spacing w:line="360" w:lineRule="auto"/>
        <w:jc w:val="left"/>
        <w:rPr>
          <w:sz w:val="24"/>
          <w:szCs w:val="24"/>
        </w:rPr>
      </w:pPr>
      <w:r>
        <w:rPr>
          <w:sz w:val="24"/>
          <w:szCs w:val="24"/>
        </w:rPr>
        <w:t xml:space="preserve"> </w:t>
      </w:r>
    </w:p>
    <w:p>
      <w:pPr>
        <w:spacing w:line="360" w:lineRule="auto"/>
        <w:jc w:val="left"/>
        <w:rPr>
          <w:sz w:val="24"/>
          <w:szCs w:val="24"/>
        </w:rPr>
      </w:pPr>
      <w:r>
        <w:rPr>
          <w:sz w:val="24"/>
          <w:szCs w:val="24"/>
        </w:rPr>
        <w:t xml:space="preserve"> </w:t>
      </w:r>
    </w:p>
    <w:tbl>
      <w:tblPr>
        <w:tblStyle w:val="5"/>
        <w:tblW w:w="8419" w:type="dxa"/>
        <w:tblInd w:w="135" w:type="dxa"/>
        <w:tblLayout w:type="autofit"/>
        <w:tblCellMar>
          <w:top w:w="0" w:type="dxa"/>
          <w:left w:w="108" w:type="dxa"/>
          <w:bottom w:w="0" w:type="dxa"/>
          <w:right w:w="108" w:type="dxa"/>
        </w:tblCellMar>
      </w:tblPr>
      <w:tblGrid>
        <w:gridCol w:w="652"/>
        <w:gridCol w:w="2206"/>
        <w:gridCol w:w="1638"/>
        <w:gridCol w:w="1102"/>
        <w:gridCol w:w="1473"/>
        <w:gridCol w:w="1348"/>
      </w:tblGrid>
      <w:tr>
        <w:tblPrEx>
          <w:tblCellMar>
            <w:top w:w="0" w:type="dxa"/>
            <w:left w:w="108" w:type="dxa"/>
            <w:bottom w:w="0" w:type="dxa"/>
            <w:right w:w="108" w:type="dxa"/>
          </w:tblCellMar>
        </w:tblPrEx>
        <w:trPr>
          <w:trHeight w:val="863" w:hRule="atLeast"/>
        </w:trPr>
        <w:tc>
          <w:tcPr>
            <w:tcW w:w="7071" w:type="dxa"/>
            <w:gridSpan w:val="5"/>
            <w:tcBorders>
              <w:top w:val="nil"/>
              <w:left w:val="nil"/>
              <w:bottom w:val="nil"/>
              <w:right w:val="nil"/>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xml:space="preserve">    综合考核</w:t>
            </w:r>
          </w:p>
        </w:tc>
        <w:tc>
          <w:tcPr>
            <w:tcW w:w="1348" w:type="dxa"/>
            <w:tcBorders>
              <w:top w:val="nil"/>
              <w:left w:val="nil"/>
              <w:bottom w:val="nil"/>
              <w:right w:val="nil"/>
            </w:tcBorders>
            <w:noWrap/>
            <w:vAlign w:val="center"/>
          </w:tcPr>
          <w:p>
            <w:pPr>
              <w:widowControl/>
              <w:jc w:val="center"/>
              <w:rPr>
                <w:rFonts w:ascii="宋体" w:hAnsi="宋体"/>
                <w:b/>
                <w:bCs/>
                <w:color w:val="000000"/>
                <w:kern w:val="0"/>
                <w:sz w:val="22"/>
                <w:szCs w:val="22"/>
              </w:rPr>
            </w:pPr>
          </w:p>
        </w:tc>
      </w:tr>
      <w:tr>
        <w:tblPrEx>
          <w:tblCellMar>
            <w:top w:w="0" w:type="dxa"/>
            <w:left w:w="108" w:type="dxa"/>
            <w:bottom w:w="0" w:type="dxa"/>
            <w:right w:w="108" w:type="dxa"/>
          </w:tblCellMar>
        </w:tblPrEx>
        <w:trPr>
          <w:trHeight w:val="863" w:hRule="atLeast"/>
        </w:trPr>
        <w:tc>
          <w:tcPr>
            <w:tcW w:w="4496" w:type="dxa"/>
            <w:gridSpan w:val="3"/>
            <w:tcBorders>
              <w:top w:val="nil"/>
              <w:left w:val="nil"/>
              <w:bottom w:val="single" w:color="auto" w:sz="4" w:space="0"/>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咨询机构：</w:t>
            </w:r>
          </w:p>
        </w:tc>
        <w:tc>
          <w:tcPr>
            <w:tcW w:w="2575" w:type="dxa"/>
            <w:gridSpan w:val="2"/>
            <w:tcBorders>
              <w:top w:val="nil"/>
              <w:left w:val="nil"/>
              <w:bottom w:val="single" w:color="auto" w:sz="4" w:space="0"/>
              <w:right w:val="nil"/>
            </w:tcBorders>
            <w:noWrap/>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考核日期：</w:t>
            </w:r>
          </w:p>
        </w:tc>
        <w:tc>
          <w:tcPr>
            <w:tcW w:w="1348" w:type="dxa"/>
            <w:tcBorders>
              <w:top w:val="nil"/>
              <w:left w:val="nil"/>
              <w:bottom w:val="nil"/>
              <w:right w:val="nil"/>
            </w:tcBorders>
            <w:noWrap/>
            <w:vAlign w:val="center"/>
          </w:tcPr>
          <w:p>
            <w:pPr>
              <w:widowControl/>
              <w:jc w:val="center"/>
              <w:rPr>
                <w:rFonts w:ascii="宋体" w:hAnsi="宋体"/>
                <w:b/>
                <w:bCs/>
                <w:color w:val="000000"/>
                <w:kern w:val="0"/>
                <w:sz w:val="22"/>
                <w:szCs w:val="22"/>
              </w:rPr>
            </w:pPr>
          </w:p>
        </w:tc>
      </w:tr>
      <w:tr>
        <w:tblPrEx>
          <w:tblCellMar>
            <w:top w:w="0" w:type="dxa"/>
            <w:left w:w="108" w:type="dxa"/>
            <w:bottom w:w="0" w:type="dxa"/>
            <w:right w:w="108" w:type="dxa"/>
          </w:tblCellMar>
        </w:tblPrEx>
        <w:trPr>
          <w:trHeight w:val="1052" w:hRule="atLeast"/>
        </w:trPr>
        <w:tc>
          <w:tcPr>
            <w:tcW w:w="6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384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考核内容</w:t>
            </w:r>
          </w:p>
        </w:tc>
        <w:tc>
          <w:tcPr>
            <w:tcW w:w="1102"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标准得分</w:t>
            </w:r>
          </w:p>
        </w:tc>
        <w:tc>
          <w:tcPr>
            <w:tcW w:w="1473" w:type="dxa"/>
            <w:tcBorders>
              <w:top w:val="nil"/>
              <w:left w:val="nil"/>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考核得分</w:t>
            </w:r>
          </w:p>
        </w:tc>
        <w:tc>
          <w:tcPr>
            <w:tcW w:w="13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备注</w:t>
            </w:r>
          </w:p>
        </w:tc>
      </w:tr>
      <w:tr>
        <w:trPr>
          <w:trHeight w:val="1421" w:hRule="atLeast"/>
        </w:trPr>
        <w:tc>
          <w:tcPr>
            <w:tcW w:w="652" w:type="dxa"/>
            <w:tcBorders>
              <w:top w:val="nil"/>
              <w:left w:val="single" w:color="auto" w:sz="4" w:space="0"/>
              <w:bottom w:val="single" w:color="auto" w:sz="4" w:space="0"/>
              <w:right w:val="single" w:color="auto" w:sz="4" w:space="0"/>
            </w:tcBorders>
            <w:noWrap w:val="0"/>
            <w:vAlign w:val="center"/>
          </w:tcPr>
          <w:p>
            <w:pPr>
              <w:widowControl/>
              <w:jc w:val="center"/>
              <w:rPr>
                <w:rFonts w:cs="宋体"/>
                <w:b/>
                <w:bCs/>
                <w:color w:val="000000"/>
                <w:kern w:val="0"/>
              </w:rPr>
            </w:pPr>
            <w:r>
              <w:rPr>
                <w:rFonts w:cs="宋体"/>
                <w:b/>
                <w:bCs/>
                <w:color w:val="000000"/>
                <w:kern w:val="0"/>
              </w:rPr>
              <w:t>1</w:t>
            </w:r>
          </w:p>
        </w:tc>
        <w:tc>
          <w:tcPr>
            <w:tcW w:w="384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单项业务考核</w:t>
            </w:r>
          </w:p>
        </w:tc>
        <w:tc>
          <w:tcPr>
            <w:tcW w:w="1102"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hint="eastAsia"/>
                <w:color w:val="000000"/>
                <w:kern w:val="0"/>
              </w:rPr>
              <w:t>6</w:t>
            </w:r>
            <w:r>
              <w:rPr>
                <w:rFonts w:cs="宋体"/>
                <w:color w:val="000000"/>
                <w:kern w:val="0"/>
              </w:rPr>
              <w:t>0</w:t>
            </w:r>
          </w:p>
        </w:tc>
        <w:tc>
          <w:tcPr>
            <w:tcW w:w="1473"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r>
        <w:trPr>
          <w:trHeight w:val="1421" w:hRule="atLeast"/>
        </w:trPr>
        <w:tc>
          <w:tcPr>
            <w:tcW w:w="6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2</w:t>
            </w:r>
          </w:p>
        </w:tc>
        <w:tc>
          <w:tcPr>
            <w:tcW w:w="384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单项业务关联考核</w:t>
            </w:r>
          </w:p>
        </w:tc>
        <w:tc>
          <w:tcPr>
            <w:tcW w:w="11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15</w:t>
            </w:r>
          </w:p>
        </w:tc>
        <w:tc>
          <w:tcPr>
            <w:tcW w:w="147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r>
        <w:trPr>
          <w:trHeight w:val="1421" w:hRule="atLeast"/>
        </w:trPr>
        <w:tc>
          <w:tcPr>
            <w:tcW w:w="6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3</w:t>
            </w:r>
          </w:p>
        </w:tc>
        <w:tc>
          <w:tcPr>
            <w:tcW w:w="384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基础考核</w:t>
            </w:r>
          </w:p>
        </w:tc>
        <w:tc>
          <w:tcPr>
            <w:tcW w:w="11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20</w:t>
            </w:r>
          </w:p>
        </w:tc>
        <w:tc>
          <w:tcPr>
            <w:tcW w:w="1473"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r>
        <w:trPr>
          <w:trHeight w:val="1429" w:hRule="atLeast"/>
        </w:trPr>
        <w:tc>
          <w:tcPr>
            <w:tcW w:w="65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cs="宋体"/>
                <w:b/>
                <w:bCs/>
                <w:color w:val="000000"/>
                <w:kern w:val="0"/>
              </w:rPr>
            </w:pPr>
            <w:r>
              <w:rPr>
                <w:rFonts w:cs="宋体"/>
                <w:b/>
                <w:bCs/>
                <w:color w:val="000000"/>
                <w:kern w:val="0"/>
              </w:rPr>
              <w:t>4</w:t>
            </w:r>
          </w:p>
        </w:tc>
        <w:tc>
          <w:tcPr>
            <w:tcW w:w="220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联动考核</w:t>
            </w:r>
          </w:p>
        </w:tc>
        <w:tc>
          <w:tcPr>
            <w:tcW w:w="16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关联市区财政投资评审中心及市区关联国有企业考核</w:t>
            </w:r>
          </w:p>
        </w:tc>
        <w:tc>
          <w:tcPr>
            <w:tcW w:w="1102"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5</w:t>
            </w:r>
          </w:p>
        </w:tc>
        <w:tc>
          <w:tcPr>
            <w:tcW w:w="1473"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r>
        <w:tblPrEx>
          <w:tblCellMar>
            <w:top w:w="0" w:type="dxa"/>
            <w:left w:w="108" w:type="dxa"/>
            <w:bottom w:w="0" w:type="dxa"/>
            <w:right w:w="108" w:type="dxa"/>
          </w:tblCellMar>
        </w:tblPrEx>
        <w:trPr>
          <w:trHeight w:val="1421"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b/>
                <w:bCs/>
                <w:color w:val="000000"/>
                <w:kern w:val="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b/>
                <w:bCs/>
                <w:color w:val="000000"/>
                <w:kern w:val="0"/>
              </w:rPr>
            </w:pPr>
          </w:p>
        </w:tc>
        <w:tc>
          <w:tcPr>
            <w:tcW w:w="16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color w:val="000000"/>
                <w:kern w:val="0"/>
              </w:rPr>
            </w:pPr>
            <w:r>
              <w:rPr>
                <w:rFonts w:hint="eastAsia" w:ascii="宋体" w:hAnsi="宋体"/>
                <w:b/>
                <w:bCs/>
                <w:color w:val="000000"/>
                <w:kern w:val="0"/>
              </w:rPr>
              <w:t>审计反馈</w:t>
            </w:r>
          </w:p>
        </w:tc>
        <w:tc>
          <w:tcPr>
            <w:tcW w:w="1102" w:type="dxa"/>
            <w:tcBorders>
              <w:top w:val="nil"/>
              <w:left w:val="nil"/>
              <w:bottom w:val="single" w:color="auto" w:sz="4" w:space="0"/>
              <w:right w:val="single" w:color="auto" w:sz="4" w:space="0"/>
            </w:tcBorders>
            <w:noWrap w:val="0"/>
            <w:vAlign w:val="center"/>
          </w:tcPr>
          <w:p>
            <w:pPr>
              <w:widowControl/>
              <w:jc w:val="center"/>
              <w:rPr>
                <w:rFonts w:ascii="宋体" w:hAnsi="宋体"/>
                <w:color w:val="000000"/>
                <w:kern w:val="0"/>
              </w:rPr>
            </w:pPr>
            <w:r>
              <w:rPr>
                <w:rFonts w:hint="eastAsia" w:ascii="宋体" w:hAnsi="宋体"/>
                <w:color w:val="000000"/>
                <w:kern w:val="0"/>
              </w:rPr>
              <w:t>扣分项</w:t>
            </w:r>
          </w:p>
        </w:tc>
        <w:tc>
          <w:tcPr>
            <w:tcW w:w="1473" w:type="dxa"/>
            <w:tcBorders>
              <w:top w:val="nil"/>
              <w:left w:val="nil"/>
              <w:bottom w:val="single" w:color="auto" w:sz="4" w:space="0"/>
              <w:right w:val="single" w:color="auto" w:sz="4" w:space="0"/>
            </w:tcBorders>
            <w:noWrap w:val="0"/>
            <w:vAlign w:val="center"/>
          </w:tcPr>
          <w:p>
            <w:pPr>
              <w:widowControl/>
              <w:jc w:val="center"/>
              <w:rPr>
                <w:rFonts w:cs="宋体"/>
                <w:color w:val="000000"/>
                <w:kern w:val="0"/>
              </w:rPr>
            </w:pPr>
            <w:r>
              <w:rPr>
                <w:rFonts w:cs="宋体"/>
                <w:color w:val="000000"/>
                <w:kern w:val="0"/>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r>
        <w:tblPrEx>
          <w:tblCellMar>
            <w:top w:w="0" w:type="dxa"/>
            <w:left w:w="108" w:type="dxa"/>
            <w:bottom w:w="0" w:type="dxa"/>
            <w:right w:w="108" w:type="dxa"/>
          </w:tblCellMar>
        </w:tblPrEx>
        <w:trPr>
          <w:trHeight w:val="1264" w:hRule="atLeast"/>
        </w:trPr>
        <w:tc>
          <w:tcPr>
            <w:tcW w:w="4496"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综合考核总得分</w:t>
            </w:r>
          </w:p>
        </w:tc>
        <w:tc>
          <w:tcPr>
            <w:tcW w:w="110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47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34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　</w:t>
            </w:r>
          </w:p>
        </w:tc>
      </w:tr>
    </w:tbl>
    <w:p>
      <w:pPr>
        <w:spacing w:line="360" w:lineRule="auto"/>
        <w:jc w:val="left"/>
        <w:rPr>
          <w:sz w:val="24"/>
          <w:szCs w:val="24"/>
        </w:rPr>
      </w:pPr>
      <w:r>
        <w:rPr>
          <w:sz w:val="24"/>
          <w:szCs w:val="24"/>
        </w:rPr>
        <w:t xml:space="preserve"> </w:t>
      </w:r>
    </w:p>
    <w:p>
      <w:pPr>
        <w:spacing w:line="360" w:lineRule="auto"/>
        <w:ind w:firstLine="480" w:firstLineChars="200"/>
        <w:jc w:val="left"/>
        <w:rPr>
          <w:sz w:val="24"/>
          <w:szCs w:val="24"/>
        </w:rPr>
      </w:pPr>
      <w:r>
        <w:rPr>
          <w:sz w:val="24"/>
          <w:szCs w:val="24"/>
        </w:rPr>
        <w:t xml:space="preserve"> </w:t>
      </w:r>
    </w:p>
    <w:p>
      <w:pPr>
        <w:rPr>
          <w:color w:val="000000"/>
        </w:rPr>
      </w:pPr>
    </w:p>
    <w:p>
      <w:pPr>
        <w:rPr>
          <w:rFonts w:ascii="华文仿宋" w:hAnsi="华文仿宋" w:eastAsia="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19"/>
    <w:rsid w:val="00324327"/>
    <w:rsid w:val="00472D19"/>
    <w:rsid w:val="00E82A56"/>
    <w:rsid w:val="03683F59"/>
    <w:rsid w:val="044C4BDF"/>
    <w:rsid w:val="0EFF2497"/>
    <w:rsid w:val="12AD2C27"/>
    <w:rsid w:val="277C424A"/>
    <w:rsid w:val="47D5583C"/>
    <w:rsid w:val="4B85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9"/>
    <w:semiHidden/>
    <w:unhideWhenUsed/>
    <w:qFormat/>
    <w:uiPriority w:val="99"/>
    <w:pPr>
      <w:ind w:left="100" w:leftChars="25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styleId="8">
    <w:name w:val="annotation reference"/>
    <w:basedOn w:val="6"/>
    <w:unhideWhenUsed/>
    <w:qFormat/>
    <w:uiPriority w:val="99"/>
    <w:rPr>
      <w:sz w:val="21"/>
      <w:szCs w:val="21"/>
    </w:rPr>
  </w:style>
  <w:style w:type="character" w:customStyle="1" w:styleId="9">
    <w:name w:val="日期 Char"/>
    <w:basedOn w:val="6"/>
    <w:link w:val="3"/>
    <w:semiHidden/>
    <w:qFormat/>
    <w:uiPriority w:val="99"/>
  </w:style>
  <w:style w:type="character" w:customStyle="1" w:styleId="10">
    <w:name w:val="15"/>
    <w:basedOn w:val="6"/>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414</Words>
  <Characters>2363</Characters>
  <Lines>19</Lines>
  <Paragraphs>5</Paragraphs>
  <TotalTime>4</TotalTime>
  <ScaleCrop>false</ScaleCrop>
  <LinksUpToDate>false</LinksUpToDate>
  <CharactersWithSpaces>2772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2021-08-26T07:41:00Z</dcterms:created>
  <dc:creator>微软用户</dc:creator>
  <cp:lastModifiedBy>张公子</cp:lastModifiedBy>
  <cp:lastPrinted>2021-08-26T09:19:00Z</cp:lastPrinted>
  <dcterms:modified xsi:type="dcterms:W3CDTF">2021-09-09T03:08:31Z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474D91C9E2DD4662B1483492102F13B7</vt:lpwstr>
  </property>
</Properties>
</file>