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cs="黑体" w:asciiTheme="minorEastAsia" w:hAnsiTheme="minorEastAsia"/>
          <w:b/>
          <w:color w:val="000000"/>
          <w:kern w:val="0"/>
          <w:sz w:val="44"/>
          <w:szCs w:val="44"/>
        </w:rPr>
      </w:pPr>
      <w:bookmarkStart w:id="0" w:name="_GoBack"/>
      <w:r>
        <w:rPr>
          <w:rFonts w:hint="eastAsia" w:cs="黑体" w:asciiTheme="minorEastAsia" w:hAnsiTheme="minorEastAsia"/>
          <w:b/>
          <w:color w:val="000000"/>
          <w:kern w:val="0"/>
          <w:sz w:val="44"/>
          <w:szCs w:val="44"/>
        </w:rPr>
        <w:t>2020年度</w:t>
      </w:r>
      <w:r>
        <w:rPr>
          <w:rFonts w:hint="eastAsia" w:cs="黑体" w:asciiTheme="minorEastAsia" w:hAnsiTheme="minorEastAsia"/>
          <w:b/>
          <w:color w:val="000000"/>
          <w:kern w:val="0"/>
          <w:sz w:val="44"/>
          <w:szCs w:val="44"/>
          <w:lang w:val="en-US" w:eastAsia="zh-CN"/>
        </w:rPr>
        <w:t>岳阳市科技事务中心</w:t>
      </w:r>
      <w:r>
        <w:rPr>
          <w:rFonts w:hint="eastAsia" w:cs="黑体" w:asciiTheme="minorEastAsia" w:hAnsiTheme="minorEastAsia"/>
          <w:b/>
          <w:color w:val="000000"/>
          <w:kern w:val="0"/>
          <w:sz w:val="44"/>
          <w:szCs w:val="44"/>
        </w:rPr>
        <w:t>部门整体支出绩效评价报告</w:t>
      </w:r>
    </w:p>
    <w:bookmarkEnd w:id="0"/>
    <w:p>
      <w:pPr>
        <w:keepNext w:val="0"/>
        <w:keepLines w:val="0"/>
        <w:pageBreakBefore w:val="0"/>
        <w:widowControl w:val="0"/>
        <w:kinsoku/>
        <w:wordWrap/>
        <w:overflowPunct/>
        <w:topLinePunct w:val="0"/>
        <w:bidi w:val="0"/>
        <w:snapToGrid/>
        <w:spacing w:line="600" w:lineRule="exact"/>
        <w:jc w:val="left"/>
        <w:textAlignment w:val="auto"/>
        <w:rPr>
          <w:rFonts w:hint="eastAsia"/>
          <w:sz w:val="44"/>
          <w:szCs w:val="44"/>
          <w:lang w:val="en-US" w:eastAsia="zh-CN"/>
        </w:rPr>
      </w:pP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一、单位概况</w:t>
      </w:r>
    </w:p>
    <w:p>
      <w:pPr>
        <w:keepNext w:val="0"/>
        <w:keepLines w:val="0"/>
        <w:pageBreakBefore w:val="0"/>
        <w:widowControl w:val="0"/>
        <w:numPr>
          <w:ilvl w:val="0"/>
          <w:numId w:val="0"/>
        </w:numPr>
        <w:kinsoku/>
        <w:wordWrap/>
        <w:overflowPunct/>
        <w:topLinePunct w:val="0"/>
        <w:bidi w:val="0"/>
        <w:snapToGrid/>
        <w:spacing w:line="60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科技事务中心是2019年机构改革新设立的财政全额拨款公益一类正科级事业单位，隶属市科学技术局，人员由原岳阳市科技信息管理办公室和岳阳市生产力促进中心转属进入。编制人员数17人，目前实有在岗人员为13人，退休人员18人。机构职能为：为全市科技管理提供技术支撑服务，为社会提供公益性科技信息服务。</w:t>
      </w:r>
    </w:p>
    <w:p>
      <w:pPr>
        <w:keepNext w:val="0"/>
        <w:keepLines w:val="0"/>
        <w:pageBreakBefore w:val="0"/>
        <w:widowControl w:val="0"/>
        <w:numPr>
          <w:ilvl w:val="0"/>
          <w:numId w:val="0"/>
        </w:numPr>
        <w:kinsoku/>
        <w:wordWrap/>
        <w:overflowPunct/>
        <w:topLinePunct w:val="0"/>
        <w:bidi w:val="0"/>
        <w:snapToGrid/>
        <w:spacing w:line="60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二、单位预算及执行管理情况</w:t>
      </w:r>
    </w:p>
    <w:p>
      <w:pPr>
        <w:keepNext w:val="0"/>
        <w:keepLines w:val="0"/>
        <w:pageBreakBefore w:val="0"/>
        <w:widowControl w:val="0"/>
        <w:numPr>
          <w:ilvl w:val="0"/>
          <w:numId w:val="0"/>
        </w:numPr>
        <w:kinsoku/>
        <w:wordWrap/>
        <w:overflowPunct/>
        <w:topLinePunct w:val="0"/>
        <w:bidi w:val="0"/>
        <w:snapToGrid/>
        <w:spacing w:line="600" w:lineRule="exact"/>
        <w:ind w:leftChars="0"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的预算完全按市财政局的要求按事业单位预算。项目支出也完全按照市财政局文件要求执行。对工资福利支出预算缺口部分通过其它的项目收入进行调节，单位整个的工资福利支出远低于参公事业单位标准。三公经费严格按相关管理进行，控制在预算范围之内。</w:t>
      </w:r>
    </w:p>
    <w:p>
      <w:pPr>
        <w:keepNext w:val="0"/>
        <w:keepLines w:val="0"/>
        <w:pageBreakBefore w:val="0"/>
        <w:widowControl w:val="0"/>
        <w:numPr>
          <w:ilvl w:val="0"/>
          <w:numId w:val="0"/>
        </w:numPr>
        <w:kinsoku/>
        <w:wordWrap/>
        <w:overflowPunct/>
        <w:topLinePunct w:val="0"/>
        <w:bidi w:val="0"/>
        <w:snapToGrid/>
        <w:spacing w:line="60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三、部门绩效目标</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（一）部门总目标</w:t>
      </w:r>
    </w:p>
    <w:p>
      <w:pPr>
        <w:keepNext w:val="0"/>
        <w:keepLines w:val="0"/>
        <w:pageBreakBefore w:val="0"/>
        <w:widowControl w:val="0"/>
        <w:numPr>
          <w:ilvl w:val="0"/>
          <w:numId w:val="0"/>
        </w:numPr>
        <w:kinsoku/>
        <w:wordWrap/>
        <w:overflowPunct/>
        <w:topLinePunct w:val="0"/>
        <w:bidi w:val="0"/>
        <w:snapToGrid/>
        <w:spacing w:line="600" w:lineRule="exact"/>
        <w:ind w:left="638"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1.努力做好技术合同登记、科技成果登记以及相关服务。</w:t>
      </w:r>
    </w:p>
    <w:p>
      <w:pPr>
        <w:keepNext w:val="0"/>
        <w:keepLines w:val="0"/>
        <w:pageBreakBefore w:val="0"/>
        <w:widowControl w:val="0"/>
        <w:numPr>
          <w:ilvl w:val="0"/>
          <w:numId w:val="0"/>
        </w:numPr>
        <w:kinsoku/>
        <w:wordWrap/>
        <w:overflowPunct/>
        <w:topLinePunct w:val="0"/>
        <w:bidi w:val="0"/>
        <w:snapToGrid/>
        <w:spacing w:line="600" w:lineRule="exact"/>
        <w:ind w:left="638"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2.配合局机关科室做好相关科技管理和服务工作。</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3.继续做好“一网一热线”服务。</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4.做好科普工作。</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5.做好中小企业服务。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二）部门绩效年度目标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1.技术合同认定登记额完成7.5亿元，培训技术合同登记相关人员100人次，深入50家机构开展服务。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2.科技成果登记量保持5%的增长率。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3.科技局系统局域网保持良好运行，科技局系统局域网正常运行率90%以上，局域网维护服务投诉率5%以下。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4.积极参加科技下乡、科技活动周、科普活动日等科普活动。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5.按时完成全市和六县三区科普统计工作。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6.落实“一企一策”，实地调研中小企业。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7.实施市本级财政科技计划项目科技报告呈交工作。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8.完成科技局交办的指定工作任务。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（三）部门绩效目标完成情况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1.2020年技术合同认定登记额完成13亿余元。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sz w:val="32"/>
          <w:szCs w:val="32"/>
          <w:lang w:val="en-US" w:eastAsia="zh-CN"/>
        </w:rPr>
        <w:t>全年受理</w:t>
      </w:r>
      <w:r>
        <w:rPr>
          <w:rFonts w:hint="eastAsia" w:ascii="仿宋" w:hAnsi="仿宋" w:eastAsia="仿宋" w:cs="仿宋"/>
          <w:sz w:val="32"/>
          <w:szCs w:val="32"/>
        </w:rPr>
        <w:t>科技成果登记</w:t>
      </w:r>
      <w:r>
        <w:rPr>
          <w:rFonts w:hint="eastAsia" w:ascii="仿宋" w:hAnsi="仿宋" w:eastAsia="仿宋" w:cs="仿宋"/>
          <w:sz w:val="32"/>
          <w:szCs w:val="32"/>
          <w:lang w:val="en-US" w:eastAsia="zh-CN"/>
        </w:rPr>
        <w:t>14项。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sz w:val="32"/>
          <w:szCs w:val="32"/>
          <w:lang w:val="en-US" w:eastAsia="zh-CN"/>
        </w:rPr>
        <w:t>3.认真做好</w:t>
      </w:r>
      <w:r>
        <w:rPr>
          <w:rFonts w:hint="eastAsia" w:ascii="仿宋" w:hAnsi="仿宋" w:eastAsia="仿宋" w:cs="仿宋"/>
          <w:sz w:val="32"/>
          <w:szCs w:val="32"/>
          <w:lang w:val="zh-CN"/>
        </w:rPr>
        <w:t>市科技局系统局域网维护工作</w:t>
      </w:r>
      <w:r>
        <w:rPr>
          <w:rFonts w:hint="eastAsia" w:ascii="仿宋" w:hAnsi="仿宋" w:eastAsia="仿宋" w:cs="仿宋"/>
          <w:b w:val="0"/>
          <w:bCs/>
          <w:color w:val="000000"/>
          <w:sz w:val="32"/>
          <w:szCs w:val="32"/>
          <w:lang w:val="en-US" w:eastAsia="zh-CN"/>
        </w:rPr>
        <w:t>。网络维护50余次、会议室多媒体及音响服务30余次。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000000"/>
          <w:sz w:val="32"/>
          <w:szCs w:val="32"/>
          <w:lang w:val="en-US" w:eastAsia="zh-CN"/>
        </w:rPr>
        <w:t>完成局办公室交办的全市科普统计工作</w:t>
      </w:r>
      <w:r>
        <w:rPr>
          <w:rFonts w:hint="eastAsia" w:ascii="宋体" w:hAnsi="宋体"/>
          <w:color w:val="000000"/>
          <w:sz w:val="32"/>
          <w:szCs w:val="32"/>
          <w:lang w:val="en-US" w:eastAsia="zh-CN"/>
        </w:rPr>
        <w:t>。</w:t>
      </w:r>
      <w:r>
        <w:rPr>
          <w:rFonts w:hint="eastAsia" w:ascii="仿宋" w:hAnsi="仿宋" w:eastAsia="仿宋" w:cs="仿宋"/>
          <w:color w:val="000000"/>
          <w:sz w:val="32"/>
          <w:szCs w:val="32"/>
          <w:lang w:val="en-US" w:eastAsia="zh-CN"/>
        </w:rPr>
        <w:t>按期完成全市市直、县（市、区）、场共199家单位科普统计数据的采集和上报。</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整体支出规模、使用方向和内容</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1、年初总收支预算情况</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根据财政部门预算批复，我单位的年度部门收支预算情况如下：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9"/>
        <w:gridCol w:w="270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预算项目</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w:t>
            </w: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科技事务中心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val="en-US" w:eastAsia="zh-CN"/>
              </w:rPr>
              <w:t>财政拨款</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201.41</w:t>
            </w: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其中：财政经费拨款</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201.41</w:t>
            </w: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纳入一般公共预算管理的非税收入拨款</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收入预算合计</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201.41</w:t>
            </w: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基本支出</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199.38</w:t>
            </w: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其中：财政拨款支出</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199.38</w:t>
            </w: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项目支出</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其中：财政拨款支出</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199"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支出预算合计</w:t>
            </w:r>
          </w:p>
        </w:tc>
        <w:tc>
          <w:tcPr>
            <w:tcW w:w="2700"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199.38</w:t>
            </w:r>
          </w:p>
        </w:tc>
        <w:tc>
          <w:tcPr>
            <w:tcW w:w="2783"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199.38</w:t>
            </w:r>
          </w:p>
        </w:tc>
      </w:tr>
    </w:tbl>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从年初预算批复情况来看：</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我</w:t>
      </w:r>
      <w:r>
        <w:rPr>
          <w:rFonts w:hint="eastAsia" w:ascii="仿宋" w:hAnsi="仿宋" w:eastAsia="仿宋" w:cs="仿宋"/>
          <w:sz w:val="32"/>
          <w:szCs w:val="32"/>
          <w:lang w:val="en-US" w:eastAsia="zh-CN"/>
        </w:rPr>
        <w:t>单位</w:t>
      </w:r>
      <w:r>
        <w:rPr>
          <w:rFonts w:hint="default" w:ascii="仿宋" w:hAnsi="仿宋" w:eastAsia="仿宋" w:cs="仿宋"/>
          <w:sz w:val="32"/>
          <w:szCs w:val="32"/>
          <w:lang w:val="en-US" w:eastAsia="zh-CN"/>
        </w:rPr>
        <w:t>部门收入预算</w:t>
      </w:r>
      <w:r>
        <w:rPr>
          <w:rFonts w:hint="eastAsia" w:ascii="仿宋" w:hAnsi="仿宋" w:eastAsia="仿宋" w:cs="仿宋"/>
          <w:sz w:val="32"/>
          <w:szCs w:val="32"/>
          <w:lang w:val="en-US" w:eastAsia="zh-CN"/>
        </w:rPr>
        <w:t>139.61</w:t>
      </w:r>
      <w:r>
        <w:rPr>
          <w:rFonts w:hint="default" w:ascii="仿宋" w:hAnsi="仿宋" w:eastAsia="仿宋" w:cs="仿宋"/>
          <w:sz w:val="32"/>
          <w:szCs w:val="32"/>
          <w:lang w:val="en-US" w:eastAsia="zh-CN"/>
        </w:rPr>
        <w:t>万元（全部为财政拨款）。</w:t>
      </w:r>
    </w:p>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支出预算中基本支出</w:t>
      </w:r>
      <w:r>
        <w:rPr>
          <w:rFonts w:hint="eastAsia" w:ascii="仿宋" w:hAnsi="仿宋" w:eastAsia="仿宋" w:cs="仿宋"/>
          <w:sz w:val="32"/>
          <w:szCs w:val="32"/>
          <w:lang w:val="en-US" w:eastAsia="zh-CN"/>
        </w:rPr>
        <w:t>139.61</w:t>
      </w:r>
      <w:r>
        <w:rPr>
          <w:rFonts w:hint="default" w:ascii="仿宋" w:hAnsi="仿宋" w:eastAsia="仿宋" w:cs="仿宋"/>
          <w:sz w:val="32"/>
          <w:szCs w:val="32"/>
          <w:lang w:val="en-US" w:eastAsia="zh-CN"/>
        </w:rPr>
        <w:t>万元，占支出预算总额的</w:t>
      </w:r>
      <w:r>
        <w:rPr>
          <w:rFonts w:hint="eastAsia" w:ascii="仿宋" w:hAnsi="仿宋" w:eastAsia="仿宋" w:cs="仿宋"/>
          <w:sz w:val="32"/>
          <w:szCs w:val="32"/>
          <w:lang w:val="en-US" w:eastAsia="zh-CN"/>
        </w:rPr>
        <w:t>100</w:t>
      </w:r>
      <w:r>
        <w:rPr>
          <w:rFonts w:hint="default" w:ascii="仿宋" w:hAnsi="仿宋" w:eastAsia="仿宋" w:cs="仿宋"/>
          <w:sz w:val="32"/>
          <w:szCs w:val="32"/>
          <w:lang w:val="en-US" w:eastAsia="zh-CN"/>
        </w:rPr>
        <w:t>%，项目支出</w:t>
      </w:r>
      <w:r>
        <w:rPr>
          <w:rFonts w:hint="eastAsia" w:ascii="仿宋" w:hAnsi="仿宋" w:eastAsia="仿宋" w:cs="仿宋"/>
          <w:sz w:val="32"/>
          <w:szCs w:val="32"/>
          <w:lang w:val="en-US" w:eastAsia="zh-CN"/>
        </w:rPr>
        <w:t>0</w:t>
      </w:r>
      <w:r>
        <w:rPr>
          <w:rFonts w:hint="default" w:ascii="仿宋" w:hAnsi="仿宋" w:eastAsia="仿宋" w:cs="仿宋"/>
          <w:sz w:val="32"/>
          <w:szCs w:val="32"/>
          <w:lang w:val="en-US" w:eastAsia="zh-CN"/>
        </w:rPr>
        <w:t>万元，占支出预算的</w:t>
      </w:r>
      <w:r>
        <w:rPr>
          <w:rFonts w:hint="eastAsia" w:ascii="仿宋" w:hAnsi="仿宋" w:eastAsia="仿宋" w:cs="仿宋"/>
          <w:sz w:val="32"/>
          <w:szCs w:val="32"/>
          <w:lang w:val="en-US" w:eastAsia="zh-CN"/>
        </w:rPr>
        <w:t>0</w:t>
      </w:r>
      <w:r>
        <w:rPr>
          <w:rFonts w:hint="default"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2、整体支出使用范围、方向和内容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2020年度年初部门预算支出139.61万元，其中基本支出139.61万元，使用内容为人员经费和日常公用经费；项目支出0万元。</w:t>
      </w:r>
    </w:p>
    <w:p>
      <w:pPr>
        <w:pStyle w:val="3"/>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（一）年度总预算收支决算及财政预算收支决算情况</w:t>
      </w:r>
    </w:p>
    <w:p>
      <w:pPr>
        <w:pStyle w:val="3"/>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1、年度预算收入决算情况</w:t>
      </w:r>
    </w:p>
    <w:p>
      <w:pPr>
        <w:pStyle w:val="3"/>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财政拨款收入决算情况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665"/>
        <w:gridCol w:w="1710"/>
        <w:gridCol w:w="1830"/>
        <w:gridCol w:w="1400"/>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96"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预算单位名称</w:t>
            </w:r>
          </w:p>
        </w:tc>
        <w:tc>
          <w:tcPr>
            <w:tcW w:w="1665"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预算可用指标</w:t>
            </w:r>
          </w:p>
        </w:tc>
        <w:tc>
          <w:tcPr>
            <w:tcW w:w="1710"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财政拨款收入</w:t>
            </w:r>
          </w:p>
        </w:tc>
        <w:tc>
          <w:tcPr>
            <w:tcW w:w="1830"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本年指标结余</w:t>
            </w:r>
          </w:p>
        </w:tc>
        <w:tc>
          <w:tcPr>
            <w:tcW w:w="1400"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上年结余</w:t>
            </w:r>
          </w:p>
        </w:tc>
        <w:tc>
          <w:tcPr>
            <w:tcW w:w="1781"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结余减少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296"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2"/>
                <w:szCs w:val="22"/>
                <w:lang w:val="en-US" w:eastAsia="zh-CN"/>
              </w:rPr>
              <w:t>岳阳市科技事务中心</w:t>
            </w:r>
          </w:p>
        </w:tc>
        <w:tc>
          <w:tcPr>
            <w:tcW w:w="1665"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139.61</w:t>
            </w:r>
          </w:p>
        </w:tc>
        <w:tc>
          <w:tcPr>
            <w:tcW w:w="1710"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201.41</w:t>
            </w:r>
          </w:p>
        </w:tc>
        <w:tc>
          <w:tcPr>
            <w:tcW w:w="1830"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p>
        </w:tc>
        <w:tc>
          <w:tcPr>
            <w:tcW w:w="1400"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22.56</w:t>
            </w:r>
          </w:p>
        </w:tc>
        <w:tc>
          <w:tcPr>
            <w:tcW w:w="1781"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p>
        </w:tc>
        <w:tc>
          <w:tcPr>
            <w:tcW w:w="1665"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p>
        </w:tc>
        <w:tc>
          <w:tcPr>
            <w:tcW w:w="1710"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p>
        </w:tc>
        <w:tc>
          <w:tcPr>
            <w:tcW w:w="1830"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p>
        </w:tc>
        <w:tc>
          <w:tcPr>
            <w:tcW w:w="1400"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p>
        </w:tc>
        <w:tc>
          <w:tcPr>
            <w:tcW w:w="1781" w:type="dxa"/>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4"/>
                <w:szCs w:val="24"/>
                <w:vertAlign w:val="baseline"/>
                <w:lang w:val="en-US" w:eastAsia="zh-CN"/>
              </w:rPr>
            </w:pPr>
          </w:p>
        </w:tc>
      </w:tr>
    </w:tbl>
    <w:p>
      <w:pPr>
        <w:pStyle w:val="3"/>
        <w:keepNext w:val="0"/>
        <w:keepLines w:val="0"/>
        <w:pageBreakBefore w:val="0"/>
        <w:widowControl w:val="0"/>
        <w:kinsoku/>
        <w:wordWrap/>
        <w:overflowPunct/>
        <w:topLinePunct w:val="0"/>
        <w:bidi w:val="0"/>
        <w:snapToGrid/>
        <w:spacing w:line="60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2、年度预算支出决算及结余情况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560"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比较项目</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支出项目</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科技部门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560" w:type="dxa"/>
            <w:vMerge w:val="restart"/>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预算指标</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基本支出</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560" w:type="dxa"/>
            <w:vMerge w:val="continue"/>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8"/>
                <w:szCs w:val="28"/>
                <w:vertAlign w:val="baseline"/>
                <w:lang w:val="en-US" w:eastAsia="zh-CN"/>
              </w:rPr>
            </w:pP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项目支出</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560" w:type="dxa"/>
            <w:vMerge w:val="continue"/>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8"/>
                <w:szCs w:val="28"/>
                <w:vertAlign w:val="baseline"/>
                <w:lang w:val="en-US" w:eastAsia="zh-CN"/>
              </w:rPr>
            </w:pP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560" w:type="dxa"/>
            <w:vMerge w:val="restart"/>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决算金额</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基本支出</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560" w:type="dxa"/>
            <w:vMerge w:val="continue"/>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8"/>
                <w:szCs w:val="28"/>
                <w:vertAlign w:val="baseline"/>
                <w:lang w:val="en-US" w:eastAsia="zh-CN"/>
              </w:rPr>
            </w:pP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项目支出</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3560" w:type="dxa"/>
            <w:vMerge w:val="continue"/>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8"/>
                <w:szCs w:val="28"/>
                <w:vertAlign w:val="baseline"/>
                <w:lang w:val="en-US" w:eastAsia="zh-CN"/>
              </w:rPr>
            </w:pP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小计</w:t>
            </w:r>
          </w:p>
        </w:tc>
        <w:tc>
          <w:tcPr>
            <w:tcW w:w="3561" w:type="dxa"/>
            <w:vAlign w:val="center"/>
          </w:tcPr>
          <w:p>
            <w:pPr>
              <w:pStyle w:val="3"/>
              <w:keepNext w:val="0"/>
              <w:keepLines w:val="0"/>
              <w:pageBreakBefore w:val="0"/>
              <w:widowControl w:val="0"/>
              <w:kinsoku/>
              <w:wordWrap/>
              <w:overflowPunct/>
              <w:topLinePunct w:val="0"/>
              <w:bidi w:val="0"/>
              <w:snapToGrid/>
              <w:spacing w:line="6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139.61</w:t>
            </w:r>
          </w:p>
        </w:tc>
      </w:tr>
    </w:tbl>
    <w:p>
      <w:pPr>
        <w:pStyle w:val="3"/>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从上述数据反映：</w:t>
      </w:r>
    </w:p>
    <w:p>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2020年度事务中心本级预算可用指标139.61万元，本年财政拨款201.41万元，指标结余0万元。</w:t>
      </w:r>
    </w:p>
    <w:p>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五、部门整体支出管理及使用情况</w:t>
      </w:r>
    </w:p>
    <w:p>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（一）基本支出管理情况</w:t>
      </w:r>
    </w:p>
    <w:p>
      <w:pPr>
        <w:pStyle w:val="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我单位基本支出的范围和主要用途包括部门的人员经费和日常公用经费。具体包括：工资福利支出、对个人和家庭的补助、商品和服务支出、其他资本性支出。基本支出的管理和使用情况如下：</w:t>
      </w:r>
    </w:p>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lang w:val="en-US" w:eastAsia="zh-CN"/>
        </w:rPr>
      </w:pPr>
      <w:r>
        <w:rPr>
          <w:rFonts w:hint="eastAsia" w:ascii="仿宋" w:hAnsi="仿宋" w:eastAsia="仿宋" w:cs="仿宋"/>
          <w:sz w:val="32"/>
          <w:szCs w:val="32"/>
          <w:lang w:val="en-US" w:eastAsia="zh-CN"/>
        </w:rPr>
        <w:t>基本支出本年预算指标情况</w:t>
      </w:r>
      <w:r>
        <w:rPr>
          <w:rFonts w:hint="eastAsia"/>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预算项目</w:t>
            </w:r>
          </w:p>
        </w:tc>
        <w:tc>
          <w:tcPr>
            <w:tcW w:w="3561"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事务中心部门本年预算</w:t>
            </w:r>
          </w:p>
        </w:tc>
        <w:tc>
          <w:tcPr>
            <w:tcW w:w="3561"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工资福利支出</w:t>
            </w:r>
          </w:p>
        </w:tc>
        <w:tc>
          <w:tcPr>
            <w:tcW w:w="3561"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167.66</w:t>
            </w:r>
          </w:p>
        </w:tc>
        <w:tc>
          <w:tcPr>
            <w:tcW w:w="3561"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商品和服务支出</w:t>
            </w:r>
          </w:p>
        </w:tc>
        <w:tc>
          <w:tcPr>
            <w:tcW w:w="3561"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16.86</w:t>
            </w:r>
          </w:p>
        </w:tc>
        <w:tc>
          <w:tcPr>
            <w:tcW w:w="3561"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对个人和家庭的补助</w:t>
            </w:r>
          </w:p>
        </w:tc>
        <w:tc>
          <w:tcPr>
            <w:tcW w:w="3561"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14.86</w:t>
            </w:r>
          </w:p>
        </w:tc>
        <w:tc>
          <w:tcPr>
            <w:tcW w:w="3561"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合计</w:t>
            </w:r>
          </w:p>
        </w:tc>
        <w:tc>
          <w:tcPr>
            <w:tcW w:w="3561" w:type="dxa"/>
            <w:vAlign w:val="top"/>
          </w:tcPr>
          <w:p>
            <w:pPr>
              <w:pStyle w:val="3"/>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textAlignment w:val="auto"/>
              <w:rPr>
                <w:rFonts w:hint="eastAsia" w:ascii="仿宋" w:hAnsi="仿宋" w:eastAsia="仿宋" w:cs="仿宋"/>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vertAlign w:val="baseline"/>
                <w:lang w:val="en-US" w:eastAsia="zh-CN"/>
                <w14:textFill>
                  <w14:solidFill>
                    <w14:schemeClr w14:val="tx1"/>
                  </w14:solidFill>
                </w14:textFill>
              </w:rPr>
              <w:t>199.38</w:t>
            </w:r>
          </w:p>
        </w:tc>
        <w:tc>
          <w:tcPr>
            <w:tcW w:w="3561"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000000" w:themeColor="text1"/>
                <w:vertAlign w:val="baseline"/>
                <w:lang w:val="en-US" w:eastAsia="zh-CN"/>
                <w14:textFill>
                  <w14:solidFill>
                    <w14:schemeClr w14:val="tx1"/>
                  </w14:solidFill>
                </w14:textFill>
              </w:rPr>
            </w:pPr>
          </w:p>
        </w:tc>
      </w:tr>
    </w:tbl>
    <w:p>
      <w:pPr>
        <w:pStyle w:val="3"/>
        <w:keepNext w:val="0"/>
        <w:keepLines w:val="0"/>
        <w:pageBreakBefore w:val="0"/>
        <w:widowControl w:val="0"/>
        <w:numPr>
          <w:ilvl w:val="0"/>
          <w:numId w:val="0"/>
        </w:numPr>
        <w:kinsoku/>
        <w:wordWrap/>
        <w:overflowPunct/>
        <w:topLinePunct w:val="0"/>
        <w:bidi w:val="0"/>
        <w:snapToGrid/>
        <w:spacing w:line="600" w:lineRule="exact"/>
        <w:ind w:leftChars="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本年基本支出预算执行情况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0"/>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预算项目</w:t>
            </w:r>
          </w:p>
        </w:tc>
        <w:tc>
          <w:tcPr>
            <w:tcW w:w="6915"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事务中心部门本年决算金额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工资福利支出</w:t>
            </w:r>
          </w:p>
        </w:tc>
        <w:tc>
          <w:tcPr>
            <w:tcW w:w="6915"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商品和服务支出</w:t>
            </w:r>
          </w:p>
        </w:tc>
        <w:tc>
          <w:tcPr>
            <w:tcW w:w="6915"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对个人和家庭的补助</w:t>
            </w:r>
          </w:p>
        </w:tc>
        <w:tc>
          <w:tcPr>
            <w:tcW w:w="6915"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对企业补助</w:t>
            </w:r>
          </w:p>
        </w:tc>
        <w:tc>
          <w:tcPr>
            <w:tcW w:w="6915"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0"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合计</w:t>
            </w:r>
          </w:p>
        </w:tc>
        <w:tc>
          <w:tcPr>
            <w:tcW w:w="6915" w:type="dxa"/>
          </w:tcPr>
          <w:p>
            <w:pPr>
              <w:pStyle w:val="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199.38</w:t>
            </w:r>
          </w:p>
        </w:tc>
      </w:tr>
    </w:tbl>
    <w:p>
      <w:pPr>
        <w:pStyle w:val="3"/>
        <w:keepNext w:val="0"/>
        <w:keepLines w:val="0"/>
        <w:pageBreakBefore w:val="0"/>
        <w:widowControl w:val="0"/>
        <w:numPr>
          <w:ilvl w:val="0"/>
          <w:numId w:val="0"/>
        </w:numPr>
        <w:kinsoku/>
        <w:wordWrap/>
        <w:overflowPunct/>
        <w:topLinePunct w:val="0"/>
        <w:bidi w:val="0"/>
        <w:snapToGrid/>
        <w:spacing w:line="600" w:lineRule="exact"/>
        <w:ind w:leftChars="0"/>
        <w:textAlignment w:val="auto"/>
        <w:rPr>
          <w:rFonts w:hint="default"/>
          <w:lang w:val="en-US" w:eastAsia="zh-CN"/>
        </w:rPr>
      </w:pPr>
    </w:p>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从上表反映，我单位工资福利支出与超支167.66万元，对个人和家庭的补助超支14.86万元；商品和服务支出16.86万元；合计199.38万元。</w:t>
      </w:r>
    </w:p>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（二）“三公经费”支出使用和管理情况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5"/>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5"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费用项目</w:t>
            </w:r>
          </w:p>
        </w:tc>
        <w:tc>
          <w:tcPr>
            <w:tcW w:w="2670"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事务中心部门2020年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5"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公务接待费</w:t>
            </w:r>
          </w:p>
        </w:tc>
        <w:tc>
          <w:tcPr>
            <w:tcW w:w="2670"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5"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公车运行维护费</w:t>
            </w:r>
          </w:p>
        </w:tc>
        <w:tc>
          <w:tcPr>
            <w:tcW w:w="2670"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5"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因公出国费用</w:t>
            </w:r>
          </w:p>
        </w:tc>
        <w:tc>
          <w:tcPr>
            <w:tcW w:w="2670"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5"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公务车购置费</w:t>
            </w:r>
          </w:p>
        </w:tc>
        <w:tc>
          <w:tcPr>
            <w:tcW w:w="2670"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5"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合计</w:t>
            </w:r>
          </w:p>
        </w:tc>
        <w:tc>
          <w:tcPr>
            <w:tcW w:w="2670" w:type="dxa"/>
          </w:tcPr>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0.03</w:t>
            </w:r>
          </w:p>
        </w:tc>
      </w:tr>
    </w:tbl>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1、三公经费预算执行情况</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“三公经费”本年实际支出0.03万元，总额控制较好。其中公务接待费实际支出0.03万元。</w:t>
      </w:r>
    </w:p>
    <w:p>
      <w:pPr>
        <w:pStyle w:val="3"/>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2、专项资金管理情况</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对专项资金的管理我单位遵循专款专用、单独核算的管理原则；专项项目的申报严格按照财政资金管理的要求进行，专项资金财政拨款到位后及时进行了项目的开展和资金的投入。</w:t>
      </w:r>
    </w:p>
    <w:p>
      <w:pPr>
        <w:pStyle w:val="3"/>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lang w:val="en-US" w:eastAsia="zh-CN"/>
        </w:rPr>
      </w:pPr>
      <w:r>
        <w:rPr>
          <w:rFonts w:hint="eastAsia" w:ascii="仿宋" w:hAnsi="仿宋" w:eastAsia="仿宋" w:cs="仿宋"/>
          <w:sz w:val="32"/>
          <w:szCs w:val="32"/>
          <w:lang w:val="en-US" w:eastAsia="zh-CN"/>
        </w:rPr>
        <w:t>对专项资金的管理按照项目支出涉及的经济科目的明细项目，根据财务管理办法的相关制度执行。</w:t>
      </w:r>
    </w:p>
    <w:p/>
    <w:sectPr>
      <w:pgSz w:w="11906" w:h="16838"/>
      <w:pgMar w:top="663" w:right="720" w:bottom="663" w:left="720"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22C76"/>
    <w:multiLevelType w:val="singleLevel"/>
    <w:tmpl w:val="D6722C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31463"/>
    <w:rsid w:val="1193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Lines="0" w:beforeAutospacing="1"/>
    </w:pPr>
    <w:rPr>
      <w:rFonts w:ascii="Calibri" w:hAnsi="Calibri"/>
      <w:szCs w:val="21"/>
    </w:rPr>
  </w:style>
  <w:style w:type="paragraph" w:styleId="3">
    <w:name w:val="endnote text"/>
    <w:basedOn w:val="1"/>
    <w:qFormat/>
    <w:uiPriority w:val="0"/>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2021-09-17T08:53:00Z</dcterms:created>
  <dc:creator>yyyyyy</dc:creator>
  <cp:lastModifiedBy>yyyyyy</cp:lastModifiedBy>
  <dcterms:modified xsi:type="dcterms:W3CDTF">2021-09-17T08:54:00Z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681DA841182B4A029D66E3B72FF2EF6D</vt:lpwstr>
  </property>
</Properties>
</file>