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sz w:val="84"/>
          <w:szCs w:val="84"/>
        </w:rPr>
        <w:t>2020</w:t>
      </w:r>
      <w:r>
        <w:rPr>
          <w:rFonts w:hint="eastAsia"/>
          <w:sz w:val="84"/>
          <w:szCs w:val="84"/>
        </w:rPr>
        <w:t>年度</w:t>
      </w:r>
    </w:p>
    <w:p>
      <w:pPr>
        <w:pStyle w:val="10"/>
        <w:jc w:val="center"/>
        <w:rPr>
          <w:sz w:val="72"/>
          <w:szCs w:val="72"/>
        </w:rPr>
      </w:pPr>
      <w:r>
        <w:rPr>
          <w:rFonts w:hint="eastAsia"/>
          <w:sz w:val="72"/>
          <w:szCs w:val="72"/>
        </w:rPr>
        <w:t>岳阳市建设工程质量安全监督站</w:t>
      </w:r>
    </w:p>
    <w:p>
      <w:pPr>
        <w:pStyle w:val="10"/>
        <w:jc w:val="center"/>
        <w:rPr>
          <w:sz w:val="84"/>
          <w:szCs w:val="84"/>
        </w:rPr>
      </w:pPr>
      <w:r>
        <w:rPr>
          <w:rFonts w:hint="eastAsia"/>
          <w:sz w:val="84"/>
          <w:szCs w:val="84"/>
        </w:rPr>
        <w:t>部门决算</w:t>
      </w:r>
    </w:p>
    <w:p>
      <w:pPr>
        <w:pStyle w:val="10"/>
        <w:jc w:val="center"/>
        <w:rPr>
          <w:sz w:val="56"/>
          <w:szCs w:val="56"/>
        </w:rPr>
      </w:pPr>
    </w:p>
    <w:p>
      <w:pPr>
        <w:pStyle w:val="10"/>
        <w:rPr>
          <w:sz w:val="56"/>
          <w:szCs w:val="56"/>
        </w:rPr>
      </w:pPr>
    </w:p>
    <w:p>
      <w:pPr>
        <w:pStyle w:val="10"/>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b/>
          <w:sz w:val="36"/>
          <w:szCs w:val="28"/>
        </w:rPr>
      </w:pPr>
    </w:p>
    <w:p>
      <w:pPr>
        <w:pStyle w:val="10"/>
        <w:spacing w:line="500" w:lineRule="exact"/>
        <w:jc w:val="center"/>
        <w:rPr>
          <w:b/>
          <w:sz w:val="36"/>
          <w:szCs w:val="28"/>
        </w:rPr>
      </w:pPr>
      <w:r>
        <w:rPr>
          <w:rFonts w:hint="eastAsia"/>
          <w:b/>
          <w:sz w:val="36"/>
          <w:szCs w:val="28"/>
        </w:rPr>
        <w:t>目录</w:t>
      </w:r>
    </w:p>
    <w:p>
      <w:pPr>
        <w:pStyle w:val="10"/>
        <w:spacing w:line="460" w:lineRule="exact"/>
        <w:rPr>
          <w:rFonts w:ascii="仿宋_GB2312" w:eastAsia="仿宋_GB2312" w:cs="仿宋_GB2312"/>
          <w:b/>
          <w:sz w:val="28"/>
          <w:szCs w:val="28"/>
        </w:rPr>
      </w:pPr>
      <w:r>
        <w:rPr>
          <w:rFonts w:hint="eastAsia"/>
          <w:b/>
          <w:sz w:val="28"/>
          <w:szCs w:val="28"/>
        </w:rPr>
        <w:t>第一部分</w:t>
      </w:r>
      <w:r>
        <w:rPr>
          <w:b/>
          <w:sz w:val="28"/>
          <w:szCs w:val="28"/>
        </w:rPr>
        <w:t>XX</w:t>
      </w:r>
      <w:r>
        <w:rPr>
          <w:rFonts w:hint="eastAsia"/>
          <w:b/>
          <w:sz w:val="28"/>
          <w:szCs w:val="28"/>
        </w:rPr>
        <w:t>单位概况</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一、部门职责</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二、机构设置</w:t>
      </w:r>
    </w:p>
    <w:p>
      <w:pPr>
        <w:pStyle w:val="10"/>
        <w:spacing w:line="460" w:lineRule="exact"/>
        <w:rPr>
          <w:rFonts w:ascii="仿宋_GB2312" w:eastAsia="仿宋_GB2312" w:cs="仿宋_GB2312"/>
          <w:b/>
          <w:sz w:val="28"/>
          <w:szCs w:val="28"/>
        </w:rPr>
      </w:pPr>
      <w:r>
        <w:rPr>
          <w:rFonts w:hint="eastAsia" w:hAnsi="仿宋_GB2312"/>
          <w:b/>
          <w:sz w:val="28"/>
          <w:szCs w:val="28"/>
        </w:rPr>
        <w:t>第二部分</w:t>
      </w:r>
      <w:r>
        <w:rPr>
          <w:rFonts w:hAnsi="仿宋_GB2312"/>
          <w:b/>
          <w:sz w:val="28"/>
          <w:szCs w:val="28"/>
        </w:rPr>
        <w:t>2020</w:t>
      </w:r>
      <w:r>
        <w:rPr>
          <w:rFonts w:hint="eastAsia" w:hAnsi="仿宋_GB2312"/>
          <w:b/>
          <w:sz w:val="28"/>
          <w:szCs w:val="28"/>
        </w:rPr>
        <w:t>年度部门决算表</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一、收入支出决算总表</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二、收入决算表</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三、支出决算表</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四、财政拨款收入支出决算总表</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五、一般公共预算财政拨款支出决算表</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六、一般公共预算财政拨款基本支出决算表</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七、一般公共预算财政拨款“三公”经费支出决算表</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八、政府性基金预算财政拨款收入支出决算表</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九、国有资本经营预算财政拨款支出决算表</w:t>
      </w:r>
    </w:p>
    <w:p>
      <w:pPr>
        <w:pStyle w:val="10"/>
        <w:spacing w:line="460" w:lineRule="exact"/>
        <w:rPr>
          <w:rFonts w:ascii="仿宋_GB2312" w:eastAsia="仿宋_GB2312" w:cs="仿宋_GB2312"/>
          <w:b/>
          <w:sz w:val="28"/>
          <w:szCs w:val="28"/>
        </w:rPr>
      </w:pPr>
      <w:r>
        <w:rPr>
          <w:rFonts w:hint="eastAsia" w:hAnsi="仿宋_GB2312"/>
          <w:b/>
          <w:sz w:val="28"/>
          <w:szCs w:val="28"/>
        </w:rPr>
        <w:t>第三部分</w:t>
      </w:r>
      <w:r>
        <w:rPr>
          <w:rFonts w:hAnsi="仿宋_GB2312"/>
          <w:b/>
          <w:sz w:val="28"/>
          <w:szCs w:val="28"/>
        </w:rPr>
        <w:t>2020</w:t>
      </w:r>
      <w:r>
        <w:rPr>
          <w:rFonts w:hint="eastAsia" w:hAnsi="仿宋_GB2312"/>
          <w:b/>
          <w:sz w:val="28"/>
          <w:szCs w:val="28"/>
        </w:rPr>
        <w:t>年度部门决算情况说明</w:t>
      </w:r>
    </w:p>
    <w:p>
      <w:pPr>
        <w:pStyle w:val="10"/>
        <w:spacing w:line="46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一、收入支出决算总体情况说明</w:t>
      </w:r>
    </w:p>
    <w:p>
      <w:pPr>
        <w:spacing w:line="460" w:lineRule="exact"/>
        <w:ind w:firstLine="700" w:firstLineChars="250"/>
        <w:jc w:val="left"/>
        <w:rPr>
          <w:rFonts w:ascii="仿宋_GB2312" w:eastAsia="仿宋_GB2312" w:cs="仿宋_GB2312"/>
          <w:sz w:val="28"/>
          <w:szCs w:val="28"/>
        </w:rPr>
      </w:pPr>
      <w:r>
        <w:rPr>
          <w:rFonts w:hint="eastAsia" w:ascii="仿宋_GB2312" w:hAnsi="仿宋_GB2312" w:cs="仿宋_GB2312"/>
          <w:sz w:val="28"/>
          <w:szCs w:val="28"/>
        </w:rPr>
        <w:t>二、收入决算情况说明</w:t>
      </w:r>
    </w:p>
    <w:p>
      <w:pPr>
        <w:autoSpaceDE w:val="0"/>
        <w:autoSpaceDN w:val="0"/>
        <w:adjustRightInd w:val="0"/>
        <w:spacing w:line="46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三、支出决算情况说明</w:t>
      </w:r>
    </w:p>
    <w:p>
      <w:pPr>
        <w:autoSpaceDE w:val="0"/>
        <w:autoSpaceDN w:val="0"/>
        <w:adjustRightInd w:val="0"/>
        <w:spacing w:line="46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四、财政拨款收入支出决算总体情况说明</w:t>
      </w:r>
    </w:p>
    <w:p>
      <w:pPr>
        <w:autoSpaceDE w:val="0"/>
        <w:autoSpaceDN w:val="0"/>
        <w:adjustRightInd w:val="0"/>
        <w:spacing w:line="46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五、一般公共预算财政拨款支出决算情况说明</w:t>
      </w:r>
    </w:p>
    <w:p>
      <w:pPr>
        <w:autoSpaceDE w:val="0"/>
        <w:autoSpaceDN w:val="0"/>
        <w:adjustRightInd w:val="0"/>
        <w:spacing w:line="46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六、一般公共预算财政拨款基本支出决算情况说明</w:t>
      </w:r>
    </w:p>
    <w:p>
      <w:pPr>
        <w:autoSpaceDE w:val="0"/>
        <w:autoSpaceDN w:val="0"/>
        <w:adjustRightInd w:val="0"/>
        <w:spacing w:line="46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七、一般公共预算财政拨款三公经费支出决算情况说明</w:t>
      </w:r>
    </w:p>
    <w:p>
      <w:pPr>
        <w:autoSpaceDE w:val="0"/>
        <w:autoSpaceDN w:val="0"/>
        <w:adjustRightInd w:val="0"/>
        <w:spacing w:line="460" w:lineRule="exact"/>
        <w:ind w:firstLine="700" w:firstLineChars="250"/>
        <w:jc w:val="left"/>
        <w:rPr>
          <w:rFonts w:ascii="仿宋_GB2312" w:eastAsia="仿宋_GB2312" w:cs="仿宋_GB2312"/>
          <w:color w:val="000000"/>
          <w:kern w:val="0"/>
          <w:sz w:val="28"/>
          <w:szCs w:val="28"/>
        </w:rPr>
      </w:pPr>
      <w:r>
        <w:rPr>
          <w:rFonts w:hint="eastAsia" w:ascii="仿宋_GB2312" w:hAnsi="仿宋_GB2312" w:cs="仿宋_GB2312"/>
          <w:color w:val="000000"/>
          <w:kern w:val="0"/>
          <w:sz w:val="28"/>
          <w:szCs w:val="28"/>
        </w:rPr>
        <w:t>八、政府性基金预算收入支出决算情况</w:t>
      </w:r>
    </w:p>
    <w:p>
      <w:pPr>
        <w:autoSpaceDE w:val="0"/>
        <w:autoSpaceDN w:val="0"/>
        <w:adjustRightInd w:val="0"/>
        <w:spacing w:line="460" w:lineRule="exact"/>
        <w:jc w:val="left"/>
        <w:rPr>
          <w:rFonts w:ascii="仿宋_GB2312" w:eastAsia="仿宋_GB2312" w:cs="仿宋_GB2312"/>
          <w:color w:val="000000"/>
          <w:kern w:val="0"/>
          <w:sz w:val="28"/>
          <w:szCs w:val="28"/>
        </w:rPr>
      </w:pPr>
      <w:r>
        <w:rPr>
          <w:rFonts w:ascii="仿宋_GB2312" w:hAnsi="仿宋_GB2312" w:cs="仿宋_GB2312"/>
          <w:color w:val="000000"/>
          <w:kern w:val="0"/>
          <w:sz w:val="28"/>
          <w:szCs w:val="28"/>
        </w:rPr>
        <w:t xml:space="preserve">     </w:t>
      </w:r>
      <w:r>
        <w:rPr>
          <w:rFonts w:hint="eastAsia" w:ascii="仿宋_GB2312" w:hAnsi="仿宋_GB2312" w:cs="仿宋_GB2312"/>
          <w:color w:val="000000"/>
          <w:kern w:val="0"/>
          <w:sz w:val="28"/>
          <w:szCs w:val="28"/>
        </w:rPr>
        <w:t>九、国有资本经营预算财政拨款支出决算情况</w:t>
      </w:r>
    </w:p>
    <w:p>
      <w:pPr>
        <w:autoSpaceDE w:val="0"/>
        <w:autoSpaceDN w:val="0"/>
        <w:adjustRightInd w:val="0"/>
        <w:spacing w:line="460" w:lineRule="exact"/>
        <w:jc w:val="left"/>
        <w:rPr>
          <w:rFonts w:ascii="仿宋_GB2312" w:eastAsia="仿宋_GB2312" w:cs="仿宋_GB2312"/>
          <w:color w:val="000000"/>
          <w:kern w:val="0"/>
          <w:sz w:val="28"/>
          <w:szCs w:val="28"/>
        </w:rPr>
      </w:pPr>
      <w:r>
        <w:rPr>
          <w:rFonts w:ascii="仿宋_GB2312" w:hAnsi="仿宋_GB2312" w:cs="仿宋_GB2312"/>
          <w:color w:val="000000"/>
          <w:kern w:val="0"/>
          <w:sz w:val="28"/>
          <w:szCs w:val="28"/>
        </w:rPr>
        <w:t xml:space="preserve">     </w:t>
      </w:r>
      <w:r>
        <w:rPr>
          <w:rFonts w:hint="eastAsia" w:ascii="仿宋_GB2312" w:hAnsi="仿宋_GB2312" w:cs="仿宋_GB2312"/>
          <w:color w:val="000000"/>
          <w:kern w:val="0"/>
          <w:sz w:val="28"/>
          <w:szCs w:val="28"/>
        </w:rPr>
        <w:t>十、关于机关运行经费支出说明</w:t>
      </w:r>
    </w:p>
    <w:p>
      <w:pPr>
        <w:autoSpaceDE w:val="0"/>
        <w:autoSpaceDN w:val="0"/>
        <w:adjustRightInd w:val="0"/>
        <w:spacing w:line="460" w:lineRule="exact"/>
        <w:jc w:val="left"/>
        <w:rPr>
          <w:rFonts w:ascii="仿宋_GB2312" w:eastAsia="仿宋_GB2312" w:cs="仿宋_GB2312"/>
          <w:color w:val="000000"/>
          <w:kern w:val="0"/>
          <w:sz w:val="28"/>
          <w:szCs w:val="28"/>
        </w:rPr>
      </w:pPr>
      <w:r>
        <w:rPr>
          <w:rFonts w:ascii="仿宋_GB2312" w:hAnsi="仿宋_GB2312" w:cs="仿宋_GB2312"/>
          <w:color w:val="000000"/>
          <w:kern w:val="0"/>
          <w:sz w:val="28"/>
          <w:szCs w:val="28"/>
        </w:rPr>
        <w:t xml:space="preserve">     </w:t>
      </w:r>
      <w:r>
        <w:rPr>
          <w:rFonts w:hint="eastAsia" w:ascii="仿宋_GB2312" w:hAnsi="仿宋_GB2312" w:cs="仿宋_GB2312"/>
          <w:color w:val="000000"/>
          <w:kern w:val="0"/>
          <w:sz w:val="28"/>
          <w:szCs w:val="28"/>
        </w:rPr>
        <w:t>十一、一般性支出情况</w:t>
      </w:r>
    </w:p>
    <w:p>
      <w:pPr>
        <w:autoSpaceDE w:val="0"/>
        <w:autoSpaceDN w:val="0"/>
        <w:adjustRightInd w:val="0"/>
        <w:spacing w:line="460" w:lineRule="exact"/>
        <w:jc w:val="left"/>
        <w:rPr>
          <w:rFonts w:ascii="仿宋_GB2312" w:eastAsia="仿宋_GB2312" w:cs="仿宋_GB2312"/>
          <w:color w:val="000000"/>
          <w:kern w:val="0"/>
          <w:sz w:val="28"/>
          <w:szCs w:val="28"/>
        </w:rPr>
      </w:pPr>
      <w:r>
        <w:rPr>
          <w:rFonts w:ascii="仿宋_GB2312" w:hAnsi="仿宋_GB2312" w:cs="仿宋_GB2312"/>
          <w:color w:val="000000"/>
          <w:kern w:val="0"/>
          <w:sz w:val="28"/>
          <w:szCs w:val="28"/>
        </w:rPr>
        <w:t xml:space="preserve">     </w:t>
      </w:r>
      <w:r>
        <w:rPr>
          <w:rFonts w:hint="eastAsia" w:ascii="仿宋_GB2312" w:hAnsi="仿宋_GB2312" w:cs="仿宋_GB2312"/>
          <w:color w:val="000000"/>
          <w:kern w:val="0"/>
          <w:sz w:val="28"/>
          <w:szCs w:val="28"/>
        </w:rPr>
        <w:t>十二、关于政府采购支出说明</w:t>
      </w:r>
    </w:p>
    <w:p>
      <w:pPr>
        <w:autoSpaceDE w:val="0"/>
        <w:autoSpaceDN w:val="0"/>
        <w:adjustRightInd w:val="0"/>
        <w:spacing w:line="460" w:lineRule="exact"/>
        <w:jc w:val="left"/>
        <w:rPr>
          <w:rFonts w:ascii="仿宋_GB2312" w:eastAsia="仿宋_GB2312" w:cs="仿宋_GB2312"/>
          <w:color w:val="000000"/>
          <w:kern w:val="0"/>
          <w:sz w:val="28"/>
          <w:szCs w:val="28"/>
        </w:rPr>
      </w:pPr>
      <w:r>
        <w:rPr>
          <w:rFonts w:ascii="仿宋_GB2312" w:hAnsi="仿宋_GB2312" w:cs="仿宋_GB2312"/>
          <w:color w:val="000000"/>
          <w:kern w:val="0"/>
          <w:sz w:val="28"/>
          <w:szCs w:val="28"/>
        </w:rPr>
        <w:t xml:space="preserve">     </w:t>
      </w:r>
      <w:r>
        <w:rPr>
          <w:rFonts w:hint="eastAsia" w:ascii="仿宋_GB2312" w:hAnsi="仿宋_GB2312" w:cs="仿宋_GB2312"/>
          <w:color w:val="000000"/>
          <w:kern w:val="0"/>
          <w:sz w:val="28"/>
          <w:szCs w:val="28"/>
        </w:rPr>
        <w:t>十三、关于国有资产占用情况说明</w:t>
      </w:r>
    </w:p>
    <w:p>
      <w:pPr>
        <w:autoSpaceDE w:val="0"/>
        <w:autoSpaceDN w:val="0"/>
        <w:adjustRightInd w:val="0"/>
        <w:spacing w:line="460" w:lineRule="exact"/>
        <w:jc w:val="left"/>
        <w:rPr>
          <w:rFonts w:ascii="仿宋_GB2312" w:eastAsia="仿宋_GB2312" w:cs="仿宋_GB2312"/>
          <w:color w:val="000000"/>
          <w:kern w:val="0"/>
          <w:sz w:val="28"/>
          <w:szCs w:val="28"/>
        </w:rPr>
      </w:pPr>
      <w:r>
        <w:rPr>
          <w:rFonts w:ascii="仿宋_GB2312" w:hAnsi="仿宋_GB2312" w:cs="仿宋_GB2312"/>
          <w:color w:val="000000"/>
          <w:kern w:val="0"/>
          <w:sz w:val="28"/>
          <w:szCs w:val="28"/>
        </w:rPr>
        <w:t xml:space="preserve">     </w:t>
      </w:r>
      <w:r>
        <w:rPr>
          <w:rFonts w:hint="eastAsia" w:ascii="仿宋_GB2312" w:hAnsi="仿宋_GB2312" w:cs="仿宋_GB2312"/>
          <w:color w:val="000000"/>
          <w:kern w:val="0"/>
          <w:sz w:val="28"/>
          <w:szCs w:val="28"/>
        </w:rPr>
        <w:t>十四、关于</w:t>
      </w:r>
      <w:r>
        <w:rPr>
          <w:rFonts w:ascii="仿宋_GB2312" w:hAnsi="仿宋_GB2312" w:cs="仿宋_GB2312"/>
          <w:color w:val="000000"/>
          <w:kern w:val="0"/>
          <w:sz w:val="28"/>
          <w:szCs w:val="28"/>
        </w:rPr>
        <w:t>2020</w:t>
      </w:r>
      <w:r>
        <w:rPr>
          <w:rFonts w:hint="eastAsia" w:ascii="仿宋_GB2312" w:hAnsi="仿宋_GB2312" w:cs="仿宋_GB2312"/>
          <w:color w:val="000000"/>
          <w:kern w:val="0"/>
          <w:sz w:val="28"/>
          <w:szCs w:val="28"/>
        </w:rPr>
        <w:t>年度预算绩效情况的说明</w:t>
      </w:r>
    </w:p>
    <w:p>
      <w:pPr>
        <w:autoSpaceDE w:val="0"/>
        <w:autoSpaceDN w:val="0"/>
        <w:adjustRightInd w:val="0"/>
        <w:spacing w:line="460" w:lineRule="exact"/>
        <w:jc w:val="left"/>
        <w:rPr>
          <w:rFonts w:ascii="黑体" w:hAnsi="黑体" w:eastAsia="黑体" w:cs="黑体"/>
          <w:b/>
          <w:color w:val="000000"/>
          <w:kern w:val="0"/>
          <w:sz w:val="28"/>
          <w:szCs w:val="28"/>
        </w:rPr>
      </w:pPr>
      <w:r>
        <w:rPr>
          <w:rFonts w:hint="eastAsia" w:ascii="黑体" w:hAnsi="黑体" w:eastAsia="黑体" w:cs="黑体"/>
          <w:b/>
          <w:color w:val="000000"/>
          <w:kern w:val="0"/>
          <w:sz w:val="28"/>
          <w:szCs w:val="28"/>
        </w:rPr>
        <w:t>第四部分名词解释</w:t>
      </w:r>
    </w:p>
    <w:p>
      <w:pPr>
        <w:autoSpaceDE w:val="0"/>
        <w:autoSpaceDN w:val="0"/>
        <w:adjustRightInd w:val="0"/>
        <w:spacing w:line="46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r>
        <w:rPr>
          <w:sz w:val="84"/>
          <w:szCs w:val="84"/>
        </w:rPr>
        <w:t xml:space="preserve"> </w:t>
      </w:r>
    </w:p>
    <w:p>
      <w:pPr>
        <w:pStyle w:val="10"/>
        <w:jc w:val="center"/>
        <w:rPr>
          <w:sz w:val="84"/>
          <w:szCs w:val="84"/>
        </w:rPr>
      </w:pPr>
    </w:p>
    <w:p>
      <w:pPr>
        <w:pStyle w:val="10"/>
        <w:jc w:val="center"/>
        <w:rPr>
          <w:sz w:val="72"/>
          <w:szCs w:val="72"/>
        </w:rPr>
      </w:pPr>
      <w:r>
        <w:rPr>
          <w:rFonts w:hint="eastAsia"/>
          <w:sz w:val="72"/>
          <w:szCs w:val="72"/>
        </w:rPr>
        <w:t>岳阳市建设工程质量安全监督站</w:t>
      </w:r>
    </w:p>
    <w:p>
      <w:pPr>
        <w:pStyle w:val="10"/>
        <w:jc w:val="center"/>
        <w:rPr>
          <w:sz w:val="84"/>
          <w:szCs w:val="84"/>
        </w:rPr>
      </w:pP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numPr>
          <w:ilvl w:val="0"/>
          <w:numId w:val="1"/>
        </w:numPr>
        <w:ind w:firstLineChars="0"/>
        <w:jc w:val="left"/>
        <w:rPr>
          <w:rFonts w:ascii="黑体" w:hAnsi="黑体" w:eastAsia="黑体"/>
          <w:sz w:val="32"/>
          <w:szCs w:val="32"/>
        </w:rPr>
      </w:pPr>
      <w:r>
        <w:rPr>
          <w:rFonts w:hint="eastAsia" w:ascii="黑体" w:hAnsi="黑体" w:eastAsia="黑体"/>
          <w:sz w:val="32"/>
          <w:szCs w:val="32"/>
        </w:rPr>
        <w:t>部门职责</w:t>
      </w:r>
    </w:p>
    <w:p>
      <w:pPr>
        <w:widowControl/>
        <w:spacing w:line="600" w:lineRule="exact"/>
        <w:ind w:firstLine="640" w:firstLineChars="200"/>
        <w:rPr>
          <w:rFonts w:ascii="宋体" w:cs="仿宋_GB2312"/>
          <w:kern w:val="0"/>
          <w:sz w:val="32"/>
          <w:szCs w:val="32"/>
        </w:rPr>
      </w:pPr>
      <w:r>
        <w:rPr>
          <w:rFonts w:hint="eastAsia" w:ascii="宋体" w:hAnsi="宋体" w:cs="仿宋_GB2312"/>
          <w:kern w:val="0"/>
          <w:sz w:val="32"/>
          <w:szCs w:val="32"/>
        </w:rPr>
        <w:t>（一）职能职责</w:t>
      </w:r>
    </w:p>
    <w:p>
      <w:pPr>
        <w:widowControl/>
        <w:rPr>
          <w:rFonts w:ascii="宋体" w:cs="仿宋_GB2312"/>
          <w:color w:val="000000"/>
          <w:sz w:val="32"/>
          <w:szCs w:val="32"/>
        </w:rPr>
      </w:pPr>
      <w:r>
        <w:rPr>
          <w:rFonts w:hint="eastAsia" w:ascii="宋体" w:hAnsi="宋体" w:cs="仿宋_GB2312"/>
          <w:color w:val="000000"/>
          <w:sz w:val="32"/>
          <w:szCs w:val="32"/>
        </w:rPr>
        <w:t>（</w:t>
      </w:r>
      <w:r>
        <w:rPr>
          <w:rFonts w:ascii="宋体" w:hAnsi="宋体" w:cs="Calibri"/>
          <w:color w:val="000000"/>
          <w:sz w:val="32"/>
          <w:szCs w:val="32"/>
        </w:rPr>
        <w:t>1</w:t>
      </w:r>
      <w:r>
        <w:rPr>
          <w:rFonts w:hint="eastAsia" w:ascii="宋体" w:hAnsi="宋体" w:cs="仿宋_GB2312"/>
          <w:color w:val="000000"/>
          <w:sz w:val="32"/>
          <w:szCs w:val="32"/>
        </w:rPr>
        <w:t>）</w:t>
      </w:r>
      <w:r>
        <w:rPr>
          <w:rFonts w:hint="eastAsia" w:ascii="宋体" w:hAnsi="宋体" w:cs="微软雅黑"/>
          <w:color w:val="000000"/>
          <w:sz w:val="32"/>
          <w:szCs w:val="32"/>
        </w:rPr>
        <w:t>宣传贯彻执</w:t>
      </w:r>
      <w:r>
        <w:rPr>
          <w:rFonts w:hint="eastAsia" w:ascii="宋体" w:hAnsi="宋体" w:cs="___WRD_EMBED_SUB_47"/>
          <w:color w:val="000000"/>
          <w:sz w:val="32"/>
          <w:szCs w:val="32"/>
        </w:rPr>
        <w:t>行国家、省、市有关</w:t>
      </w:r>
      <w:r>
        <w:rPr>
          <w:rFonts w:hint="eastAsia" w:ascii="宋体" w:hAnsi="宋体" w:cs="微软雅黑"/>
          <w:color w:val="000000"/>
          <w:sz w:val="32"/>
          <w:szCs w:val="32"/>
        </w:rPr>
        <w:t>建</w:t>
      </w:r>
      <w:r>
        <w:rPr>
          <w:rFonts w:hint="eastAsia" w:ascii="宋体" w:hAnsi="宋体" w:cs="___WRD_EMBED_SUB_47"/>
          <w:color w:val="000000"/>
          <w:sz w:val="32"/>
          <w:szCs w:val="32"/>
        </w:rPr>
        <w:t>设工</w:t>
      </w:r>
      <w:r>
        <w:rPr>
          <w:rFonts w:hint="eastAsia" w:ascii="宋体" w:hAnsi="宋体" w:cs="微软雅黑"/>
          <w:color w:val="000000"/>
          <w:sz w:val="32"/>
          <w:szCs w:val="32"/>
        </w:rPr>
        <w:t>程质量</w:t>
      </w:r>
      <w:r>
        <w:rPr>
          <w:rFonts w:hint="eastAsia" w:ascii="宋体" w:hAnsi="宋体" w:cs="___WRD_EMBED_SUB_47"/>
          <w:color w:val="000000"/>
          <w:sz w:val="32"/>
          <w:szCs w:val="32"/>
        </w:rPr>
        <w:t>和安</w:t>
      </w:r>
      <w:r>
        <w:rPr>
          <w:rFonts w:hint="eastAsia" w:ascii="宋体" w:hAnsi="宋体" w:cs="微软雅黑"/>
          <w:color w:val="000000"/>
          <w:sz w:val="32"/>
          <w:szCs w:val="32"/>
        </w:rPr>
        <w:t>全</w:t>
      </w:r>
      <w:r>
        <w:rPr>
          <w:rFonts w:hint="eastAsia" w:ascii="宋体" w:hAnsi="宋体" w:cs="___WRD_EMBED_SUB_47"/>
          <w:color w:val="000000"/>
          <w:sz w:val="32"/>
          <w:szCs w:val="32"/>
        </w:rPr>
        <w:t>生产</w:t>
      </w:r>
      <w:r>
        <w:rPr>
          <w:rFonts w:hint="eastAsia" w:ascii="宋体" w:hAnsi="宋体" w:cs="微软雅黑"/>
          <w:color w:val="000000"/>
          <w:sz w:val="32"/>
          <w:szCs w:val="32"/>
        </w:rPr>
        <w:t>监督</w:t>
      </w:r>
      <w:r>
        <w:rPr>
          <w:rFonts w:hint="eastAsia" w:ascii="宋体" w:hAnsi="宋体" w:cs="___WRD_EMBED_SUB_47"/>
          <w:color w:val="000000"/>
          <w:sz w:val="32"/>
          <w:szCs w:val="32"/>
        </w:rPr>
        <w:t>管理、房</w:t>
      </w:r>
      <w:r>
        <w:rPr>
          <w:rFonts w:hint="eastAsia" w:ascii="宋体" w:hAnsi="宋体" w:cs="微软雅黑"/>
          <w:color w:val="000000"/>
          <w:sz w:val="32"/>
          <w:szCs w:val="32"/>
        </w:rPr>
        <w:t>屋</w:t>
      </w:r>
      <w:r>
        <w:rPr>
          <w:rFonts w:hint="eastAsia" w:ascii="宋体" w:hAnsi="宋体" w:cs="___WRD_EMBED_SUB_47"/>
          <w:color w:val="000000"/>
          <w:sz w:val="32"/>
          <w:szCs w:val="32"/>
        </w:rPr>
        <w:t>安</w:t>
      </w:r>
      <w:r>
        <w:rPr>
          <w:rFonts w:hint="eastAsia" w:ascii="宋体" w:hAnsi="宋体" w:cs="微软雅黑"/>
          <w:color w:val="000000"/>
          <w:sz w:val="32"/>
          <w:szCs w:val="32"/>
        </w:rPr>
        <w:t>全</w:t>
      </w:r>
      <w:r>
        <w:rPr>
          <w:rFonts w:hint="eastAsia" w:ascii="宋体" w:hAnsi="宋体" w:cs="___WRD_EMBED_SUB_47"/>
          <w:color w:val="000000"/>
          <w:sz w:val="32"/>
          <w:szCs w:val="32"/>
        </w:rPr>
        <w:t>管理、</w:t>
      </w:r>
      <w:r>
        <w:rPr>
          <w:rFonts w:hint="eastAsia" w:ascii="宋体" w:hAnsi="宋体" w:cs="微软雅黑"/>
          <w:color w:val="000000"/>
          <w:sz w:val="32"/>
          <w:szCs w:val="32"/>
        </w:rPr>
        <w:t>装饰装</w:t>
      </w:r>
      <w:r>
        <w:rPr>
          <w:rFonts w:hint="eastAsia" w:ascii="宋体" w:hAnsi="宋体" w:cs="___WRD_EMBED_SUB_47"/>
          <w:color w:val="000000"/>
          <w:sz w:val="32"/>
          <w:szCs w:val="32"/>
        </w:rPr>
        <w:t>修管理的</w:t>
      </w:r>
      <w:r>
        <w:rPr>
          <w:rFonts w:hint="eastAsia" w:ascii="宋体" w:hAnsi="宋体" w:cs="微软雅黑"/>
          <w:color w:val="000000"/>
          <w:sz w:val="32"/>
          <w:szCs w:val="32"/>
        </w:rPr>
        <w:t>法律</w:t>
      </w:r>
      <w:r>
        <w:rPr>
          <w:rFonts w:hint="eastAsia" w:ascii="宋体" w:hAnsi="宋体" w:cs="___WRD_EMBED_SUB_47"/>
          <w:color w:val="000000"/>
          <w:sz w:val="32"/>
          <w:szCs w:val="32"/>
        </w:rPr>
        <w:t>、</w:t>
      </w:r>
      <w:r>
        <w:rPr>
          <w:rFonts w:hint="eastAsia" w:ascii="宋体" w:hAnsi="宋体" w:cs="微软雅黑"/>
          <w:color w:val="000000"/>
          <w:sz w:val="32"/>
          <w:szCs w:val="32"/>
        </w:rPr>
        <w:t>法</w:t>
      </w:r>
      <w:r>
        <w:rPr>
          <w:rFonts w:hint="eastAsia" w:ascii="宋体" w:hAnsi="宋体" w:cs="___WRD_EMBED_SUB_47"/>
          <w:color w:val="000000"/>
          <w:sz w:val="32"/>
          <w:szCs w:val="32"/>
        </w:rPr>
        <w:t>规、规</w:t>
      </w:r>
      <w:r>
        <w:rPr>
          <w:rFonts w:hint="eastAsia" w:ascii="宋体" w:hAnsi="宋体" w:cs="微软雅黑"/>
          <w:color w:val="000000"/>
          <w:sz w:val="32"/>
          <w:szCs w:val="32"/>
        </w:rPr>
        <w:t>章</w:t>
      </w:r>
      <w:r>
        <w:rPr>
          <w:rFonts w:hint="eastAsia" w:ascii="宋体" w:hAnsi="宋体" w:cs="___WRD_EMBED_SUB_47"/>
          <w:color w:val="000000"/>
          <w:sz w:val="32"/>
          <w:szCs w:val="32"/>
        </w:rPr>
        <w:t>、标</w:t>
      </w:r>
      <w:r>
        <w:rPr>
          <w:rFonts w:hint="eastAsia" w:ascii="宋体" w:hAnsi="宋体" w:cs="微软雅黑"/>
          <w:color w:val="000000"/>
          <w:sz w:val="32"/>
          <w:szCs w:val="32"/>
        </w:rPr>
        <w:t>准</w:t>
      </w:r>
      <w:r>
        <w:rPr>
          <w:rFonts w:hint="eastAsia" w:ascii="宋体" w:hAnsi="宋体" w:cs="___WRD_EMBED_SUB_47"/>
          <w:color w:val="000000"/>
          <w:sz w:val="32"/>
          <w:szCs w:val="32"/>
        </w:rPr>
        <w:t>规</w:t>
      </w:r>
      <w:r>
        <w:rPr>
          <w:rFonts w:hint="eastAsia" w:ascii="宋体" w:hAnsi="宋体" w:cs="微软雅黑"/>
          <w:color w:val="000000"/>
          <w:sz w:val="32"/>
          <w:szCs w:val="32"/>
        </w:rPr>
        <w:t>范</w:t>
      </w:r>
      <w:r>
        <w:rPr>
          <w:rFonts w:hint="eastAsia" w:ascii="宋体" w:hAnsi="宋体" w:cs="___WRD_EMBED_SUB_47"/>
          <w:color w:val="000000"/>
          <w:sz w:val="32"/>
          <w:szCs w:val="32"/>
        </w:rPr>
        <w:t>及政</w:t>
      </w:r>
      <w:r>
        <w:rPr>
          <w:rFonts w:hint="eastAsia" w:ascii="宋体" w:hAnsi="宋体" w:cs="微软雅黑"/>
          <w:color w:val="000000"/>
          <w:sz w:val="32"/>
          <w:szCs w:val="32"/>
        </w:rPr>
        <w:t>策</w:t>
      </w:r>
      <w:r>
        <w:rPr>
          <w:rFonts w:hint="eastAsia" w:ascii="宋体" w:hAnsi="宋体" w:cs="___WRD_EMBED_SUB_47"/>
          <w:color w:val="000000"/>
          <w:sz w:val="32"/>
          <w:szCs w:val="32"/>
        </w:rPr>
        <w:t>性规定。</w:t>
      </w:r>
    </w:p>
    <w:p>
      <w:pPr>
        <w:widowControl/>
        <w:rPr>
          <w:rFonts w:ascii="宋体" w:cs="仿宋_GB2312"/>
          <w:color w:val="000000"/>
          <w:sz w:val="32"/>
          <w:szCs w:val="32"/>
        </w:rPr>
      </w:pPr>
      <w:r>
        <w:rPr>
          <w:rFonts w:hint="eastAsia" w:ascii="宋体" w:hAnsi="宋体" w:cs="仿宋_GB2312"/>
          <w:color w:val="000000"/>
          <w:sz w:val="32"/>
          <w:szCs w:val="32"/>
        </w:rPr>
        <w:t>（</w:t>
      </w:r>
      <w:r>
        <w:rPr>
          <w:rFonts w:ascii="宋体" w:hAnsi="宋体" w:cs="Calibri"/>
          <w:color w:val="000000"/>
          <w:sz w:val="32"/>
          <w:szCs w:val="32"/>
        </w:rPr>
        <w:t>2</w:t>
      </w:r>
      <w:r>
        <w:rPr>
          <w:rFonts w:hint="eastAsia" w:ascii="宋体" w:hAnsi="宋体" w:cs="仿宋_GB2312"/>
          <w:color w:val="000000"/>
          <w:sz w:val="32"/>
          <w:szCs w:val="32"/>
        </w:rPr>
        <w:t>）</w:t>
      </w:r>
      <w:r>
        <w:rPr>
          <w:rFonts w:hint="eastAsia" w:ascii="宋体" w:hAnsi="宋体" w:cs="微软雅黑"/>
          <w:color w:val="000000"/>
          <w:sz w:val="32"/>
          <w:szCs w:val="32"/>
        </w:rPr>
        <w:t>承担</w:t>
      </w:r>
      <w:r>
        <w:rPr>
          <w:rFonts w:hint="eastAsia" w:ascii="宋体" w:hAnsi="宋体" w:cs="___WRD_EMBED_SUB_47"/>
          <w:color w:val="000000"/>
          <w:sz w:val="32"/>
          <w:szCs w:val="32"/>
        </w:rPr>
        <w:t>城</w:t>
      </w:r>
      <w:r>
        <w:rPr>
          <w:rFonts w:hint="eastAsia" w:ascii="宋体" w:hAnsi="宋体" w:cs="微软雅黑"/>
          <w:color w:val="000000"/>
          <w:sz w:val="32"/>
          <w:szCs w:val="32"/>
        </w:rPr>
        <w:t>区范围内已</w:t>
      </w:r>
      <w:r>
        <w:rPr>
          <w:rFonts w:hint="eastAsia" w:ascii="宋体" w:hAnsi="宋体" w:cs="___WRD_EMBED_SUB_47"/>
          <w:color w:val="000000"/>
          <w:sz w:val="32"/>
          <w:szCs w:val="32"/>
        </w:rPr>
        <w:t>取</w:t>
      </w:r>
      <w:r>
        <w:rPr>
          <w:rFonts w:hint="eastAsia" w:ascii="宋体" w:hAnsi="宋体" w:cs="微软雅黑"/>
          <w:color w:val="000000"/>
          <w:sz w:val="32"/>
          <w:szCs w:val="32"/>
        </w:rPr>
        <w:t>得施</w:t>
      </w:r>
      <w:r>
        <w:rPr>
          <w:rFonts w:hint="eastAsia" w:ascii="宋体" w:hAnsi="宋体" w:cs="___WRD_EMBED_SUB_47"/>
          <w:color w:val="000000"/>
          <w:sz w:val="32"/>
          <w:szCs w:val="32"/>
        </w:rPr>
        <w:t>工</w:t>
      </w:r>
      <w:r>
        <w:rPr>
          <w:rFonts w:hint="eastAsia" w:ascii="宋体" w:hAnsi="宋体" w:cs="微软雅黑"/>
          <w:color w:val="000000"/>
          <w:sz w:val="32"/>
          <w:szCs w:val="32"/>
        </w:rPr>
        <w:t>许可证</w:t>
      </w:r>
      <w:r>
        <w:rPr>
          <w:rFonts w:hint="eastAsia" w:ascii="宋体" w:hAnsi="宋体" w:cs="___WRD_EMBED_SUB_47"/>
          <w:color w:val="000000"/>
          <w:sz w:val="32"/>
          <w:szCs w:val="32"/>
        </w:rPr>
        <w:t>或办理</w:t>
      </w:r>
      <w:r>
        <w:rPr>
          <w:rFonts w:hint="eastAsia" w:ascii="宋体" w:hAnsi="宋体" w:cs="微软雅黑"/>
          <w:color w:val="000000"/>
          <w:sz w:val="32"/>
          <w:szCs w:val="32"/>
        </w:rPr>
        <w:t>拆除</w:t>
      </w:r>
      <w:r>
        <w:rPr>
          <w:rFonts w:hint="eastAsia" w:ascii="宋体" w:hAnsi="宋体" w:cs="___WRD_EMBED_SUB_47"/>
          <w:color w:val="000000"/>
          <w:sz w:val="32"/>
          <w:szCs w:val="32"/>
        </w:rPr>
        <w:t>工</w:t>
      </w:r>
      <w:r>
        <w:rPr>
          <w:rFonts w:hint="eastAsia" w:ascii="宋体" w:hAnsi="宋体" w:cs="微软雅黑"/>
          <w:color w:val="000000"/>
          <w:sz w:val="32"/>
          <w:szCs w:val="32"/>
        </w:rPr>
        <w:t>程</w:t>
      </w:r>
      <w:r>
        <w:rPr>
          <w:rFonts w:hint="eastAsia" w:ascii="宋体" w:hAnsi="宋体" w:cs="___WRD_EMBED_SUB_47"/>
          <w:color w:val="000000"/>
          <w:sz w:val="32"/>
          <w:szCs w:val="32"/>
        </w:rPr>
        <w:t>备</w:t>
      </w:r>
      <w:r>
        <w:rPr>
          <w:rFonts w:hint="eastAsia" w:ascii="宋体" w:hAnsi="宋体" w:cs="微软雅黑"/>
          <w:color w:val="000000"/>
          <w:sz w:val="32"/>
          <w:szCs w:val="32"/>
        </w:rPr>
        <w:t>案</w:t>
      </w:r>
      <w:r>
        <w:rPr>
          <w:rFonts w:hint="eastAsia" w:ascii="宋体" w:hAnsi="宋体" w:cs="___WRD_EMBED_SUB_47"/>
          <w:color w:val="000000"/>
          <w:sz w:val="32"/>
          <w:szCs w:val="32"/>
        </w:rPr>
        <w:t>的</w:t>
      </w:r>
      <w:r>
        <w:rPr>
          <w:rFonts w:hint="eastAsia" w:ascii="宋体" w:hAnsi="宋体" w:cs="微软雅黑"/>
          <w:color w:val="000000"/>
          <w:sz w:val="32"/>
          <w:szCs w:val="32"/>
        </w:rPr>
        <w:t>建</w:t>
      </w:r>
      <w:r>
        <w:rPr>
          <w:rFonts w:hint="eastAsia" w:ascii="宋体" w:hAnsi="宋体" w:cs="___WRD_EMBED_SUB_47"/>
          <w:color w:val="000000"/>
          <w:sz w:val="32"/>
          <w:szCs w:val="32"/>
        </w:rPr>
        <w:t>设工</w:t>
      </w:r>
      <w:r>
        <w:rPr>
          <w:rFonts w:hint="eastAsia" w:ascii="宋体" w:hAnsi="宋体" w:cs="微软雅黑"/>
          <w:color w:val="000000"/>
          <w:sz w:val="32"/>
          <w:szCs w:val="32"/>
        </w:rPr>
        <w:t>程</w:t>
      </w:r>
      <w:r>
        <w:rPr>
          <w:rFonts w:hint="eastAsia" w:ascii="宋体" w:hAnsi="宋体" w:cs="___WRD_EMBED_SUB_47"/>
          <w:color w:val="000000"/>
          <w:sz w:val="32"/>
          <w:szCs w:val="32"/>
        </w:rPr>
        <w:t>项目工</w:t>
      </w:r>
      <w:r>
        <w:rPr>
          <w:rFonts w:hint="eastAsia" w:ascii="宋体" w:hAnsi="宋体" w:cs="微软雅黑"/>
          <w:color w:val="000000"/>
          <w:sz w:val="32"/>
          <w:szCs w:val="32"/>
        </w:rPr>
        <w:t>程质量</w:t>
      </w:r>
      <w:r>
        <w:rPr>
          <w:rFonts w:hint="eastAsia" w:ascii="宋体" w:hAnsi="宋体" w:cs="___WRD_EMBED_SUB_47"/>
          <w:color w:val="000000"/>
          <w:sz w:val="32"/>
          <w:szCs w:val="32"/>
        </w:rPr>
        <w:t>、</w:t>
      </w:r>
      <w:r>
        <w:rPr>
          <w:rFonts w:hint="eastAsia" w:ascii="宋体" w:hAnsi="宋体" w:cs="微软雅黑"/>
          <w:color w:val="000000"/>
          <w:sz w:val="32"/>
          <w:szCs w:val="32"/>
        </w:rPr>
        <w:t>施</w:t>
      </w:r>
      <w:r>
        <w:rPr>
          <w:rFonts w:hint="eastAsia" w:ascii="宋体" w:hAnsi="宋体" w:cs="___WRD_EMBED_SUB_47"/>
          <w:color w:val="000000"/>
          <w:sz w:val="32"/>
          <w:szCs w:val="32"/>
        </w:rPr>
        <w:t>工安</w:t>
      </w:r>
      <w:r>
        <w:rPr>
          <w:rFonts w:hint="eastAsia" w:ascii="宋体" w:hAnsi="宋体" w:cs="微软雅黑"/>
          <w:color w:val="000000"/>
          <w:sz w:val="32"/>
          <w:szCs w:val="32"/>
        </w:rPr>
        <w:t>全</w:t>
      </w:r>
      <w:r>
        <w:rPr>
          <w:rFonts w:hint="eastAsia" w:ascii="宋体" w:hAnsi="宋体" w:cs="___WRD_EMBED_SUB_47"/>
          <w:color w:val="000000"/>
          <w:sz w:val="32"/>
          <w:szCs w:val="32"/>
        </w:rPr>
        <w:t>、文明</w:t>
      </w:r>
      <w:r>
        <w:rPr>
          <w:rFonts w:hint="eastAsia" w:ascii="宋体" w:hAnsi="宋体" w:cs="微软雅黑"/>
          <w:color w:val="000000"/>
          <w:sz w:val="32"/>
          <w:szCs w:val="32"/>
        </w:rPr>
        <w:t>施</w:t>
      </w:r>
      <w:r>
        <w:rPr>
          <w:rFonts w:hint="eastAsia" w:ascii="宋体" w:hAnsi="宋体" w:cs="___WRD_EMBED_SUB_47"/>
          <w:color w:val="000000"/>
          <w:sz w:val="32"/>
          <w:szCs w:val="32"/>
        </w:rPr>
        <w:t>工</w:t>
      </w:r>
      <w:r>
        <w:rPr>
          <w:rFonts w:hint="eastAsia" w:ascii="宋体" w:hAnsi="宋体" w:cs="微软雅黑"/>
          <w:color w:val="000000"/>
          <w:sz w:val="32"/>
          <w:szCs w:val="32"/>
        </w:rPr>
        <w:t>监督</w:t>
      </w:r>
      <w:r>
        <w:rPr>
          <w:rFonts w:hint="eastAsia" w:ascii="宋体" w:hAnsi="宋体" w:cs="___WRD_EMBED_SUB_47"/>
          <w:color w:val="000000"/>
          <w:sz w:val="32"/>
          <w:szCs w:val="32"/>
        </w:rPr>
        <w:t>管理的事务性工作。</w:t>
      </w:r>
    </w:p>
    <w:p>
      <w:pPr>
        <w:widowControl/>
        <w:rPr>
          <w:rFonts w:ascii="宋体" w:cs="___WRD_EMBED_SUB_47"/>
          <w:color w:val="000000"/>
          <w:sz w:val="32"/>
          <w:szCs w:val="32"/>
        </w:rPr>
      </w:pPr>
      <w:r>
        <w:rPr>
          <w:rFonts w:ascii="宋体" w:hAnsi="宋体" w:cs="仿宋_GB2312"/>
          <w:color w:val="000000"/>
          <w:sz w:val="32"/>
          <w:szCs w:val="32"/>
        </w:rPr>
        <w:t>(</w:t>
      </w:r>
      <w:r>
        <w:rPr>
          <w:rFonts w:ascii="宋体" w:hAnsi="宋体" w:cs="Calibri"/>
          <w:color w:val="000000"/>
          <w:sz w:val="32"/>
          <w:szCs w:val="32"/>
        </w:rPr>
        <w:t>3</w:t>
      </w:r>
      <w:r>
        <w:rPr>
          <w:rFonts w:hint="eastAsia" w:ascii="宋体" w:hAnsi="宋体" w:cs="仿宋_GB2312"/>
          <w:color w:val="000000"/>
          <w:sz w:val="32"/>
          <w:szCs w:val="32"/>
        </w:rPr>
        <w:t>）</w:t>
      </w:r>
      <w:r>
        <w:rPr>
          <w:rFonts w:hint="eastAsia" w:ascii="宋体" w:hAnsi="宋体" w:cs="微软雅黑"/>
          <w:color w:val="000000"/>
          <w:sz w:val="32"/>
          <w:szCs w:val="32"/>
        </w:rPr>
        <w:t>承担</w:t>
      </w:r>
      <w:r>
        <w:rPr>
          <w:rFonts w:hint="eastAsia" w:ascii="宋体" w:hAnsi="宋体" w:cs="___WRD_EMBED_SUB_47"/>
          <w:color w:val="000000"/>
          <w:sz w:val="32"/>
          <w:szCs w:val="32"/>
        </w:rPr>
        <w:t>房</w:t>
      </w:r>
      <w:r>
        <w:rPr>
          <w:rFonts w:hint="eastAsia" w:ascii="宋体" w:hAnsi="宋体" w:cs="微软雅黑"/>
          <w:color w:val="000000"/>
          <w:sz w:val="32"/>
          <w:szCs w:val="32"/>
        </w:rPr>
        <w:t>屋</w:t>
      </w:r>
      <w:r>
        <w:rPr>
          <w:rFonts w:hint="eastAsia" w:ascii="宋体" w:hAnsi="宋体" w:cs="___WRD_EMBED_SUB_47"/>
          <w:color w:val="000000"/>
          <w:sz w:val="32"/>
          <w:szCs w:val="32"/>
        </w:rPr>
        <w:t>安</w:t>
      </w:r>
      <w:r>
        <w:rPr>
          <w:rFonts w:hint="eastAsia" w:ascii="宋体" w:hAnsi="宋体" w:cs="微软雅黑"/>
          <w:color w:val="000000"/>
          <w:sz w:val="32"/>
          <w:szCs w:val="32"/>
        </w:rPr>
        <w:t>全鉴</w:t>
      </w:r>
      <w:r>
        <w:rPr>
          <w:rFonts w:hint="eastAsia" w:ascii="宋体" w:hAnsi="宋体" w:cs="___WRD_EMBED_SUB_47"/>
          <w:color w:val="000000"/>
          <w:sz w:val="32"/>
          <w:szCs w:val="32"/>
        </w:rPr>
        <w:t>定管理和房</w:t>
      </w:r>
      <w:r>
        <w:rPr>
          <w:rFonts w:hint="eastAsia" w:ascii="宋体" w:hAnsi="宋体" w:cs="微软雅黑"/>
          <w:color w:val="000000"/>
          <w:sz w:val="32"/>
          <w:szCs w:val="32"/>
        </w:rPr>
        <w:t>屋</w:t>
      </w:r>
      <w:r>
        <w:rPr>
          <w:rFonts w:hint="eastAsia" w:ascii="宋体" w:hAnsi="宋体" w:cs="___WRD_EMBED_SUB_47"/>
          <w:color w:val="000000"/>
          <w:sz w:val="32"/>
          <w:szCs w:val="32"/>
        </w:rPr>
        <w:t>安</w:t>
      </w:r>
      <w:r>
        <w:rPr>
          <w:rFonts w:hint="eastAsia" w:ascii="宋体" w:hAnsi="宋体" w:cs="微软雅黑"/>
          <w:color w:val="000000"/>
          <w:sz w:val="32"/>
          <w:szCs w:val="32"/>
        </w:rPr>
        <w:t>全监督</w:t>
      </w:r>
      <w:r>
        <w:rPr>
          <w:rFonts w:hint="eastAsia" w:ascii="宋体" w:hAnsi="宋体" w:cs="___WRD_EMBED_SUB_47"/>
          <w:color w:val="000000"/>
          <w:sz w:val="32"/>
          <w:szCs w:val="32"/>
        </w:rPr>
        <w:t>管理的事务性工作。</w:t>
      </w:r>
    </w:p>
    <w:p>
      <w:pPr>
        <w:widowControl/>
        <w:rPr>
          <w:rFonts w:ascii="宋体" w:cs="仿宋_GB2312"/>
          <w:color w:val="000000"/>
          <w:sz w:val="32"/>
          <w:szCs w:val="32"/>
        </w:rPr>
      </w:pPr>
      <w:r>
        <w:rPr>
          <w:rFonts w:hint="eastAsia" w:ascii="宋体" w:hAnsi="宋体" w:cs="___WRD_EMBED_SUB_47"/>
          <w:color w:val="000000"/>
          <w:sz w:val="32"/>
          <w:szCs w:val="32"/>
        </w:rPr>
        <w:t>（</w:t>
      </w:r>
      <w:r>
        <w:rPr>
          <w:rFonts w:ascii="宋体" w:hAnsi="宋体" w:cs="Calibri"/>
          <w:color w:val="000000"/>
          <w:sz w:val="32"/>
          <w:szCs w:val="32"/>
        </w:rPr>
        <w:t>4</w:t>
      </w:r>
      <w:r>
        <w:rPr>
          <w:rFonts w:hint="eastAsia" w:ascii="宋体" w:hAnsi="宋体" w:cs="___WRD_EMBED_SUB_47"/>
          <w:color w:val="000000"/>
          <w:sz w:val="32"/>
          <w:szCs w:val="32"/>
        </w:rPr>
        <w:t>）</w:t>
      </w:r>
      <w:r>
        <w:rPr>
          <w:rFonts w:hint="eastAsia" w:ascii="宋体" w:hAnsi="宋体" w:cs="微软雅黑"/>
          <w:color w:val="000000"/>
          <w:sz w:val="32"/>
          <w:szCs w:val="32"/>
        </w:rPr>
        <w:t>承担混凝土</w:t>
      </w:r>
      <w:r>
        <w:rPr>
          <w:rFonts w:hint="eastAsia" w:ascii="宋体" w:hAnsi="宋体" w:cs="___WRD_EMBED_SUB_47"/>
          <w:color w:val="000000"/>
          <w:sz w:val="32"/>
          <w:szCs w:val="32"/>
        </w:rPr>
        <w:t>预</w:t>
      </w:r>
      <w:r>
        <w:rPr>
          <w:rFonts w:hint="eastAsia" w:ascii="宋体" w:hAnsi="宋体" w:cs="微软雅黑"/>
          <w:color w:val="000000"/>
          <w:sz w:val="32"/>
          <w:szCs w:val="32"/>
        </w:rPr>
        <w:t>制</w:t>
      </w:r>
      <w:r>
        <w:rPr>
          <w:rFonts w:hint="eastAsia" w:ascii="宋体" w:hAnsi="宋体" w:cs="___WRD_EMBED_SUB_47"/>
          <w:color w:val="000000"/>
          <w:sz w:val="32"/>
          <w:szCs w:val="32"/>
        </w:rPr>
        <w:t>构</w:t>
      </w:r>
      <w:r>
        <w:rPr>
          <w:rFonts w:hint="eastAsia" w:ascii="宋体" w:hAnsi="宋体" w:cs="微软雅黑"/>
          <w:color w:val="000000"/>
          <w:sz w:val="32"/>
          <w:szCs w:val="32"/>
        </w:rPr>
        <w:t>件</w:t>
      </w:r>
      <w:r>
        <w:rPr>
          <w:rFonts w:hint="eastAsia" w:ascii="宋体" w:hAnsi="宋体" w:cs="___WRD_EMBED_SUB_47"/>
          <w:color w:val="000000"/>
          <w:sz w:val="32"/>
          <w:szCs w:val="32"/>
        </w:rPr>
        <w:t>、预</w:t>
      </w:r>
      <w:r>
        <w:rPr>
          <w:rFonts w:hint="eastAsia" w:ascii="宋体" w:hAnsi="宋体" w:cs="微软雅黑"/>
          <w:color w:val="000000"/>
          <w:sz w:val="32"/>
          <w:szCs w:val="32"/>
        </w:rPr>
        <w:t>拌混凝土</w:t>
      </w:r>
      <w:r>
        <w:rPr>
          <w:rFonts w:hint="eastAsia" w:ascii="宋体" w:hAnsi="宋体" w:cs="___WRD_EMBED_SUB_47"/>
          <w:color w:val="000000"/>
          <w:sz w:val="32"/>
          <w:szCs w:val="32"/>
        </w:rPr>
        <w:t>、预</w:t>
      </w:r>
      <w:r>
        <w:rPr>
          <w:rFonts w:hint="eastAsia" w:ascii="宋体" w:hAnsi="宋体" w:cs="微软雅黑"/>
          <w:color w:val="000000"/>
          <w:sz w:val="32"/>
          <w:szCs w:val="32"/>
        </w:rPr>
        <w:t>拌砂浆质量监督</w:t>
      </w:r>
      <w:r>
        <w:rPr>
          <w:rFonts w:hint="eastAsia" w:ascii="宋体" w:hAnsi="宋体" w:cs="___WRD_EMBED_SUB_47"/>
          <w:color w:val="000000"/>
          <w:sz w:val="32"/>
          <w:szCs w:val="32"/>
        </w:rPr>
        <w:t>管理的事务性工作。</w:t>
      </w:r>
    </w:p>
    <w:p>
      <w:pPr>
        <w:widowControl/>
        <w:rPr>
          <w:rFonts w:ascii="宋体" w:cs="仿宋_GB2312"/>
          <w:color w:val="000000"/>
          <w:sz w:val="32"/>
          <w:szCs w:val="32"/>
        </w:rPr>
      </w:pPr>
      <w:r>
        <w:rPr>
          <w:rFonts w:hint="eastAsia" w:ascii="宋体" w:hAnsi="宋体" w:cs="仿宋_GB2312"/>
          <w:color w:val="000000"/>
          <w:sz w:val="32"/>
          <w:szCs w:val="32"/>
        </w:rPr>
        <w:t>（</w:t>
      </w:r>
      <w:r>
        <w:rPr>
          <w:rFonts w:ascii="宋体" w:hAnsi="宋体" w:cs="Calibri"/>
          <w:color w:val="000000"/>
          <w:sz w:val="32"/>
          <w:szCs w:val="32"/>
        </w:rPr>
        <w:t>5</w:t>
      </w:r>
      <w:r>
        <w:rPr>
          <w:rFonts w:hint="eastAsia" w:ascii="宋体" w:hAnsi="宋体" w:cs="仿宋_GB2312"/>
          <w:color w:val="000000"/>
          <w:sz w:val="32"/>
          <w:szCs w:val="32"/>
        </w:rPr>
        <w:t>）</w:t>
      </w:r>
      <w:r>
        <w:rPr>
          <w:rFonts w:hint="eastAsia" w:ascii="宋体" w:hAnsi="宋体" w:cs="微软雅黑"/>
          <w:color w:val="000000"/>
          <w:sz w:val="32"/>
          <w:szCs w:val="32"/>
        </w:rPr>
        <w:t>承担施</w:t>
      </w:r>
      <w:r>
        <w:rPr>
          <w:rFonts w:hint="eastAsia" w:ascii="宋体" w:hAnsi="宋体" w:cs="___WRD_EMBED_SUB_47"/>
          <w:color w:val="000000"/>
          <w:sz w:val="32"/>
          <w:szCs w:val="32"/>
        </w:rPr>
        <w:t>工</w:t>
      </w:r>
      <w:r>
        <w:rPr>
          <w:rFonts w:hint="eastAsia" w:ascii="宋体" w:hAnsi="宋体" w:cs="微软雅黑"/>
          <w:color w:val="000000"/>
          <w:sz w:val="32"/>
          <w:szCs w:val="32"/>
        </w:rPr>
        <w:t>现场</w:t>
      </w:r>
      <w:r>
        <w:rPr>
          <w:rFonts w:hint="eastAsia" w:ascii="宋体" w:hAnsi="宋体" w:cs="___WRD_EMBED_SUB_47"/>
          <w:color w:val="000000"/>
          <w:sz w:val="32"/>
          <w:szCs w:val="32"/>
        </w:rPr>
        <w:t>安</w:t>
      </w:r>
      <w:r>
        <w:rPr>
          <w:rFonts w:hint="eastAsia" w:ascii="宋体" w:hAnsi="宋体" w:cs="微软雅黑"/>
          <w:color w:val="000000"/>
          <w:sz w:val="32"/>
          <w:szCs w:val="32"/>
        </w:rPr>
        <w:t>全防</w:t>
      </w:r>
      <w:r>
        <w:rPr>
          <w:rFonts w:hint="eastAsia" w:ascii="宋体" w:hAnsi="宋体" w:cs="___WRD_EMBED_SUB_47"/>
          <w:color w:val="000000"/>
          <w:sz w:val="32"/>
          <w:szCs w:val="32"/>
        </w:rPr>
        <w:t>护用具及机</w:t>
      </w:r>
      <w:r>
        <w:rPr>
          <w:rFonts w:hint="eastAsia" w:ascii="宋体" w:hAnsi="宋体" w:cs="微软雅黑"/>
          <w:color w:val="000000"/>
          <w:sz w:val="32"/>
          <w:szCs w:val="32"/>
        </w:rPr>
        <w:t>械</w:t>
      </w:r>
      <w:r>
        <w:rPr>
          <w:rFonts w:hint="eastAsia" w:ascii="宋体" w:hAnsi="宋体" w:cs="___WRD_EMBED_SUB_47"/>
          <w:color w:val="000000"/>
          <w:sz w:val="32"/>
          <w:szCs w:val="32"/>
        </w:rPr>
        <w:t>设备</w:t>
      </w:r>
      <w:r>
        <w:rPr>
          <w:rFonts w:hint="eastAsia" w:ascii="宋体" w:hAnsi="宋体" w:cs="微软雅黑"/>
          <w:color w:val="000000"/>
          <w:sz w:val="32"/>
          <w:szCs w:val="32"/>
        </w:rPr>
        <w:t>使</w:t>
      </w:r>
      <w:r>
        <w:rPr>
          <w:rFonts w:hint="eastAsia" w:ascii="宋体" w:hAnsi="宋体" w:cs="___WRD_EMBED_SUB_47"/>
          <w:color w:val="000000"/>
          <w:sz w:val="32"/>
          <w:szCs w:val="32"/>
        </w:rPr>
        <w:t>用</w:t>
      </w:r>
      <w:r>
        <w:rPr>
          <w:rFonts w:hint="eastAsia" w:ascii="宋体" w:hAnsi="宋体" w:cs="微软雅黑"/>
          <w:color w:val="000000"/>
          <w:sz w:val="32"/>
          <w:szCs w:val="32"/>
        </w:rPr>
        <w:t>监督</w:t>
      </w:r>
      <w:r>
        <w:rPr>
          <w:rFonts w:hint="eastAsia" w:ascii="宋体" w:hAnsi="宋体" w:cs="___WRD_EMBED_SUB_47"/>
          <w:color w:val="000000"/>
          <w:sz w:val="32"/>
          <w:szCs w:val="32"/>
        </w:rPr>
        <w:t>管理的事务性工作。</w:t>
      </w:r>
    </w:p>
    <w:p>
      <w:pPr>
        <w:widowControl/>
        <w:rPr>
          <w:rFonts w:ascii="宋体" w:cs="仿宋_GB2312"/>
          <w:color w:val="000000"/>
          <w:sz w:val="32"/>
          <w:szCs w:val="32"/>
        </w:rPr>
      </w:pPr>
      <w:r>
        <w:rPr>
          <w:rFonts w:hint="eastAsia" w:ascii="宋体" w:hAnsi="宋体" w:cs="仿宋_GB2312"/>
          <w:color w:val="000000"/>
          <w:sz w:val="32"/>
          <w:szCs w:val="32"/>
        </w:rPr>
        <w:t>（</w:t>
      </w:r>
      <w:r>
        <w:rPr>
          <w:rFonts w:ascii="宋体" w:hAnsi="宋体" w:cs="Calibri"/>
          <w:color w:val="000000"/>
          <w:sz w:val="32"/>
          <w:szCs w:val="32"/>
        </w:rPr>
        <w:t>6</w:t>
      </w:r>
      <w:r>
        <w:rPr>
          <w:rFonts w:hint="eastAsia" w:ascii="宋体" w:hAnsi="宋体" w:cs="仿宋_GB2312"/>
          <w:color w:val="000000"/>
          <w:sz w:val="32"/>
          <w:szCs w:val="32"/>
        </w:rPr>
        <w:t>）</w:t>
      </w:r>
      <w:r>
        <w:rPr>
          <w:rFonts w:hint="eastAsia" w:ascii="宋体" w:hAnsi="宋体" w:cs="微软雅黑"/>
          <w:color w:val="000000"/>
          <w:sz w:val="32"/>
          <w:szCs w:val="32"/>
        </w:rPr>
        <w:t>承担建</w:t>
      </w:r>
      <w:r>
        <w:rPr>
          <w:rFonts w:hint="eastAsia" w:ascii="宋体" w:hAnsi="宋体" w:cs="___WRD_EMBED_SUB_47"/>
          <w:color w:val="000000"/>
          <w:sz w:val="32"/>
          <w:szCs w:val="32"/>
        </w:rPr>
        <w:t>设工</w:t>
      </w:r>
      <w:r>
        <w:rPr>
          <w:rFonts w:hint="eastAsia" w:ascii="宋体" w:hAnsi="宋体" w:cs="微软雅黑"/>
          <w:color w:val="000000"/>
          <w:sz w:val="32"/>
          <w:szCs w:val="32"/>
        </w:rPr>
        <w:t>程</w:t>
      </w:r>
      <w:r>
        <w:rPr>
          <w:rFonts w:hint="eastAsia" w:ascii="宋体" w:hAnsi="宋体" w:cs="___WRD_EMBED_SUB_47"/>
          <w:color w:val="000000"/>
          <w:sz w:val="32"/>
          <w:szCs w:val="32"/>
        </w:rPr>
        <w:t>项目规划、</w:t>
      </w:r>
      <w:r>
        <w:rPr>
          <w:rFonts w:hint="eastAsia" w:ascii="宋体" w:hAnsi="宋体" w:cs="微软雅黑"/>
          <w:color w:val="000000"/>
          <w:sz w:val="32"/>
          <w:szCs w:val="32"/>
        </w:rPr>
        <w:t>土地</w:t>
      </w:r>
      <w:r>
        <w:rPr>
          <w:rFonts w:hint="eastAsia" w:ascii="宋体" w:hAnsi="宋体" w:cs="___WRD_EMBED_SUB_47"/>
          <w:color w:val="000000"/>
          <w:sz w:val="32"/>
          <w:szCs w:val="32"/>
        </w:rPr>
        <w:t>、</w:t>
      </w:r>
      <w:r>
        <w:rPr>
          <w:rFonts w:hint="eastAsia" w:ascii="宋体" w:hAnsi="宋体" w:cs="微软雅黑"/>
          <w:color w:val="000000"/>
          <w:sz w:val="32"/>
          <w:szCs w:val="32"/>
        </w:rPr>
        <w:t>消防</w:t>
      </w:r>
      <w:r>
        <w:rPr>
          <w:rFonts w:hint="eastAsia" w:ascii="宋体" w:hAnsi="宋体" w:cs="___WRD_EMBED_SUB_47"/>
          <w:color w:val="000000"/>
          <w:sz w:val="32"/>
          <w:szCs w:val="32"/>
        </w:rPr>
        <w:t>、人</w:t>
      </w:r>
      <w:r>
        <w:rPr>
          <w:rFonts w:hint="eastAsia" w:ascii="宋体" w:hAnsi="宋体" w:cs="微软雅黑"/>
          <w:color w:val="000000"/>
          <w:sz w:val="32"/>
          <w:szCs w:val="32"/>
        </w:rPr>
        <w:t>防</w:t>
      </w:r>
      <w:r>
        <w:rPr>
          <w:rFonts w:hint="eastAsia" w:ascii="宋体" w:hAnsi="宋体" w:cs="___WRD_EMBED_SUB_47"/>
          <w:color w:val="000000"/>
          <w:sz w:val="32"/>
          <w:szCs w:val="32"/>
        </w:rPr>
        <w:t>、</w:t>
      </w:r>
      <w:r>
        <w:rPr>
          <w:rFonts w:hint="eastAsia" w:ascii="宋体" w:hAnsi="宋体" w:cs="微软雅黑"/>
          <w:color w:val="000000"/>
          <w:sz w:val="32"/>
          <w:szCs w:val="32"/>
        </w:rPr>
        <w:t>档案</w:t>
      </w:r>
      <w:r>
        <w:rPr>
          <w:rFonts w:hint="eastAsia" w:ascii="宋体" w:hAnsi="宋体" w:cs="___WRD_EMBED_SUB_47"/>
          <w:color w:val="000000"/>
          <w:sz w:val="32"/>
          <w:szCs w:val="32"/>
        </w:rPr>
        <w:t>等</w:t>
      </w:r>
      <w:r>
        <w:rPr>
          <w:rFonts w:hint="eastAsia" w:ascii="宋体" w:hAnsi="宋体" w:cs="微软雅黑"/>
          <w:color w:val="000000"/>
          <w:sz w:val="32"/>
          <w:szCs w:val="32"/>
        </w:rPr>
        <w:t>竣</w:t>
      </w:r>
      <w:r>
        <w:rPr>
          <w:rFonts w:hint="eastAsia" w:ascii="宋体" w:hAnsi="宋体" w:cs="___WRD_EMBED_SUB_47"/>
          <w:color w:val="000000"/>
          <w:sz w:val="32"/>
          <w:szCs w:val="32"/>
        </w:rPr>
        <w:t>工</w:t>
      </w:r>
      <w:r>
        <w:rPr>
          <w:rFonts w:hint="eastAsia" w:ascii="宋体" w:hAnsi="宋体" w:cs="微软雅黑"/>
          <w:color w:val="000000"/>
          <w:sz w:val="32"/>
          <w:szCs w:val="32"/>
        </w:rPr>
        <w:t>联合验</w:t>
      </w:r>
      <w:r>
        <w:rPr>
          <w:rFonts w:hint="eastAsia" w:ascii="宋体" w:hAnsi="宋体" w:cs="___WRD_EMBED_SUB_47"/>
          <w:color w:val="000000"/>
          <w:sz w:val="32"/>
          <w:szCs w:val="32"/>
        </w:rPr>
        <w:t>收有关的</w:t>
      </w:r>
      <w:r>
        <w:rPr>
          <w:rFonts w:hint="eastAsia" w:ascii="宋体" w:hAnsi="宋体" w:cs="微软雅黑"/>
          <w:color w:val="000000"/>
          <w:sz w:val="32"/>
          <w:szCs w:val="32"/>
        </w:rPr>
        <w:t>综合协调</w:t>
      </w:r>
      <w:r>
        <w:rPr>
          <w:rFonts w:hint="eastAsia" w:ascii="宋体" w:hAnsi="宋体" w:cs="___WRD_EMBED_SUB_47"/>
          <w:color w:val="000000"/>
          <w:sz w:val="32"/>
          <w:szCs w:val="32"/>
        </w:rPr>
        <w:t>工作；</w:t>
      </w:r>
      <w:r>
        <w:rPr>
          <w:rFonts w:hint="eastAsia" w:ascii="宋体" w:hAnsi="宋体" w:cs="微软雅黑"/>
          <w:color w:val="000000"/>
          <w:sz w:val="32"/>
          <w:szCs w:val="32"/>
        </w:rPr>
        <w:t>承担</w:t>
      </w:r>
      <w:r>
        <w:rPr>
          <w:rFonts w:hint="eastAsia" w:ascii="宋体" w:hAnsi="宋体" w:cs="___WRD_EMBED_SUB_47"/>
          <w:color w:val="000000"/>
          <w:sz w:val="32"/>
          <w:szCs w:val="32"/>
        </w:rPr>
        <w:t>办理</w:t>
      </w:r>
      <w:r>
        <w:rPr>
          <w:rFonts w:hint="eastAsia" w:ascii="宋体" w:hAnsi="宋体" w:cs="微软雅黑"/>
          <w:color w:val="000000"/>
          <w:sz w:val="32"/>
          <w:szCs w:val="32"/>
        </w:rPr>
        <w:t>建</w:t>
      </w:r>
      <w:r>
        <w:rPr>
          <w:rFonts w:hint="eastAsia" w:ascii="宋体" w:hAnsi="宋体" w:cs="___WRD_EMBED_SUB_47"/>
          <w:color w:val="000000"/>
          <w:sz w:val="32"/>
          <w:szCs w:val="32"/>
        </w:rPr>
        <w:t>设工</w:t>
      </w:r>
      <w:r>
        <w:rPr>
          <w:rFonts w:hint="eastAsia" w:ascii="宋体" w:hAnsi="宋体" w:cs="微软雅黑"/>
          <w:color w:val="000000"/>
          <w:sz w:val="32"/>
          <w:szCs w:val="32"/>
        </w:rPr>
        <w:t>程质量</w:t>
      </w:r>
      <w:r>
        <w:rPr>
          <w:rFonts w:hint="eastAsia" w:ascii="宋体" w:hAnsi="宋体" w:cs="___WRD_EMBED_SUB_47"/>
          <w:color w:val="000000"/>
          <w:sz w:val="32"/>
          <w:szCs w:val="32"/>
        </w:rPr>
        <w:t>安</w:t>
      </w:r>
      <w:r>
        <w:rPr>
          <w:rFonts w:hint="eastAsia" w:ascii="宋体" w:hAnsi="宋体" w:cs="微软雅黑"/>
          <w:color w:val="000000"/>
          <w:sz w:val="32"/>
          <w:szCs w:val="32"/>
        </w:rPr>
        <w:t>全监督手续</w:t>
      </w:r>
      <w:r>
        <w:rPr>
          <w:rFonts w:hint="eastAsia" w:ascii="宋体" w:hAnsi="宋体" w:cs="___WRD_EMBED_SUB_47"/>
          <w:color w:val="000000"/>
          <w:sz w:val="32"/>
          <w:szCs w:val="32"/>
        </w:rPr>
        <w:t>、</w:t>
      </w:r>
      <w:r>
        <w:rPr>
          <w:rFonts w:hint="eastAsia" w:ascii="宋体" w:hAnsi="宋体" w:cs="微软雅黑"/>
          <w:color w:val="000000"/>
          <w:sz w:val="32"/>
          <w:szCs w:val="32"/>
        </w:rPr>
        <w:t>拆除</w:t>
      </w:r>
      <w:r>
        <w:rPr>
          <w:rFonts w:hint="eastAsia" w:ascii="宋体" w:hAnsi="宋体" w:cs="___WRD_EMBED_SUB_47"/>
          <w:color w:val="000000"/>
          <w:sz w:val="32"/>
          <w:szCs w:val="32"/>
        </w:rPr>
        <w:t>工</w:t>
      </w:r>
      <w:r>
        <w:rPr>
          <w:rFonts w:hint="eastAsia" w:ascii="宋体" w:hAnsi="宋体" w:cs="微软雅黑"/>
          <w:color w:val="000000"/>
          <w:sz w:val="32"/>
          <w:szCs w:val="32"/>
        </w:rPr>
        <w:t>程</w:t>
      </w:r>
      <w:r>
        <w:rPr>
          <w:rFonts w:hint="eastAsia" w:ascii="宋体" w:hAnsi="宋体" w:cs="___WRD_EMBED_SUB_47"/>
          <w:color w:val="000000"/>
          <w:sz w:val="32"/>
          <w:szCs w:val="32"/>
        </w:rPr>
        <w:t>备</w:t>
      </w:r>
      <w:r>
        <w:rPr>
          <w:rFonts w:hint="eastAsia" w:ascii="宋体" w:hAnsi="宋体" w:cs="微软雅黑"/>
          <w:color w:val="000000"/>
          <w:sz w:val="32"/>
          <w:szCs w:val="32"/>
        </w:rPr>
        <w:t>案手续</w:t>
      </w:r>
      <w:r>
        <w:rPr>
          <w:rFonts w:hint="eastAsia" w:ascii="宋体" w:hAnsi="宋体" w:cs="___WRD_EMBED_SUB_47"/>
          <w:color w:val="000000"/>
          <w:sz w:val="32"/>
          <w:szCs w:val="32"/>
        </w:rPr>
        <w:t>、工</w:t>
      </w:r>
      <w:r>
        <w:rPr>
          <w:rFonts w:hint="eastAsia" w:ascii="宋体" w:hAnsi="宋体" w:cs="微软雅黑"/>
          <w:color w:val="000000"/>
          <w:sz w:val="32"/>
          <w:szCs w:val="32"/>
        </w:rPr>
        <w:t>程竣</w:t>
      </w:r>
      <w:r>
        <w:rPr>
          <w:rFonts w:hint="eastAsia" w:ascii="宋体" w:hAnsi="宋体" w:cs="___WRD_EMBED_SUB_47"/>
          <w:color w:val="000000"/>
          <w:sz w:val="32"/>
          <w:szCs w:val="32"/>
        </w:rPr>
        <w:t>工</w:t>
      </w:r>
      <w:r>
        <w:rPr>
          <w:rFonts w:hint="eastAsia" w:ascii="宋体" w:hAnsi="宋体" w:cs="微软雅黑"/>
          <w:color w:val="000000"/>
          <w:sz w:val="32"/>
          <w:szCs w:val="32"/>
        </w:rPr>
        <w:t>验</w:t>
      </w:r>
      <w:r>
        <w:rPr>
          <w:rFonts w:hint="eastAsia" w:ascii="宋体" w:hAnsi="宋体" w:cs="___WRD_EMBED_SUB_47"/>
          <w:color w:val="000000"/>
          <w:sz w:val="32"/>
          <w:szCs w:val="32"/>
        </w:rPr>
        <w:t>收备</w:t>
      </w:r>
      <w:r>
        <w:rPr>
          <w:rFonts w:hint="eastAsia" w:ascii="宋体" w:hAnsi="宋体" w:cs="微软雅黑"/>
          <w:color w:val="000000"/>
          <w:sz w:val="32"/>
          <w:szCs w:val="32"/>
        </w:rPr>
        <w:t>案手续</w:t>
      </w:r>
      <w:r>
        <w:rPr>
          <w:rFonts w:hint="eastAsia" w:ascii="宋体" w:hAnsi="宋体" w:cs="___WRD_EMBED_SUB_47"/>
          <w:color w:val="000000"/>
          <w:sz w:val="32"/>
          <w:szCs w:val="32"/>
        </w:rPr>
        <w:t>等事务性工作；对</w:t>
      </w:r>
      <w:r>
        <w:rPr>
          <w:rFonts w:hint="eastAsia" w:ascii="宋体" w:hAnsi="宋体" w:cs="微软雅黑"/>
          <w:color w:val="000000"/>
          <w:sz w:val="32"/>
          <w:szCs w:val="32"/>
        </w:rPr>
        <w:t>建</w:t>
      </w:r>
      <w:r>
        <w:rPr>
          <w:rFonts w:hint="eastAsia" w:ascii="宋体" w:hAnsi="宋体" w:cs="___WRD_EMBED_SUB_47"/>
          <w:color w:val="000000"/>
          <w:sz w:val="32"/>
          <w:szCs w:val="32"/>
        </w:rPr>
        <w:t>设工</w:t>
      </w:r>
      <w:r>
        <w:rPr>
          <w:rFonts w:hint="eastAsia" w:ascii="宋体" w:hAnsi="宋体" w:cs="微软雅黑"/>
          <w:color w:val="000000"/>
          <w:sz w:val="32"/>
          <w:szCs w:val="32"/>
        </w:rPr>
        <w:t>程竣</w:t>
      </w:r>
      <w:r>
        <w:rPr>
          <w:rFonts w:hint="eastAsia" w:ascii="宋体" w:hAnsi="宋体" w:cs="___WRD_EMBED_SUB_47"/>
          <w:color w:val="000000"/>
          <w:sz w:val="32"/>
          <w:szCs w:val="32"/>
        </w:rPr>
        <w:t>工</w:t>
      </w:r>
      <w:r>
        <w:rPr>
          <w:rFonts w:hint="eastAsia" w:ascii="宋体" w:hAnsi="宋体" w:cs="微软雅黑"/>
          <w:color w:val="000000"/>
          <w:sz w:val="32"/>
          <w:szCs w:val="32"/>
        </w:rPr>
        <w:t>验</w:t>
      </w:r>
      <w:r>
        <w:rPr>
          <w:rFonts w:hint="eastAsia" w:ascii="宋体" w:hAnsi="宋体" w:cs="___WRD_EMBED_SUB_47"/>
          <w:color w:val="000000"/>
          <w:sz w:val="32"/>
          <w:szCs w:val="32"/>
        </w:rPr>
        <w:t>收</w:t>
      </w:r>
      <w:r>
        <w:rPr>
          <w:rFonts w:hint="eastAsia" w:ascii="宋体" w:hAnsi="宋体" w:cs="微软雅黑"/>
          <w:color w:val="000000"/>
          <w:sz w:val="32"/>
          <w:szCs w:val="32"/>
        </w:rPr>
        <w:t>进</w:t>
      </w:r>
      <w:r>
        <w:rPr>
          <w:rFonts w:hint="eastAsia" w:ascii="宋体" w:hAnsi="宋体" w:cs="___WRD_EMBED_SUB_47"/>
          <w:color w:val="000000"/>
          <w:sz w:val="32"/>
          <w:szCs w:val="32"/>
        </w:rPr>
        <w:t>行</w:t>
      </w:r>
      <w:r>
        <w:rPr>
          <w:rFonts w:hint="eastAsia" w:ascii="宋体" w:hAnsi="宋体" w:cs="微软雅黑"/>
          <w:color w:val="000000"/>
          <w:sz w:val="32"/>
          <w:szCs w:val="32"/>
        </w:rPr>
        <w:t>监督并</w:t>
      </w:r>
      <w:r>
        <w:rPr>
          <w:rFonts w:hint="eastAsia" w:ascii="宋体" w:hAnsi="宋体" w:cs="___WRD_EMBED_SUB_47"/>
          <w:color w:val="000000"/>
          <w:sz w:val="32"/>
          <w:szCs w:val="32"/>
        </w:rPr>
        <w:t>出具</w:t>
      </w:r>
      <w:r>
        <w:rPr>
          <w:rFonts w:hint="eastAsia" w:ascii="宋体" w:hAnsi="宋体" w:cs="微软雅黑"/>
          <w:color w:val="000000"/>
          <w:sz w:val="32"/>
          <w:szCs w:val="32"/>
        </w:rPr>
        <w:t>质量监督</w:t>
      </w:r>
      <w:r>
        <w:rPr>
          <w:rFonts w:hint="eastAsia" w:ascii="宋体" w:hAnsi="宋体" w:cs="___WRD_EMBED_SUB_47"/>
          <w:color w:val="000000"/>
          <w:sz w:val="32"/>
          <w:szCs w:val="32"/>
        </w:rPr>
        <w:t>报</w:t>
      </w:r>
      <w:r>
        <w:rPr>
          <w:rFonts w:hint="eastAsia" w:ascii="宋体" w:hAnsi="宋体" w:cs="微软雅黑"/>
          <w:color w:val="000000"/>
          <w:sz w:val="32"/>
          <w:szCs w:val="32"/>
        </w:rPr>
        <w:t>告</w:t>
      </w:r>
      <w:r>
        <w:rPr>
          <w:rFonts w:hint="eastAsia" w:ascii="宋体" w:hAnsi="宋体" w:cs="___WRD_EMBED_SUB_47"/>
          <w:color w:val="000000"/>
          <w:sz w:val="32"/>
          <w:szCs w:val="32"/>
        </w:rPr>
        <w:t>；</w:t>
      </w:r>
      <w:r>
        <w:rPr>
          <w:rFonts w:hint="eastAsia" w:ascii="宋体" w:hAnsi="宋体" w:cs="微软雅黑"/>
          <w:color w:val="000000"/>
          <w:sz w:val="32"/>
          <w:szCs w:val="32"/>
        </w:rPr>
        <w:t>负</w:t>
      </w:r>
      <w:r>
        <w:rPr>
          <w:rFonts w:hint="eastAsia" w:ascii="宋体" w:hAnsi="宋体" w:cs="___WRD_EMBED_SUB_47"/>
          <w:color w:val="000000"/>
          <w:sz w:val="32"/>
          <w:szCs w:val="32"/>
        </w:rPr>
        <w:t>责所</w:t>
      </w:r>
      <w:r>
        <w:rPr>
          <w:rFonts w:hint="eastAsia" w:ascii="宋体" w:hAnsi="宋体" w:cs="微软雅黑"/>
          <w:color w:val="000000"/>
          <w:sz w:val="32"/>
          <w:szCs w:val="32"/>
        </w:rPr>
        <w:t>辖</w:t>
      </w:r>
      <w:r>
        <w:rPr>
          <w:rFonts w:hint="eastAsia" w:ascii="宋体" w:hAnsi="宋体" w:cs="___WRD_EMBED_SUB_47"/>
          <w:color w:val="000000"/>
          <w:sz w:val="32"/>
          <w:szCs w:val="32"/>
        </w:rPr>
        <w:t>工</w:t>
      </w:r>
      <w:r>
        <w:rPr>
          <w:rFonts w:hint="eastAsia" w:ascii="宋体" w:hAnsi="宋体" w:cs="微软雅黑"/>
          <w:color w:val="000000"/>
          <w:sz w:val="32"/>
          <w:szCs w:val="32"/>
        </w:rPr>
        <w:t>程</w:t>
      </w:r>
      <w:r>
        <w:rPr>
          <w:rFonts w:hint="eastAsia" w:ascii="宋体" w:hAnsi="宋体" w:cs="___WRD_EMBED_SUB_47"/>
          <w:color w:val="000000"/>
          <w:sz w:val="32"/>
          <w:szCs w:val="32"/>
        </w:rPr>
        <w:t>项目</w:t>
      </w:r>
      <w:r>
        <w:rPr>
          <w:rFonts w:hint="eastAsia" w:ascii="宋体" w:hAnsi="宋体" w:cs="微软雅黑"/>
          <w:color w:val="000000"/>
          <w:sz w:val="32"/>
          <w:szCs w:val="32"/>
        </w:rPr>
        <w:t>民</w:t>
      </w:r>
      <w:r>
        <w:rPr>
          <w:rFonts w:hint="eastAsia" w:ascii="宋体" w:hAnsi="宋体" w:cs="___WRD_EMBED_SUB_47"/>
          <w:color w:val="000000"/>
          <w:sz w:val="32"/>
          <w:szCs w:val="32"/>
        </w:rPr>
        <w:t>用</w:t>
      </w:r>
      <w:r>
        <w:rPr>
          <w:rFonts w:hint="eastAsia" w:ascii="宋体" w:hAnsi="宋体" w:cs="微软雅黑"/>
          <w:color w:val="000000"/>
          <w:sz w:val="32"/>
          <w:szCs w:val="32"/>
        </w:rPr>
        <w:t>建筑</w:t>
      </w:r>
      <w:r>
        <w:rPr>
          <w:rFonts w:hint="eastAsia" w:ascii="宋体" w:hAnsi="宋体" w:cs="___WRD_EMBED_SUB_47"/>
          <w:color w:val="000000"/>
          <w:sz w:val="32"/>
          <w:szCs w:val="32"/>
        </w:rPr>
        <w:t>节能和</w:t>
      </w:r>
      <w:r>
        <w:rPr>
          <w:rFonts w:hint="eastAsia" w:ascii="宋体" w:hAnsi="宋体" w:cs="微软雅黑"/>
          <w:color w:val="000000"/>
          <w:sz w:val="32"/>
          <w:szCs w:val="32"/>
        </w:rPr>
        <w:t>绿色建筑</w:t>
      </w:r>
      <w:r>
        <w:rPr>
          <w:rFonts w:hint="eastAsia" w:ascii="宋体" w:hAnsi="宋体" w:cs="___WRD_EMBED_SUB_47"/>
          <w:color w:val="000000"/>
          <w:sz w:val="32"/>
          <w:szCs w:val="32"/>
        </w:rPr>
        <w:t>的日常</w:t>
      </w:r>
      <w:r>
        <w:rPr>
          <w:rFonts w:hint="eastAsia" w:ascii="宋体" w:hAnsi="宋体" w:cs="微软雅黑"/>
          <w:color w:val="000000"/>
          <w:sz w:val="32"/>
          <w:szCs w:val="32"/>
        </w:rPr>
        <w:t>监督</w:t>
      </w:r>
      <w:r>
        <w:rPr>
          <w:rFonts w:hint="eastAsia" w:ascii="宋体" w:hAnsi="宋体" w:cs="___WRD_EMBED_SUB_47"/>
          <w:color w:val="000000"/>
          <w:sz w:val="32"/>
          <w:szCs w:val="32"/>
        </w:rPr>
        <w:t>以及</w:t>
      </w:r>
      <w:r>
        <w:rPr>
          <w:rFonts w:hint="eastAsia" w:ascii="宋体" w:hAnsi="宋体" w:cs="微软雅黑"/>
          <w:color w:val="000000"/>
          <w:sz w:val="32"/>
          <w:szCs w:val="32"/>
        </w:rPr>
        <w:t>竣</w:t>
      </w:r>
      <w:r>
        <w:rPr>
          <w:rFonts w:hint="eastAsia" w:ascii="宋体" w:hAnsi="宋体" w:cs="___WRD_EMBED_SUB_47"/>
          <w:color w:val="000000"/>
          <w:sz w:val="32"/>
          <w:szCs w:val="32"/>
        </w:rPr>
        <w:t>工</w:t>
      </w:r>
      <w:r>
        <w:rPr>
          <w:rFonts w:hint="eastAsia" w:ascii="宋体" w:hAnsi="宋体" w:cs="微软雅黑"/>
          <w:color w:val="000000"/>
          <w:sz w:val="32"/>
          <w:szCs w:val="32"/>
        </w:rPr>
        <w:t>验</w:t>
      </w:r>
      <w:r>
        <w:rPr>
          <w:rFonts w:hint="eastAsia" w:ascii="宋体" w:hAnsi="宋体" w:cs="___WRD_EMBED_SUB_47"/>
          <w:color w:val="000000"/>
          <w:sz w:val="32"/>
          <w:szCs w:val="32"/>
        </w:rPr>
        <w:t>收中有关</w:t>
      </w:r>
      <w:r>
        <w:rPr>
          <w:rFonts w:hint="eastAsia" w:ascii="宋体" w:hAnsi="宋体" w:cs="微软雅黑"/>
          <w:color w:val="000000"/>
          <w:sz w:val="32"/>
          <w:szCs w:val="32"/>
        </w:rPr>
        <w:t>建筑</w:t>
      </w:r>
      <w:r>
        <w:rPr>
          <w:rFonts w:hint="eastAsia" w:ascii="宋体" w:hAnsi="宋体" w:cs="___WRD_EMBED_SUB_47"/>
          <w:color w:val="000000"/>
          <w:sz w:val="32"/>
          <w:szCs w:val="32"/>
        </w:rPr>
        <w:t>节能</w:t>
      </w:r>
      <w:r>
        <w:rPr>
          <w:rFonts w:hint="eastAsia" w:ascii="宋体" w:hAnsi="宋体" w:cs="微软雅黑"/>
          <w:color w:val="000000"/>
          <w:sz w:val="32"/>
          <w:szCs w:val="32"/>
        </w:rPr>
        <w:t>与绿色建筑内容</w:t>
      </w:r>
      <w:r>
        <w:rPr>
          <w:rFonts w:hint="eastAsia" w:ascii="宋体" w:hAnsi="宋体" w:cs="___WRD_EMBED_SUB_47"/>
          <w:color w:val="000000"/>
          <w:sz w:val="32"/>
          <w:szCs w:val="32"/>
        </w:rPr>
        <w:t>的</w:t>
      </w:r>
      <w:r>
        <w:rPr>
          <w:rFonts w:hint="eastAsia" w:ascii="宋体" w:hAnsi="宋体" w:cs="微软雅黑"/>
          <w:color w:val="000000"/>
          <w:sz w:val="32"/>
          <w:szCs w:val="32"/>
        </w:rPr>
        <w:t>监督</w:t>
      </w:r>
      <w:r>
        <w:rPr>
          <w:rFonts w:hint="eastAsia" w:ascii="宋体" w:hAnsi="宋体" w:cs="___WRD_EMBED_SUB_47"/>
          <w:color w:val="000000"/>
          <w:sz w:val="32"/>
          <w:szCs w:val="32"/>
        </w:rPr>
        <w:t>。</w:t>
      </w:r>
    </w:p>
    <w:p>
      <w:pPr>
        <w:widowControl/>
        <w:rPr>
          <w:rFonts w:ascii="宋体" w:cs="仿宋_GB2312"/>
          <w:color w:val="000000"/>
          <w:sz w:val="32"/>
          <w:szCs w:val="32"/>
        </w:rPr>
      </w:pPr>
      <w:r>
        <w:rPr>
          <w:rFonts w:hint="eastAsia" w:ascii="宋体" w:hAnsi="宋体" w:cs="仿宋_GB2312"/>
          <w:color w:val="000000"/>
          <w:sz w:val="32"/>
          <w:szCs w:val="32"/>
        </w:rPr>
        <w:t>（</w:t>
      </w:r>
      <w:r>
        <w:rPr>
          <w:rFonts w:ascii="宋体" w:hAnsi="宋体" w:cs="Calibri"/>
          <w:color w:val="000000"/>
          <w:sz w:val="32"/>
          <w:szCs w:val="32"/>
        </w:rPr>
        <w:t>7</w:t>
      </w:r>
      <w:r>
        <w:rPr>
          <w:rFonts w:hint="eastAsia" w:ascii="宋体" w:hAnsi="宋体" w:cs="仿宋_GB2312"/>
          <w:color w:val="000000"/>
          <w:sz w:val="32"/>
          <w:szCs w:val="32"/>
        </w:rPr>
        <w:t>）实</w:t>
      </w:r>
      <w:r>
        <w:rPr>
          <w:rFonts w:hint="eastAsia" w:ascii="宋体" w:hAnsi="宋体" w:cs="微软雅黑"/>
          <w:color w:val="000000"/>
          <w:sz w:val="32"/>
          <w:szCs w:val="32"/>
        </w:rPr>
        <w:t>施建筑施</w:t>
      </w:r>
      <w:r>
        <w:rPr>
          <w:rFonts w:hint="eastAsia" w:ascii="宋体" w:hAnsi="宋体" w:cs="___WRD_EMBED_SUB_47"/>
          <w:color w:val="000000"/>
          <w:sz w:val="32"/>
          <w:szCs w:val="32"/>
        </w:rPr>
        <w:t>工项目</w:t>
      </w:r>
      <w:r>
        <w:rPr>
          <w:rFonts w:hint="eastAsia" w:ascii="宋体" w:hAnsi="宋体" w:cs="微软雅黑"/>
          <w:color w:val="000000"/>
          <w:sz w:val="32"/>
          <w:szCs w:val="32"/>
        </w:rPr>
        <w:t>质量</w:t>
      </w:r>
      <w:r>
        <w:rPr>
          <w:rFonts w:hint="eastAsia" w:ascii="宋体" w:hAnsi="宋体" w:cs="___WRD_EMBED_SUB_47"/>
          <w:color w:val="000000"/>
          <w:sz w:val="32"/>
          <w:szCs w:val="32"/>
        </w:rPr>
        <w:t>和安</w:t>
      </w:r>
      <w:r>
        <w:rPr>
          <w:rFonts w:hint="eastAsia" w:ascii="宋体" w:hAnsi="宋体" w:cs="微软雅黑"/>
          <w:color w:val="000000"/>
          <w:sz w:val="32"/>
          <w:szCs w:val="32"/>
        </w:rPr>
        <w:t>全</w:t>
      </w:r>
      <w:r>
        <w:rPr>
          <w:rFonts w:hint="eastAsia" w:ascii="宋体" w:hAnsi="宋体" w:cs="___WRD_EMBED_SUB_47"/>
          <w:color w:val="000000"/>
          <w:sz w:val="32"/>
          <w:szCs w:val="32"/>
        </w:rPr>
        <w:t>生产标</w:t>
      </w:r>
      <w:r>
        <w:rPr>
          <w:rFonts w:hint="eastAsia" w:ascii="宋体" w:hAnsi="宋体" w:cs="微软雅黑"/>
          <w:color w:val="000000"/>
          <w:sz w:val="32"/>
          <w:szCs w:val="32"/>
        </w:rPr>
        <w:t>准化考评</w:t>
      </w:r>
      <w:r>
        <w:rPr>
          <w:rFonts w:hint="eastAsia" w:ascii="宋体" w:hAnsi="宋体" w:cs="___WRD_EMBED_SUB_47"/>
          <w:color w:val="000000"/>
          <w:sz w:val="32"/>
          <w:szCs w:val="32"/>
        </w:rPr>
        <w:t>，</w:t>
      </w:r>
      <w:r>
        <w:rPr>
          <w:rFonts w:hint="eastAsia" w:ascii="宋体" w:hAnsi="宋体" w:cs="微软雅黑"/>
          <w:color w:val="000000"/>
          <w:sz w:val="32"/>
          <w:szCs w:val="32"/>
        </w:rPr>
        <w:t>并抽查全</w:t>
      </w:r>
      <w:r>
        <w:rPr>
          <w:rFonts w:hint="eastAsia" w:ascii="宋体" w:hAnsi="宋体" w:cs="___WRD_EMBED_SUB_47"/>
          <w:color w:val="000000"/>
          <w:sz w:val="32"/>
          <w:szCs w:val="32"/>
        </w:rPr>
        <w:t>市</w:t>
      </w:r>
      <w:r>
        <w:rPr>
          <w:rFonts w:hint="eastAsia" w:ascii="宋体" w:hAnsi="宋体" w:cs="微软雅黑"/>
          <w:color w:val="000000"/>
          <w:sz w:val="32"/>
          <w:szCs w:val="32"/>
        </w:rPr>
        <w:t>建筑施</w:t>
      </w:r>
      <w:r>
        <w:rPr>
          <w:rFonts w:hint="eastAsia" w:ascii="宋体" w:hAnsi="宋体" w:cs="___WRD_EMBED_SUB_47"/>
          <w:color w:val="000000"/>
          <w:sz w:val="32"/>
          <w:szCs w:val="32"/>
        </w:rPr>
        <w:t>工项目</w:t>
      </w:r>
      <w:r>
        <w:rPr>
          <w:rFonts w:hint="eastAsia" w:ascii="宋体" w:hAnsi="宋体" w:cs="微软雅黑"/>
          <w:color w:val="000000"/>
          <w:sz w:val="32"/>
          <w:szCs w:val="32"/>
        </w:rPr>
        <w:t>质量</w:t>
      </w:r>
      <w:r>
        <w:rPr>
          <w:rFonts w:hint="eastAsia" w:ascii="宋体" w:hAnsi="宋体" w:cs="___WRD_EMBED_SUB_47"/>
          <w:color w:val="000000"/>
          <w:sz w:val="32"/>
          <w:szCs w:val="32"/>
        </w:rPr>
        <w:t>和安</w:t>
      </w:r>
      <w:r>
        <w:rPr>
          <w:rFonts w:hint="eastAsia" w:ascii="宋体" w:hAnsi="宋体" w:cs="微软雅黑"/>
          <w:color w:val="000000"/>
          <w:sz w:val="32"/>
          <w:szCs w:val="32"/>
        </w:rPr>
        <w:t>全</w:t>
      </w:r>
      <w:r>
        <w:rPr>
          <w:rFonts w:hint="eastAsia" w:ascii="宋体" w:hAnsi="宋体" w:cs="___WRD_EMBED_SUB_47"/>
          <w:color w:val="000000"/>
          <w:sz w:val="32"/>
          <w:szCs w:val="32"/>
        </w:rPr>
        <w:t>生产标</w:t>
      </w:r>
      <w:r>
        <w:rPr>
          <w:rFonts w:hint="eastAsia" w:ascii="宋体" w:hAnsi="宋体" w:cs="微软雅黑"/>
          <w:color w:val="000000"/>
          <w:sz w:val="32"/>
          <w:szCs w:val="32"/>
        </w:rPr>
        <w:t>准化考评</w:t>
      </w:r>
      <w:r>
        <w:rPr>
          <w:rFonts w:hint="eastAsia" w:ascii="宋体" w:hAnsi="宋体" w:cs="___WRD_EMBED_SUB_47"/>
          <w:color w:val="000000"/>
          <w:sz w:val="32"/>
          <w:szCs w:val="32"/>
        </w:rPr>
        <w:t>开展情况</w:t>
      </w:r>
      <w:r>
        <w:rPr>
          <w:rFonts w:ascii="宋体" w:hAnsi="宋体" w:cs="仿宋_GB2312"/>
          <w:color w:val="000000"/>
          <w:sz w:val="32"/>
          <w:szCs w:val="32"/>
        </w:rPr>
        <w:t>;</w:t>
      </w:r>
      <w:r>
        <w:rPr>
          <w:rFonts w:hint="eastAsia" w:ascii="宋体" w:hAnsi="宋体" w:cs="微软雅黑"/>
          <w:color w:val="000000"/>
          <w:sz w:val="32"/>
          <w:szCs w:val="32"/>
        </w:rPr>
        <w:t>评</w:t>
      </w:r>
      <w:r>
        <w:rPr>
          <w:rFonts w:hint="eastAsia" w:ascii="宋体" w:hAnsi="宋体" w:cs="___WRD_EMBED_SUB_47"/>
          <w:color w:val="000000"/>
          <w:sz w:val="32"/>
          <w:szCs w:val="32"/>
        </w:rPr>
        <w:t>定市级</w:t>
      </w:r>
      <w:r>
        <w:rPr>
          <w:rFonts w:hint="eastAsia" w:ascii="宋体" w:hAnsi="宋体" w:cs="微软雅黑"/>
          <w:color w:val="000000"/>
          <w:sz w:val="32"/>
          <w:szCs w:val="32"/>
        </w:rPr>
        <w:t>建筑施</w:t>
      </w:r>
      <w:r>
        <w:rPr>
          <w:rFonts w:hint="eastAsia" w:ascii="宋体" w:hAnsi="宋体" w:cs="___WRD_EMBED_SUB_47"/>
          <w:color w:val="000000"/>
          <w:sz w:val="32"/>
          <w:szCs w:val="32"/>
        </w:rPr>
        <w:t>工项目</w:t>
      </w:r>
      <w:r>
        <w:rPr>
          <w:rFonts w:hint="eastAsia" w:ascii="宋体" w:hAnsi="宋体" w:cs="微软雅黑"/>
          <w:color w:val="000000"/>
          <w:sz w:val="32"/>
          <w:szCs w:val="32"/>
        </w:rPr>
        <w:t>质量</w:t>
      </w:r>
      <w:r>
        <w:rPr>
          <w:rFonts w:hint="eastAsia" w:ascii="宋体" w:hAnsi="宋体" w:cs="___WRD_EMBED_SUB_47"/>
          <w:color w:val="000000"/>
          <w:sz w:val="32"/>
          <w:szCs w:val="32"/>
        </w:rPr>
        <w:t>和安</w:t>
      </w:r>
      <w:r>
        <w:rPr>
          <w:rFonts w:hint="eastAsia" w:ascii="宋体" w:hAnsi="宋体" w:cs="微软雅黑"/>
          <w:color w:val="000000"/>
          <w:sz w:val="32"/>
          <w:szCs w:val="32"/>
        </w:rPr>
        <w:t>全</w:t>
      </w:r>
      <w:r>
        <w:rPr>
          <w:rFonts w:hint="eastAsia" w:ascii="宋体" w:hAnsi="宋体" w:cs="___WRD_EMBED_SUB_47"/>
          <w:color w:val="000000"/>
          <w:sz w:val="32"/>
          <w:szCs w:val="32"/>
        </w:rPr>
        <w:t>生产标</w:t>
      </w:r>
      <w:r>
        <w:rPr>
          <w:rFonts w:hint="eastAsia" w:ascii="宋体" w:hAnsi="宋体" w:cs="微软雅黑"/>
          <w:color w:val="000000"/>
          <w:sz w:val="32"/>
          <w:szCs w:val="32"/>
        </w:rPr>
        <w:t>准化优良</w:t>
      </w:r>
      <w:r>
        <w:rPr>
          <w:rFonts w:hint="eastAsia" w:ascii="宋体" w:hAnsi="宋体" w:cs="___WRD_EMBED_SUB_47"/>
          <w:color w:val="000000"/>
          <w:sz w:val="32"/>
          <w:szCs w:val="32"/>
        </w:rPr>
        <w:t>工</w:t>
      </w:r>
      <w:r>
        <w:rPr>
          <w:rFonts w:hint="eastAsia" w:ascii="宋体" w:hAnsi="宋体" w:cs="微软雅黑"/>
          <w:color w:val="000000"/>
          <w:sz w:val="32"/>
          <w:szCs w:val="32"/>
        </w:rPr>
        <w:t>地</w:t>
      </w:r>
      <w:r>
        <w:rPr>
          <w:rFonts w:hint="eastAsia" w:ascii="宋体" w:hAnsi="宋体" w:cs="___WRD_EMBED_SUB_47"/>
          <w:color w:val="000000"/>
          <w:sz w:val="32"/>
          <w:szCs w:val="32"/>
        </w:rPr>
        <w:t>，对省级</w:t>
      </w:r>
      <w:r>
        <w:rPr>
          <w:rFonts w:hint="eastAsia" w:ascii="宋体" w:hAnsi="宋体" w:cs="微软雅黑"/>
          <w:color w:val="000000"/>
          <w:sz w:val="32"/>
          <w:szCs w:val="32"/>
        </w:rPr>
        <w:t>建筑施</w:t>
      </w:r>
      <w:r>
        <w:rPr>
          <w:rFonts w:hint="eastAsia" w:ascii="宋体" w:hAnsi="宋体" w:cs="___WRD_EMBED_SUB_47"/>
          <w:color w:val="000000"/>
          <w:sz w:val="32"/>
          <w:szCs w:val="32"/>
        </w:rPr>
        <w:t>工项目</w:t>
      </w:r>
      <w:r>
        <w:rPr>
          <w:rFonts w:hint="eastAsia" w:ascii="宋体" w:hAnsi="宋体" w:cs="微软雅黑"/>
          <w:color w:val="000000"/>
          <w:sz w:val="32"/>
          <w:szCs w:val="32"/>
        </w:rPr>
        <w:t>质量</w:t>
      </w:r>
      <w:r>
        <w:rPr>
          <w:rFonts w:hint="eastAsia" w:ascii="宋体" w:hAnsi="宋体" w:cs="___WRD_EMBED_SUB_47"/>
          <w:color w:val="000000"/>
          <w:sz w:val="32"/>
          <w:szCs w:val="32"/>
        </w:rPr>
        <w:t>和安</w:t>
      </w:r>
      <w:r>
        <w:rPr>
          <w:rFonts w:hint="eastAsia" w:ascii="宋体" w:hAnsi="宋体" w:cs="微软雅黑"/>
          <w:color w:val="000000"/>
          <w:sz w:val="32"/>
          <w:szCs w:val="32"/>
        </w:rPr>
        <w:t>全</w:t>
      </w:r>
      <w:r>
        <w:rPr>
          <w:rFonts w:hint="eastAsia" w:ascii="宋体" w:hAnsi="宋体" w:cs="___WRD_EMBED_SUB_47"/>
          <w:color w:val="000000"/>
          <w:sz w:val="32"/>
          <w:szCs w:val="32"/>
        </w:rPr>
        <w:t>生产标</w:t>
      </w:r>
      <w:r>
        <w:rPr>
          <w:rFonts w:hint="eastAsia" w:ascii="宋体" w:hAnsi="宋体" w:cs="微软雅黑"/>
          <w:color w:val="000000"/>
          <w:sz w:val="32"/>
          <w:szCs w:val="32"/>
        </w:rPr>
        <w:t>准化优良</w:t>
      </w:r>
      <w:r>
        <w:rPr>
          <w:rFonts w:hint="eastAsia" w:ascii="宋体" w:hAnsi="宋体" w:cs="___WRD_EMBED_SUB_47"/>
          <w:color w:val="000000"/>
          <w:sz w:val="32"/>
          <w:szCs w:val="32"/>
        </w:rPr>
        <w:t>工</w:t>
      </w:r>
      <w:r>
        <w:rPr>
          <w:rFonts w:hint="eastAsia" w:ascii="宋体" w:hAnsi="宋体" w:cs="微软雅黑"/>
          <w:color w:val="000000"/>
          <w:sz w:val="32"/>
          <w:szCs w:val="32"/>
        </w:rPr>
        <w:t>地进</w:t>
      </w:r>
      <w:r>
        <w:rPr>
          <w:rFonts w:hint="eastAsia" w:ascii="宋体" w:hAnsi="宋体" w:cs="___WRD_EMBED_SUB_47"/>
          <w:color w:val="000000"/>
          <w:sz w:val="32"/>
          <w:szCs w:val="32"/>
        </w:rPr>
        <w:t>行初</w:t>
      </w:r>
      <w:r>
        <w:rPr>
          <w:rFonts w:hint="eastAsia" w:ascii="宋体" w:hAnsi="宋体" w:cs="微软雅黑"/>
          <w:color w:val="000000"/>
          <w:sz w:val="32"/>
          <w:szCs w:val="32"/>
        </w:rPr>
        <w:t>评</w:t>
      </w:r>
      <w:r>
        <w:rPr>
          <w:rFonts w:hint="eastAsia" w:ascii="宋体" w:hAnsi="宋体" w:cs="___WRD_EMBED_SUB_47"/>
          <w:color w:val="000000"/>
          <w:sz w:val="32"/>
          <w:szCs w:val="32"/>
        </w:rPr>
        <w:t>。</w:t>
      </w:r>
    </w:p>
    <w:p>
      <w:pPr>
        <w:widowControl/>
        <w:rPr>
          <w:rFonts w:ascii="宋体" w:cs="仿宋_GB2312"/>
          <w:color w:val="000000"/>
          <w:sz w:val="32"/>
          <w:szCs w:val="32"/>
        </w:rPr>
      </w:pPr>
      <w:r>
        <w:rPr>
          <w:rFonts w:hint="eastAsia" w:ascii="宋体" w:hAnsi="宋体" w:cs="仿宋_GB2312"/>
          <w:color w:val="000000"/>
          <w:sz w:val="32"/>
          <w:szCs w:val="32"/>
        </w:rPr>
        <w:t>（</w:t>
      </w:r>
      <w:r>
        <w:rPr>
          <w:rFonts w:ascii="宋体" w:hAnsi="宋体" w:cs="Calibri"/>
          <w:color w:val="000000"/>
          <w:sz w:val="32"/>
          <w:szCs w:val="32"/>
        </w:rPr>
        <w:t>8</w:t>
      </w:r>
      <w:r>
        <w:rPr>
          <w:rFonts w:hint="eastAsia" w:ascii="宋体" w:hAnsi="宋体" w:cs="仿宋_GB2312"/>
          <w:color w:val="000000"/>
          <w:sz w:val="32"/>
          <w:szCs w:val="32"/>
        </w:rPr>
        <w:t>）</w:t>
      </w:r>
      <w:r>
        <w:rPr>
          <w:rFonts w:hint="eastAsia" w:ascii="宋体" w:hAnsi="宋体" w:cs="微软雅黑"/>
          <w:color w:val="000000"/>
          <w:sz w:val="32"/>
          <w:szCs w:val="32"/>
        </w:rPr>
        <w:t>依法</w:t>
      </w:r>
      <w:r>
        <w:rPr>
          <w:rFonts w:hint="eastAsia" w:ascii="宋体" w:hAnsi="宋体" w:cs="___WRD_EMBED_SUB_47"/>
          <w:color w:val="000000"/>
          <w:sz w:val="32"/>
          <w:szCs w:val="32"/>
        </w:rPr>
        <w:t>处理工</w:t>
      </w:r>
      <w:r>
        <w:rPr>
          <w:rFonts w:hint="eastAsia" w:ascii="宋体" w:hAnsi="宋体" w:cs="微软雅黑"/>
          <w:color w:val="000000"/>
          <w:sz w:val="32"/>
          <w:szCs w:val="32"/>
        </w:rPr>
        <w:t>程质量</w:t>
      </w:r>
      <w:r>
        <w:rPr>
          <w:rFonts w:hint="eastAsia" w:ascii="宋体" w:hAnsi="宋体" w:cs="___WRD_EMBED_SUB_47"/>
          <w:color w:val="000000"/>
          <w:sz w:val="32"/>
          <w:szCs w:val="32"/>
        </w:rPr>
        <w:t>安</w:t>
      </w:r>
      <w:r>
        <w:rPr>
          <w:rFonts w:hint="eastAsia" w:ascii="宋体" w:hAnsi="宋体" w:cs="微软雅黑"/>
          <w:color w:val="000000"/>
          <w:sz w:val="32"/>
          <w:szCs w:val="32"/>
        </w:rPr>
        <w:t>全投诉</w:t>
      </w:r>
      <w:r>
        <w:rPr>
          <w:rFonts w:hint="eastAsia" w:ascii="宋体" w:hAnsi="宋体" w:cs="___WRD_EMBED_SUB_47"/>
          <w:color w:val="000000"/>
          <w:sz w:val="32"/>
          <w:szCs w:val="32"/>
        </w:rPr>
        <w:t>、举报；</w:t>
      </w:r>
      <w:r>
        <w:rPr>
          <w:rFonts w:hint="eastAsia" w:ascii="宋体" w:hAnsi="宋体" w:cs="微软雅黑"/>
          <w:color w:val="000000"/>
          <w:sz w:val="32"/>
          <w:szCs w:val="32"/>
        </w:rPr>
        <w:t>受</w:t>
      </w:r>
      <w:r>
        <w:rPr>
          <w:rFonts w:hint="eastAsia" w:ascii="宋体" w:hAnsi="宋体" w:cs="___WRD_EMBED_SUB_47"/>
          <w:color w:val="000000"/>
          <w:sz w:val="32"/>
          <w:szCs w:val="32"/>
        </w:rPr>
        <w:t>理房</w:t>
      </w:r>
      <w:r>
        <w:rPr>
          <w:rFonts w:hint="eastAsia" w:ascii="宋体" w:hAnsi="宋体" w:cs="微软雅黑"/>
          <w:color w:val="000000"/>
          <w:sz w:val="32"/>
          <w:szCs w:val="32"/>
        </w:rPr>
        <w:t>屋</w:t>
      </w:r>
      <w:r>
        <w:rPr>
          <w:rFonts w:hint="eastAsia" w:ascii="宋体" w:hAnsi="宋体" w:cs="___WRD_EMBED_SUB_47"/>
          <w:color w:val="000000"/>
          <w:sz w:val="32"/>
          <w:szCs w:val="32"/>
        </w:rPr>
        <w:t>安</w:t>
      </w:r>
      <w:r>
        <w:rPr>
          <w:rFonts w:hint="eastAsia" w:ascii="宋体" w:hAnsi="宋体" w:cs="微软雅黑"/>
          <w:color w:val="000000"/>
          <w:sz w:val="32"/>
          <w:szCs w:val="32"/>
        </w:rPr>
        <w:t>全鉴</w:t>
      </w:r>
      <w:r>
        <w:rPr>
          <w:rFonts w:hint="eastAsia" w:ascii="宋体" w:hAnsi="宋体" w:cs="___WRD_EMBED_SUB_47"/>
          <w:color w:val="000000"/>
          <w:sz w:val="32"/>
          <w:szCs w:val="32"/>
        </w:rPr>
        <w:t>定的</w:t>
      </w:r>
      <w:r>
        <w:rPr>
          <w:rFonts w:hint="eastAsia" w:ascii="宋体" w:hAnsi="宋体" w:cs="微软雅黑"/>
          <w:color w:val="000000"/>
          <w:sz w:val="32"/>
          <w:szCs w:val="32"/>
        </w:rPr>
        <w:t>咨询</w:t>
      </w:r>
      <w:r>
        <w:rPr>
          <w:rFonts w:hint="eastAsia" w:ascii="宋体" w:hAnsi="宋体" w:cs="___WRD_EMBED_SUB_47"/>
          <w:color w:val="000000"/>
          <w:sz w:val="32"/>
          <w:szCs w:val="32"/>
        </w:rPr>
        <w:t>及处理</w:t>
      </w:r>
      <w:r>
        <w:rPr>
          <w:rFonts w:hint="eastAsia" w:ascii="宋体" w:hAnsi="宋体" w:cs="微软雅黑"/>
          <w:color w:val="000000"/>
          <w:sz w:val="32"/>
          <w:szCs w:val="32"/>
        </w:rPr>
        <w:t>既</w:t>
      </w:r>
      <w:r>
        <w:rPr>
          <w:rFonts w:hint="eastAsia" w:ascii="宋体" w:hAnsi="宋体" w:cs="___WRD_EMBED_SUB_47"/>
          <w:color w:val="000000"/>
          <w:sz w:val="32"/>
          <w:szCs w:val="32"/>
        </w:rPr>
        <w:t>有房</w:t>
      </w:r>
      <w:r>
        <w:rPr>
          <w:rFonts w:hint="eastAsia" w:ascii="宋体" w:hAnsi="宋体" w:cs="微软雅黑"/>
          <w:color w:val="000000"/>
          <w:sz w:val="32"/>
          <w:szCs w:val="32"/>
        </w:rPr>
        <w:t>屋</w:t>
      </w:r>
      <w:r>
        <w:rPr>
          <w:rFonts w:hint="eastAsia" w:ascii="宋体" w:hAnsi="宋体" w:cs="___WRD_EMBED_SUB_47"/>
          <w:color w:val="000000"/>
          <w:sz w:val="32"/>
          <w:szCs w:val="32"/>
        </w:rPr>
        <w:t>安</w:t>
      </w:r>
      <w:r>
        <w:rPr>
          <w:rFonts w:hint="eastAsia" w:ascii="宋体" w:hAnsi="宋体" w:cs="微软雅黑"/>
          <w:color w:val="000000"/>
          <w:sz w:val="32"/>
          <w:szCs w:val="32"/>
        </w:rPr>
        <w:t>全相</w:t>
      </w:r>
      <w:r>
        <w:rPr>
          <w:rFonts w:hint="eastAsia" w:ascii="宋体" w:hAnsi="宋体" w:cs="___WRD_EMBED_SUB_47"/>
          <w:color w:val="000000"/>
          <w:sz w:val="32"/>
          <w:szCs w:val="32"/>
        </w:rPr>
        <w:t>关的</w:t>
      </w:r>
      <w:r>
        <w:rPr>
          <w:rFonts w:hint="eastAsia" w:ascii="宋体" w:hAnsi="宋体" w:cs="微软雅黑"/>
          <w:color w:val="000000"/>
          <w:sz w:val="32"/>
          <w:szCs w:val="32"/>
        </w:rPr>
        <w:t>投诉</w:t>
      </w:r>
      <w:r>
        <w:rPr>
          <w:rFonts w:hint="eastAsia" w:ascii="宋体" w:hAnsi="宋体" w:cs="___WRD_EMBED_SUB_47"/>
          <w:color w:val="000000"/>
          <w:sz w:val="32"/>
          <w:szCs w:val="32"/>
        </w:rPr>
        <w:t>、举报；</w:t>
      </w:r>
      <w:r>
        <w:rPr>
          <w:rFonts w:hint="eastAsia" w:ascii="宋体" w:hAnsi="宋体" w:cs="微软雅黑"/>
          <w:color w:val="000000"/>
          <w:sz w:val="32"/>
          <w:szCs w:val="32"/>
        </w:rPr>
        <w:t>参与</w:t>
      </w:r>
      <w:r>
        <w:rPr>
          <w:rFonts w:hint="eastAsia" w:ascii="宋体" w:hAnsi="宋体" w:cs="___WRD_EMBED_SUB_47"/>
          <w:color w:val="000000"/>
          <w:sz w:val="32"/>
          <w:szCs w:val="32"/>
        </w:rPr>
        <w:t>工</w:t>
      </w:r>
      <w:r>
        <w:rPr>
          <w:rFonts w:hint="eastAsia" w:ascii="宋体" w:hAnsi="宋体" w:cs="微软雅黑"/>
          <w:color w:val="000000"/>
          <w:sz w:val="32"/>
          <w:szCs w:val="32"/>
        </w:rPr>
        <w:t>程质量</w:t>
      </w:r>
      <w:r>
        <w:rPr>
          <w:rFonts w:hint="eastAsia" w:ascii="宋体" w:hAnsi="宋体" w:cs="___WRD_EMBED_SUB_47"/>
          <w:color w:val="000000"/>
          <w:sz w:val="32"/>
          <w:szCs w:val="32"/>
        </w:rPr>
        <w:t>安</w:t>
      </w:r>
      <w:r>
        <w:rPr>
          <w:rFonts w:hint="eastAsia" w:ascii="宋体" w:hAnsi="宋体" w:cs="微软雅黑"/>
          <w:color w:val="000000"/>
          <w:sz w:val="32"/>
          <w:szCs w:val="32"/>
        </w:rPr>
        <w:t>全</w:t>
      </w:r>
      <w:r>
        <w:rPr>
          <w:rFonts w:hint="eastAsia" w:ascii="宋体" w:hAnsi="宋体" w:cs="___WRD_EMBED_SUB_47"/>
          <w:color w:val="000000"/>
          <w:sz w:val="32"/>
          <w:szCs w:val="32"/>
        </w:rPr>
        <w:t>事</w:t>
      </w:r>
      <w:r>
        <w:rPr>
          <w:rFonts w:hint="eastAsia" w:ascii="宋体" w:hAnsi="宋体" w:cs="微软雅黑"/>
          <w:color w:val="000000"/>
          <w:sz w:val="32"/>
          <w:szCs w:val="32"/>
        </w:rPr>
        <w:t>故</w:t>
      </w:r>
      <w:r>
        <w:rPr>
          <w:rFonts w:hint="eastAsia" w:ascii="宋体" w:hAnsi="宋体" w:cs="___WRD_EMBED_SUB_47"/>
          <w:color w:val="000000"/>
          <w:sz w:val="32"/>
          <w:szCs w:val="32"/>
        </w:rPr>
        <w:t>的</w:t>
      </w:r>
      <w:r>
        <w:rPr>
          <w:rFonts w:hint="eastAsia" w:ascii="宋体" w:hAnsi="宋体" w:cs="微软雅黑"/>
          <w:color w:val="000000"/>
          <w:sz w:val="32"/>
          <w:szCs w:val="32"/>
        </w:rPr>
        <w:t>调查</w:t>
      </w:r>
      <w:r>
        <w:rPr>
          <w:rFonts w:hint="eastAsia" w:ascii="宋体" w:hAnsi="宋体" w:cs="___WRD_EMBED_SUB_47"/>
          <w:color w:val="000000"/>
          <w:sz w:val="32"/>
          <w:szCs w:val="32"/>
        </w:rPr>
        <w:t>处理；定</w:t>
      </w:r>
      <w:r>
        <w:rPr>
          <w:rFonts w:hint="eastAsia" w:ascii="宋体" w:hAnsi="宋体" w:cs="微软雅黑"/>
          <w:color w:val="000000"/>
          <w:sz w:val="32"/>
          <w:szCs w:val="32"/>
        </w:rPr>
        <w:t>期</w:t>
      </w:r>
      <w:r>
        <w:rPr>
          <w:rFonts w:hint="eastAsia" w:ascii="宋体" w:hAnsi="宋体" w:cs="___WRD_EMBED_SUB_47"/>
          <w:color w:val="000000"/>
          <w:sz w:val="32"/>
          <w:szCs w:val="32"/>
        </w:rPr>
        <w:t>对本</w:t>
      </w:r>
      <w:r>
        <w:rPr>
          <w:rFonts w:hint="eastAsia" w:ascii="宋体" w:hAnsi="宋体" w:cs="微软雅黑"/>
          <w:color w:val="000000"/>
          <w:sz w:val="32"/>
          <w:szCs w:val="32"/>
        </w:rPr>
        <w:t>地区建</w:t>
      </w:r>
      <w:r>
        <w:rPr>
          <w:rFonts w:hint="eastAsia" w:ascii="宋体" w:hAnsi="宋体" w:cs="___WRD_EMBED_SUB_47"/>
          <w:color w:val="000000"/>
          <w:sz w:val="32"/>
          <w:szCs w:val="32"/>
        </w:rPr>
        <w:t>设工</w:t>
      </w:r>
      <w:r>
        <w:rPr>
          <w:rFonts w:hint="eastAsia" w:ascii="宋体" w:hAnsi="宋体" w:cs="微软雅黑"/>
          <w:color w:val="000000"/>
          <w:sz w:val="32"/>
          <w:szCs w:val="32"/>
        </w:rPr>
        <w:t>程质量状</w:t>
      </w:r>
      <w:r>
        <w:rPr>
          <w:rFonts w:hint="eastAsia" w:ascii="宋体" w:hAnsi="宋体" w:cs="___WRD_EMBED_SUB_47"/>
          <w:color w:val="000000"/>
          <w:sz w:val="32"/>
          <w:szCs w:val="32"/>
        </w:rPr>
        <w:t>况</w:t>
      </w:r>
      <w:r>
        <w:rPr>
          <w:rFonts w:hint="eastAsia" w:ascii="宋体" w:hAnsi="宋体" w:cs="微软雅黑"/>
          <w:color w:val="000000"/>
          <w:sz w:val="32"/>
          <w:szCs w:val="32"/>
        </w:rPr>
        <w:t>进</w:t>
      </w:r>
      <w:r>
        <w:rPr>
          <w:rFonts w:hint="eastAsia" w:ascii="宋体" w:hAnsi="宋体" w:cs="___WRD_EMBED_SUB_47"/>
          <w:color w:val="000000"/>
          <w:sz w:val="32"/>
          <w:szCs w:val="32"/>
        </w:rPr>
        <w:t>行</w:t>
      </w:r>
      <w:r>
        <w:rPr>
          <w:rFonts w:hint="eastAsia" w:ascii="宋体" w:hAnsi="宋体" w:cs="微软雅黑"/>
          <w:color w:val="000000"/>
          <w:sz w:val="32"/>
          <w:szCs w:val="32"/>
        </w:rPr>
        <w:t>统</w:t>
      </w:r>
      <w:r>
        <w:rPr>
          <w:rFonts w:hint="eastAsia" w:ascii="宋体" w:hAnsi="宋体" w:cs="___WRD_EMBED_SUB_47"/>
          <w:color w:val="000000"/>
          <w:sz w:val="32"/>
          <w:szCs w:val="32"/>
        </w:rPr>
        <w:t>计分</w:t>
      </w:r>
      <w:r>
        <w:rPr>
          <w:rFonts w:hint="eastAsia" w:ascii="宋体" w:hAnsi="宋体" w:cs="微软雅黑"/>
          <w:color w:val="000000"/>
          <w:sz w:val="32"/>
          <w:szCs w:val="32"/>
        </w:rPr>
        <w:t>析</w:t>
      </w:r>
      <w:r>
        <w:rPr>
          <w:rFonts w:hint="eastAsia" w:ascii="宋体" w:hAnsi="宋体" w:cs="___WRD_EMBED_SUB_47"/>
          <w:color w:val="000000"/>
          <w:sz w:val="32"/>
          <w:szCs w:val="32"/>
        </w:rPr>
        <w:t>；</w:t>
      </w:r>
      <w:r>
        <w:rPr>
          <w:rFonts w:hint="eastAsia" w:ascii="宋体" w:hAnsi="宋体" w:cs="微软雅黑"/>
          <w:color w:val="000000"/>
          <w:sz w:val="32"/>
          <w:szCs w:val="32"/>
        </w:rPr>
        <w:t>监督相</w:t>
      </w:r>
      <w:r>
        <w:rPr>
          <w:rFonts w:hint="eastAsia" w:ascii="宋体" w:hAnsi="宋体" w:cs="___WRD_EMBED_SUB_47"/>
          <w:color w:val="000000"/>
          <w:sz w:val="32"/>
          <w:szCs w:val="32"/>
        </w:rPr>
        <w:t>关</w:t>
      </w:r>
      <w:r>
        <w:rPr>
          <w:rFonts w:hint="eastAsia" w:ascii="宋体" w:hAnsi="宋体" w:cs="微软雅黑"/>
          <w:color w:val="000000"/>
          <w:sz w:val="32"/>
          <w:szCs w:val="32"/>
        </w:rPr>
        <w:t>企</w:t>
      </w:r>
      <w:r>
        <w:rPr>
          <w:rFonts w:hint="eastAsia" w:ascii="宋体" w:hAnsi="宋体" w:cs="___WRD_EMBED_SUB_47"/>
          <w:color w:val="000000"/>
          <w:sz w:val="32"/>
          <w:szCs w:val="32"/>
        </w:rPr>
        <w:t>业按规定购</w:t>
      </w:r>
      <w:r>
        <w:rPr>
          <w:rFonts w:hint="eastAsia" w:ascii="宋体" w:hAnsi="宋体" w:cs="微软雅黑"/>
          <w:color w:val="000000"/>
          <w:sz w:val="32"/>
          <w:szCs w:val="32"/>
        </w:rPr>
        <w:t>买</w:t>
      </w:r>
      <w:r>
        <w:rPr>
          <w:rFonts w:hint="eastAsia" w:ascii="宋体" w:hAnsi="宋体" w:cs="___WRD_EMBED_SUB_47"/>
          <w:color w:val="000000"/>
          <w:sz w:val="32"/>
          <w:szCs w:val="32"/>
        </w:rPr>
        <w:t>工</w:t>
      </w:r>
      <w:r>
        <w:rPr>
          <w:rFonts w:hint="eastAsia" w:ascii="宋体" w:hAnsi="宋体" w:cs="微软雅黑"/>
          <w:color w:val="000000"/>
          <w:sz w:val="32"/>
          <w:szCs w:val="32"/>
        </w:rPr>
        <w:t>伤</w:t>
      </w:r>
      <w:r>
        <w:rPr>
          <w:rFonts w:hint="eastAsia" w:ascii="宋体" w:hAnsi="宋体" w:cs="___WRD_EMBED_SUB_47"/>
          <w:color w:val="000000"/>
          <w:sz w:val="32"/>
          <w:szCs w:val="32"/>
        </w:rPr>
        <w:t>保险、安</w:t>
      </w:r>
      <w:r>
        <w:rPr>
          <w:rFonts w:hint="eastAsia" w:ascii="宋体" w:hAnsi="宋体" w:cs="微软雅黑"/>
          <w:color w:val="000000"/>
          <w:sz w:val="32"/>
          <w:szCs w:val="32"/>
        </w:rPr>
        <w:t>全</w:t>
      </w:r>
      <w:r>
        <w:rPr>
          <w:rFonts w:hint="eastAsia" w:ascii="宋体" w:hAnsi="宋体" w:cs="___WRD_EMBED_SUB_47"/>
          <w:color w:val="000000"/>
          <w:sz w:val="32"/>
          <w:szCs w:val="32"/>
        </w:rPr>
        <w:t>生产责任险等</w:t>
      </w:r>
      <w:r>
        <w:rPr>
          <w:rFonts w:hint="eastAsia" w:ascii="宋体" w:hAnsi="宋体" w:cs="微软雅黑"/>
          <w:color w:val="000000"/>
          <w:sz w:val="32"/>
          <w:szCs w:val="32"/>
        </w:rPr>
        <w:t>必须</w:t>
      </w:r>
      <w:r>
        <w:rPr>
          <w:rFonts w:hint="eastAsia" w:ascii="宋体" w:hAnsi="宋体" w:cs="___WRD_EMBED_SUB_47"/>
          <w:color w:val="000000"/>
          <w:sz w:val="32"/>
          <w:szCs w:val="32"/>
        </w:rPr>
        <w:t>购</w:t>
      </w:r>
      <w:r>
        <w:rPr>
          <w:rFonts w:hint="eastAsia" w:ascii="宋体" w:hAnsi="宋体" w:cs="微软雅黑"/>
          <w:color w:val="000000"/>
          <w:sz w:val="32"/>
          <w:szCs w:val="32"/>
        </w:rPr>
        <w:t>买</w:t>
      </w:r>
      <w:r>
        <w:rPr>
          <w:rFonts w:hint="eastAsia" w:ascii="宋体" w:hAnsi="宋体" w:cs="___WRD_EMBED_SUB_47"/>
          <w:color w:val="000000"/>
          <w:sz w:val="32"/>
          <w:szCs w:val="32"/>
        </w:rPr>
        <w:t>的保险。</w:t>
      </w:r>
    </w:p>
    <w:p>
      <w:pPr>
        <w:widowControl/>
        <w:rPr>
          <w:rFonts w:ascii="宋体" w:cs="仿宋_GB2312"/>
          <w:color w:val="000000"/>
          <w:sz w:val="32"/>
          <w:szCs w:val="32"/>
        </w:rPr>
      </w:pPr>
      <w:r>
        <w:rPr>
          <w:rFonts w:hint="eastAsia" w:ascii="宋体" w:hAnsi="宋体" w:cs="仿宋_GB2312"/>
          <w:color w:val="000000"/>
          <w:sz w:val="32"/>
          <w:szCs w:val="32"/>
        </w:rPr>
        <w:t>（</w:t>
      </w:r>
      <w:r>
        <w:rPr>
          <w:rFonts w:ascii="宋体" w:hAnsi="宋体" w:cs="Calibri"/>
          <w:color w:val="000000"/>
          <w:sz w:val="32"/>
          <w:szCs w:val="32"/>
        </w:rPr>
        <w:t>9</w:t>
      </w:r>
      <w:r>
        <w:rPr>
          <w:rFonts w:hint="eastAsia" w:ascii="宋体" w:hAnsi="宋体" w:cs="仿宋_GB2312"/>
          <w:color w:val="000000"/>
          <w:sz w:val="32"/>
          <w:szCs w:val="32"/>
        </w:rPr>
        <w:t>）</w:t>
      </w:r>
      <w:r>
        <w:rPr>
          <w:rFonts w:hint="eastAsia" w:ascii="宋体" w:hAnsi="宋体" w:cs="微软雅黑"/>
          <w:color w:val="000000"/>
          <w:sz w:val="32"/>
          <w:szCs w:val="32"/>
        </w:rPr>
        <w:t>承担建</w:t>
      </w:r>
      <w:r>
        <w:rPr>
          <w:rFonts w:hint="eastAsia" w:ascii="宋体" w:hAnsi="宋体" w:cs="___WRD_EMBED_SUB_47"/>
          <w:color w:val="000000"/>
          <w:sz w:val="32"/>
          <w:szCs w:val="32"/>
        </w:rPr>
        <w:t>设工</w:t>
      </w:r>
      <w:r>
        <w:rPr>
          <w:rFonts w:hint="eastAsia" w:ascii="宋体" w:hAnsi="宋体" w:cs="微软雅黑"/>
          <w:color w:val="000000"/>
          <w:sz w:val="32"/>
          <w:szCs w:val="32"/>
        </w:rPr>
        <w:t>程消防验</w:t>
      </w:r>
      <w:r>
        <w:rPr>
          <w:rFonts w:hint="eastAsia" w:ascii="宋体" w:hAnsi="宋体" w:cs="___WRD_EMBED_SUB_47"/>
          <w:color w:val="000000"/>
          <w:sz w:val="32"/>
          <w:szCs w:val="32"/>
        </w:rPr>
        <w:t>收和备</w:t>
      </w:r>
      <w:r>
        <w:rPr>
          <w:rFonts w:hint="eastAsia" w:ascii="宋体" w:hAnsi="宋体" w:cs="微软雅黑"/>
          <w:color w:val="000000"/>
          <w:sz w:val="32"/>
          <w:szCs w:val="32"/>
        </w:rPr>
        <w:t>案抽查</w:t>
      </w:r>
      <w:r>
        <w:rPr>
          <w:rFonts w:hint="eastAsia" w:ascii="宋体" w:hAnsi="宋体" w:cs="___WRD_EMBED_SUB_47"/>
          <w:color w:val="000000"/>
          <w:sz w:val="32"/>
          <w:szCs w:val="32"/>
        </w:rPr>
        <w:t>的</w:t>
      </w:r>
      <w:r>
        <w:rPr>
          <w:rFonts w:hint="eastAsia" w:ascii="宋体" w:hAnsi="宋体" w:cs="微软雅黑"/>
          <w:color w:val="000000"/>
          <w:sz w:val="32"/>
          <w:szCs w:val="32"/>
        </w:rPr>
        <w:t>辅</w:t>
      </w:r>
      <w:r>
        <w:rPr>
          <w:rFonts w:hint="eastAsia" w:ascii="宋体" w:hAnsi="宋体" w:cs="___WRD_EMBED_SUB_47"/>
          <w:color w:val="000000"/>
          <w:sz w:val="32"/>
          <w:szCs w:val="32"/>
        </w:rPr>
        <w:t>助性、事务性工作</w:t>
      </w:r>
      <w:r>
        <w:rPr>
          <w:rFonts w:ascii="宋体" w:hAnsi="宋体" w:cs="仿宋_GB2312"/>
          <w:color w:val="000000"/>
          <w:sz w:val="32"/>
          <w:szCs w:val="32"/>
        </w:rPr>
        <w:t>;</w:t>
      </w:r>
      <w:r>
        <w:rPr>
          <w:rFonts w:hint="eastAsia" w:ascii="宋体" w:hAnsi="宋体" w:cs="微软雅黑"/>
          <w:color w:val="000000"/>
          <w:sz w:val="32"/>
          <w:szCs w:val="32"/>
        </w:rPr>
        <w:t>协</w:t>
      </w:r>
      <w:r>
        <w:rPr>
          <w:rFonts w:hint="eastAsia" w:ascii="宋体" w:hAnsi="宋体" w:cs="___WRD_EMBED_SUB_47"/>
          <w:color w:val="000000"/>
          <w:sz w:val="32"/>
          <w:szCs w:val="32"/>
        </w:rPr>
        <w:t>助市</w:t>
      </w:r>
      <w:r>
        <w:rPr>
          <w:rFonts w:hint="eastAsia" w:ascii="宋体" w:hAnsi="宋体" w:cs="微软雅黑"/>
          <w:color w:val="000000"/>
          <w:sz w:val="32"/>
          <w:szCs w:val="32"/>
        </w:rPr>
        <w:t>住</w:t>
      </w:r>
      <w:r>
        <w:rPr>
          <w:rFonts w:hint="eastAsia" w:ascii="宋体" w:hAnsi="宋体" w:cs="___WRD_EMBED_SUB_47"/>
          <w:color w:val="000000"/>
          <w:sz w:val="32"/>
          <w:szCs w:val="32"/>
        </w:rPr>
        <w:t>房和城</w:t>
      </w:r>
      <w:r>
        <w:rPr>
          <w:rFonts w:hint="eastAsia" w:ascii="宋体" w:hAnsi="宋体" w:cs="微软雅黑"/>
          <w:color w:val="000000"/>
          <w:sz w:val="32"/>
          <w:szCs w:val="32"/>
        </w:rPr>
        <w:t>乡建</w:t>
      </w:r>
      <w:r>
        <w:rPr>
          <w:rFonts w:hint="eastAsia" w:ascii="宋体" w:hAnsi="宋体" w:cs="___WRD_EMBED_SUB_47"/>
          <w:color w:val="000000"/>
          <w:sz w:val="32"/>
          <w:szCs w:val="32"/>
        </w:rPr>
        <w:t>设</w:t>
      </w:r>
      <w:r>
        <w:rPr>
          <w:rFonts w:hint="eastAsia" w:ascii="宋体" w:hAnsi="宋体" w:cs="微软雅黑"/>
          <w:color w:val="000000"/>
          <w:sz w:val="32"/>
          <w:szCs w:val="32"/>
        </w:rPr>
        <w:t>局</w:t>
      </w:r>
      <w:r>
        <w:rPr>
          <w:rFonts w:hint="eastAsia" w:ascii="宋体" w:hAnsi="宋体" w:cs="___WRD_EMBED_SUB_47"/>
          <w:color w:val="000000"/>
          <w:sz w:val="32"/>
          <w:szCs w:val="32"/>
        </w:rPr>
        <w:t>对</w:t>
      </w:r>
      <w:r>
        <w:rPr>
          <w:rFonts w:hint="eastAsia" w:ascii="宋体" w:hAnsi="宋体" w:cs="微软雅黑"/>
          <w:color w:val="000000"/>
          <w:sz w:val="32"/>
          <w:szCs w:val="32"/>
        </w:rPr>
        <w:t>监</w:t>
      </w:r>
      <w:r>
        <w:rPr>
          <w:rFonts w:hint="eastAsia" w:ascii="宋体" w:hAnsi="宋体" w:cs="___WRD_EMBED_SUB_47"/>
          <w:color w:val="000000"/>
          <w:sz w:val="32"/>
          <w:szCs w:val="32"/>
        </w:rPr>
        <w:t>理</w:t>
      </w:r>
      <w:r>
        <w:rPr>
          <w:rFonts w:hint="eastAsia" w:ascii="宋体" w:hAnsi="宋体" w:cs="微软雅黑"/>
          <w:color w:val="000000"/>
          <w:sz w:val="32"/>
          <w:szCs w:val="32"/>
        </w:rPr>
        <w:t>企</w:t>
      </w:r>
      <w:r>
        <w:rPr>
          <w:rFonts w:hint="eastAsia" w:ascii="宋体" w:hAnsi="宋体" w:cs="___WRD_EMBED_SUB_47"/>
          <w:color w:val="000000"/>
          <w:sz w:val="32"/>
          <w:szCs w:val="32"/>
        </w:rPr>
        <w:t>业、</w:t>
      </w:r>
      <w:r>
        <w:rPr>
          <w:rFonts w:hint="eastAsia" w:ascii="宋体" w:hAnsi="宋体" w:cs="微软雅黑"/>
          <w:color w:val="000000"/>
          <w:sz w:val="32"/>
          <w:szCs w:val="32"/>
        </w:rPr>
        <w:t>检测</w:t>
      </w:r>
      <w:r>
        <w:rPr>
          <w:rFonts w:hint="eastAsia" w:ascii="宋体" w:hAnsi="宋体" w:cs="___WRD_EMBED_SUB_47"/>
          <w:color w:val="000000"/>
          <w:sz w:val="32"/>
          <w:szCs w:val="32"/>
        </w:rPr>
        <w:t>机构</w:t>
      </w:r>
      <w:r>
        <w:rPr>
          <w:rFonts w:hint="eastAsia" w:ascii="宋体" w:hAnsi="宋体" w:cs="微软雅黑"/>
          <w:color w:val="000000"/>
          <w:sz w:val="32"/>
          <w:szCs w:val="32"/>
        </w:rPr>
        <w:t>进</w:t>
      </w:r>
      <w:r>
        <w:rPr>
          <w:rFonts w:hint="eastAsia" w:ascii="宋体" w:hAnsi="宋体" w:cs="___WRD_EMBED_SUB_47"/>
          <w:color w:val="000000"/>
          <w:sz w:val="32"/>
          <w:szCs w:val="32"/>
        </w:rPr>
        <w:t>行专项</w:t>
      </w:r>
      <w:r>
        <w:rPr>
          <w:rFonts w:hint="eastAsia" w:ascii="宋体" w:hAnsi="宋体" w:cs="微软雅黑"/>
          <w:color w:val="000000"/>
          <w:sz w:val="32"/>
          <w:szCs w:val="32"/>
        </w:rPr>
        <w:t>检查</w:t>
      </w:r>
      <w:r>
        <w:rPr>
          <w:rFonts w:hint="eastAsia" w:ascii="宋体" w:hAnsi="宋体" w:cs="___WRD_EMBED_SUB_47"/>
          <w:color w:val="000000"/>
          <w:sz w:val="32"/>
          <w:szCs w:val="32"/>
        </w:rPr>
        <w:t>；</w:t>
      </w:r>
      <w:r>
        <w:rPr>
          <w:rFonts w:hint="eastAsia" w:ascii="宋体" w:hAnsi="宋体" w:cs="微软雅黑"/>
          <w:color w:val="000000"/>
          <w:sz w:val="32"/>
          <w:szCs w:val="32"/>
        </w:rPr>
        <w:t>协</w:t>
      </w:r>
      <w:r>
        <w:rPr>
          <w:rFonts w:hint="eastAsia" w:ascii="宋体" w:hAnsi="宋体" w:cs="___WRD_EMBED_SUB_47"/>
          <w:color w:val="000000"/>
          <w:sz w:val="32"/>
          <w:szCs w:val="32"/>
        </w:rPr>
        <w:t>助有关部门</w:t>
      </w:r>
      <w:r>
        <w:rPr>
          <w:rFonts w:hint="eastAsia" w:ascii="宋体" w:hAnsi="宋体" w:cs="微软雅黑"/>
          <w:color w:val="000000"/>
          <w:sz w:val="32"/>
          <w:szCs w:val="32"/>
        </w:rPr>
        <w:t>进</w:t>
      </w:r>
      <w:r>
        <w:rPr>
          <w:rFonts w:hint="eastAsia" w:ascii="宋体" w:hAnsi="宋体" w:cs="___WRD_EMBED_SUB_47"/>
          <w:color w:val="000000"/>
          <w:sz w:val="32"/>
          <w:szCs w:val="32"/>
        </w:rPr>
        <w:t>行</w:t>
      </w:r>
      <w:r>
        <w:rPr>
          <w:rFonts w:hint="eastAsia" w:ascii="宋体" w:hAnsi="宋体" w:cs="微软雅黑"/>
          <w:color w:val="000000"/>
          <w:sz w:val="32"/>
          <w:szCs w:val="32"/>
        </w:rPr>
        <w:t>建</w:t>
      </w:r>
      <w:r>
        <w:rPr>
          <w:rFonts w:hint="eastAsia" w:ascii="宋体" w:hAnsi="宋体" w:cs="___WRD_EMBED_SUB_47"/>
          <w:color w:val="000000"/>
          <w:sz w:val="32"/>
          <w:szCs w:val="32"/>
        </w:rPr>
        <w:t>设工</w:t>
      </w:r>
      <w:r>
        <w:rPr>
          <w:rFonts w:hint="eastAsia" w:ascii="宋体" w:hAnsi="宋体" w:cs="微软雅黑"/>
          <w:color w:val="000000"/>
          <w:sz w:val="32"/>
          <w:szCs w:val="32"/>
        </w:rPr>
        <w:t>程质量</w:t>
      </w:r>
      <w:r>
        <w:rPr>
          <w:rFonts w:hint="eastAsia" w:ascii="宋体" w:hAnsi="宋体" w:cs="___WRD_EMBED_SUB_47"/>
          <w:color w:val="000000"/>
          <w:sz w:val="32"/>
          <w:szCs w:val="32"/>
        </w:rPr>
        <w:t>、安</w:t>
      </w:r>
      <w:r>
        <w:rPr>
          <w:rFonts w:hint="eastAsia" w:ascii="宋体" w:hAnsi="宋体" w:cs="微软雅黑"/>
          <w:color w:val="000000"/>
          <w:sz w:val="32"/>
          <w:szCs w:val="32"/>
        </w:rPr>
        <w:t>全技术</w:t>
      </w:r>
      <w:r>
        <w:rPr>
          <w:rFonts w:hint="eastAsia" w:ascii="宋体" w:hAnsi="宋体" w:cs="___WRD_EMBED_SUB_47"/>
          <w:color w:val="000000"/>
          <w:sz w:val="32"/>
          <w:szCs w:val="32"/>
        </w:rPr>
        <w:t>服务和</w:t>
      </w:r>
      <w:r>
        <w:rPr>
          <w:rFonts w:hint="eastAsia" w:ascii="宋体" w:hAnsi="宋体" w:cs="微软雅黑"/>
          <w:color w:val="000000"/>
          <w:sz w:val="32"/>
          <w:szCs w:val="32"/>
        </w:rPr>
        <w:t>建</w:t>
      </w:r>
      <w:r>
        <w:rPr>
          <w:rFonts w:hint="eastAsia" w:ascii="宋体" w:hAnsi="宋体" w:cs="___WRD_EMBED_SUB_47"/>
          <w:color w:val="000000"/>
          <w:sz w:val="32"/>
          <w:szCs w:val="32"/>
        </w:rPr>
        <w:t>设工</w:t>
      </w:r>
      <w:r>
        <w:rPr>
          <w:rFonts w:hint="eastAsia" w:ascii="宋体" w:hAnsi="宋体" w:cs="微软雅黑"/>
          <w:color w:val="000000"/>
          <w:sz w:val="32"/>
          <w:szCs w:val="32"/>
        </w:rPr>
        <w:t>程</w:t>
      </w:r>
      <w:r>
        <w:rPr>
          <w:rFonts w:hint="eastAsia" w:ascii="宋体" w:hAnsi="宋体" w:cs="___WRD_EMBED_SUB_47"/>
          <w:color w:val="000000"/>
          <w:sz w:val="32"/>
          <w:szCs w:val="32"/>
        </w:rPr>
        <w:t>新设备、新</w:t>
      </w:r>
      <w:r>
        <w:rPr>
          <w:rFonts w:hint="eastAsia" w:ascii="宋体" w:hAnsi="宋体" w:cs="微软雅黑"/>
          <w:color w:val="000000"/>
          <w:sz w:val="32"/>
          <w:szCs w:val="32"/>
        </w:rPr>
        <w:t>材</w:t>
      </w:r>
      <w:r>
        <w:rPr>
          <w:rFonts w:hint="eastAsia" w:ascii="宋体" w:hAnsi="宋体" w:cs="___WRD_EMBED_SUB_47"/>
          <w:color w:val="000000"/>
          <w:sz w:val="32"/>
          <w:szCs w:val="32"/>
        </w:rPr>
        <w:t>料、新</w:t>
      </w:r>
      <w:r>
        <w:rPr>
          <w:rFonts w:hint="eastAsia" w:ascii="宋体" w:hAnsi="宋体" w:cs="微软雅黑"/>
          <w:color w:val="000000"/>
          <w:sz w:val="32"/>
          <w:szCs w:val="32"/>
        </w:rPr>
        <w:t>技术</w:t>
      </w:r>
      <w:r>
        <w:rPr>
          <w:rFonts w:hint="eastAsia" w:ascii="宋体" w:hAnsi="宋体" w:cs="___WRD_EMBED_SUB_47"/>
          <w:color w:val="000000"/>
          <w:sz w:val="32"/>
          <w:szCs w:val="32"/>
        </w:rPr>
        <w:t>、新工</w:t>
      </w:r>
      <w:r>
        <w:rPr>
          <w:rFonts w:hint="eastAsia" w:ascii="宋体" w:hAnsi="宋体" w:cs="微软雅黑"/>
          <w:color w:val="000000"/>
          <w:sz w:val="32"/>
          <w:szCs w:val="32"/>
        </w:rPr>
        <w:t>艺</w:t>
      </w:r>
      <w:r>
        <w:rPr>
          <w:rFonts w:hint="eastAsia" w:ascii="宋体" w:hAnsi="宋体" w:cs="___WRD_EMBED_SUB_47"/>
          <w:color w:val="000000"/>
          <w:sz w:val="32"/>
          <w:szCs w:val="32"/>
        </w:rPr>
        <w:t>的</w:t>
      </w:r>
      <w:r>
        <w:rPr>
          <w:rFonts w:hint="eastAsia" w:ascii="宋体" w:hAnsi="宋体" w:cs="微软雅黑"/>
          <w:color w:val="000000"/>
          <w:sz w:val="32"/>
          <w:szCs w:val="32"/>
        </w:rPr>
        <w:t>鉴</w:t>
      </w:r>
      <w:r>
        <w:rPr>
          <w:rFonts w:hint="eastAsia" w:ascii="宋体" w:hAnsi="宋体" w:cs="___WRD_EMBED_SUB_47"/>
          <w:color w:val="000000"/>
          <w:sz w:val="32"/>
          <w:szCs w:val="32"/>
        </w:rPr>
        <w:t>定、</w:t>
      </w:r>
      <w:r>
        <w:rPr>
          <w:rFonts w:hint="eastAsia" w:ascii="宋体" w:hAnsi="宋体" w:cs="微软雅黑"/>
          <w:color w:val="000000"/>
          <w:sz w:val="32"/>
          <w:szCs w:val="32"/>
        </w:rPr>
        <w:t>评审</w:t>
      </w:r>
      <w:r>
        <w:rPr>
          <w:rFonts w:hint="eastAsia" w:ascii="宋体" w:hAnsi="宋体" w:cs="___WRD_EMBED_SUB_47"/>
          <w:color w:val="000000"/>
          <w:sz w:val="32"/>
          <w:szCs w:val="32"/>
        </w:rPr>
        <w:t>和</w:t>
      </w:r>
      <w:r>
        <w:rPr>
          <w:rFonts w:hint="eastAsia" w:ascii="宋体" w:hAnsi="宋体" w:cs="微软雅黑"/>
          <w:color w:val="000000"/>
          <w:sz w:val="32"/>
          <w:szCs w:val="32"/>
        </w:rPr>
        <w:t>推广应</w:t>
      </w:r>
      <w:r>
        <w:rPr>
          <w:rFonts w:hint="eastAsia" w:ascii="宋体" w:hAnsi="宋体" w:cs="___WRD_EMBED_SUB_47"/>
          <w:color w:val="000000"/>
          <w:sz w:val="32"/>
          <w:szCs w:val="32"/>
        </w:rPr>
        <w:t>用。</w:t>
      </w:r>
    </w:p>
    <w:p>
      <w:pPr>
        <w:widowControl/>
        <w:rPr>
          <w:rFonts w:ascii="宋体" w:cs="仿宋_GB2312"/>
          <w:color w:val="000000"/>
          <w:sz w:val="32"/>
          <w:szCs w:val="32"/>
        </w:rPr>
      </w:pPr>
      <w:r>
        <w:rPr>
          <w:rFonts w:hint="eastAsia" w:ascii="宋体" w:hAnsi="宋体" w:cs="仿宋_GB2312"/>
          <w:color w:val="000000"/>
          <w:sz w:val="32"/>
          <w:szCs w:val="32"/>
        </w:rPr>
        <w:t>（</w:t>
      </w:r>
      <w:r>
        <w:rPr>
          <w:rFonts w:ascii="宋体" w:hAnsi="宋体" w:cs="Calibri"/>
          <w:color w:val="000000"/>
          <w:sz w:val="32"/>
          <w:szCs w:val="32"/>
        </w:rPr>
        <w:t>1</w:t>
      </w:r>
      <w:r>
        <w:rPr>
          <w:rFonts w:ascii="宋体" w:cs="Calibri"/>
          <w:color w:val="000000"/>
          <w:sz w:val="32"/>
          <w:szCs w:val="32"/>
        </w:rPr>
        <w:t>0</w:t>
      </w:r>
      <w:r>
        <w:rPr>
          <w:rFonts w:hint="eastAsia" w:ascii="宋体" w:hAnsi="宋体" w:cs="仿宋_GB2312"/>
          <w:color w:val="000000"/>
          <w:sz w:val="32"/>
          <w:szCs w:val="32"/>
        </w:rPr>
        <w:t>）城</w:t>
      </w:r>
      <w:r>
        <w:rPr>
          <w:rFonts w:hint="eastAsia" w:ascii="宋体" w:hAnsi="宋体" w:cs="微软雅黑"/>
          <w:color w:val="000000"/>
          <w:sz w:val="32"/>
          <w:szCs w:val="32"/>
        </w:rPr>
        <w:t>区范围内</w:t>
      </w:r>
      <w:r>
        <w:rPr>
          <w:rFonts w:hint="eastAsia" w:ascii="宋体" w:hAnsi="宋体" w:cs="___WRD_EMBED_SUB_47"/>
          <w:color w:val="000000"/>
          <w:sz w:val="32"/>
          <w:szCs w:val="32"/>
        </w:rPr>
        <w:t>单</w:t>
      </w:r>
      <w:r>
        <w:rPr>
          <w:rFonts w:hint="eastAsia" w:ascii="宋体" w:hAnsi="宋体" w:cs="微软雅黑"/>
          <w:color w:val="000000"/>
          <w:sz w:val="32"/>
          <w:szCs w:val="32"/>
        </w:rPr>
        <w:t>独</w:t>
      </w:r>
      <w:r>
        <w:rPr>
          <w:rFonts w:hint="eastAsia" w:ascii="宋体" w:hAnsi="宋体" w:cs="___WRD_EMBED_SUB_47"/>
          <w:color w:val="000000"/>
          <w:sz w:val="32"/>
          <w:szCs w:val="32"/>
        </w:rPr>
        <w:t>报</w:t>
      </w:r>
      <w:r>
        <w:rPr>
          <w:rFonts w:hint="eastAsia" w:ascii="宋体" w:hAnsi="宋体" w:cs="微软雅黑"/>
          <w:color w:val="000000"/>
          <w:sz w:val="32"/>
          <w:szCs w:val="32"/>
        </w:rPr>
        <w:t>建</w:t>
      </w:r>
      <w:r>
        <w:rPr>
          <w:rFonts w:hint="eastAsia" w:ascii="宋体" w:hAnsi="宋体" w:cs="___WRD_EMBED_SUB_47"/>
          <w:color w:val="000000"/>
          <w:sz w:val="32"/>
          <w:szCs w:val="32"/>
        </w:rPr>
        <w:t>的房</w:t>
      </w:r>
      <w:r>
        <w:rPr>
          <w:rFonts w:hint="eastAsia" w:ascii="宋体" w:hAnsi="宋体" w:cs="微软雅黑"/>
          <w:color w:val="000000"/>
          <w:sz w:val="32"/>
          <w:szCs w:val="32"/>
        </w:rPr>
        <w:t>屋装饰装</w:t>
      </w:r>
      <w:r>
        <w:rPr>
          <w:rFonts w:hint="eastAsia" w:ascii="宋体" w:hAnsi="宋体" w:cs="___WRD_EMBED_SUB_47"/>
          <w:color w:val="000000"/>
          <w:sz w:val="32"/>
          <w:szCs w:val="32"/>
        </w:rPr>
        <w:t>修工</w:t>
      </w:r>
      <w:r>
        <w:rPr>
          <w:rFonts w:hint="eastAsia" w:ascii="宋体" w:hAnsi="宋体" w:cs="微软雅黑"/>
          <w:color w:val="000000"/>
          <w:sz w:val="32"/>
          <w:szCs w:val="32"/>
        </w:rPr>
        <w:t>程</w:t>
      </w:r>
      <w:r>
        <w:rPr>
          <w:rFonts w:hint="eastAsia" w:ascii="宋体" w:hAnsi="宋体" w:cs="___WRD_EMBED_SUB_47"/>
          <w:color w:val="000000"/>
          <w:sz w:val="32"/>
          <w:szCs w:val="32"/>
        </w:rPr>
        <w:t>、</w:t>
      </w:r>
      <w:r>
        <w:rPr>
          <w:rFonts w:hint="eastAsia" w:ascii="宋体" w:hAnsi="宋体" w:cs="微软雅黑"/>
          <w:color w:val="000000"/>
          <w:sz w:val="32"/>
          <w:szCs w:val="32"/>
        </w:rPr>
        <w:t>既</w:t>
      </w:r>
      <w:r>
        <w:rPr>
          <w:rFonts w:hint="eastAsia" w:ascii="宋体" w:hAnsi="宋体" w:cs="___WRD_EMBED_SUB_47"/>
          <w:color w:val="000000"/>
          <w:sz w:val="32"/>
          <w:szCs w:val="32"/>
        </w:rPr>
        <w:t>有</w:t>
      </w:r>
      <w:r>
        <w:rPr>
          <w:rFonts w:hint="eastAsia" w:ascii="宋体" w:hAnsi="宋体" w:cs="微软雅黑"/>
          <w:color w:val="000000"/>
          <w:sz w:val="32"/>
          <w:szCs w:val="32"/>
        </w:rPr>
        <w:t>住</w:t>
      </w:r>
      <w:r>
        <w:rPr>
          <w:rFonts w:hint="eastAsia" w:ascii="宋体" w:hAnsi="宋体" w:cs="___WRD_EMBED_SUB_47"/>
          <w:color w:val="000000"/>
          <w:sz w:val="32"/>
          <w:szCs w:val="32"/>
        </w:rPr>
        <w:t>房加</w:t>
      </w:r>
      <w:r>
        <w:rPr>
          <w:rFonts w:hint="eastAsia" w:ascii="宋体" w:hAnsi="宋体" w:cs="微软雅黑"/>
          <w:color w:val="000000"/>
          <w:sz w:val="32"/>
          <w:szCs w:val="32"/>
        </w:rPr>
        <w:t>装</w:t>
      </w:r>
      <w:r>
        <w:rPr>
          <w:rFonts w:hint="eastAsia" w:ascii="宋体" w:hAnsi="宋体" w:cs="___WRD_EMBED_SUB_47"/>
          <w:color w:val="000000"/>
          <w:sz w:val="32"/>
          <w:szCs w:val="32"/>
        </w:rPr>
        <w:t>电</w:t>
      </w:r>
      <w:r>
        <w:rPr>
          <w:rFonts w:hint="eastAsia" w:ascii="宋体" w:hAnsi="宋体" w:cs="微软雅黑"/>
          <w:color w:val="000000"/>
          <w:sz w:val="32"/>
          <w:szCs w:val="32"/>
        </w:rPr>
        <w:t>梯</w:t>
      </w:r>
      <w:r>
        <w:rPr>
          <w:rFonts w:hint="eastAsia" w:ascii="宋体" w:hAnsi="宋体" w:cs="___WRD_EMBED_SUB_47"/>
          <w:color w:val="000000"/>
          <w:sz w:val="32"/>
          <w:szCs w:val="32"/>
        </w:rPr>
        <w:t>工</w:t>
      </w:r>
      <w:r>
        <w:rPr>
          <w:rFonts w:hint="eastAsia" w:ascii="宋体" w:hAnsi="宋体" w:cs="微软雅黑"/>
          <w:color w:val="000000"/>
          <w:sz w:val="32"/>
          <w:szCs w:val="32"/>
        </w:rPr>
        <w:t>程质量</w:t>
      </w:r>
      <w:r>
        <w:rPr>
          <w:rFonts w:hint="eastAsia" w:ascii="宋体" w:hAnsi="宋体" w:cs="___WRD_EMBED_SUB_47"/>
          <w:color w:val="000000"/>
          <w:sz w:val="32"/>
          <w:szCs w:val="32"/>
        </w:rPr>
        <w:t>安</w:t>
      </w:r>
      <w:r>
        <w:rPr>
          <w:rFonts w:hint="eastAsia" w:ascii="宋体" w:hAnsi="宋体" w:cs="微软雅黑"/>
          <w:color w:val="000000"/>
          <w:sz w:val="32"/>
          <w:szCs w:val="32"/>
        </w:rPr>
        <w:t>全监督</w:t>
      </w:r>
      <w:r>
        <w:rPr>
          <w:rFonts w:hint="eastAsia" w:ascii="宋体" w:hAnsi="宋体" w:cs="___WRD_EMBED_SUB_47"/>
          <w:color w:val="000000"/>
          <w:sz w:val="32"/>
          <w:szCs w:val="32"/>
        </w:rPr>
        <w:t>管理。</w:t>
      </w:r>
      <w:r>
        <w:rPr>
          <w:rFonts w:hint="eastAsia" w:ascii="宋体" w:hAnsi="宋体" w:cs="微软雅黑"/>
          <w:color w:val="000000"/>
          <w:sz w:val="32"/>
          <w:szCs w:val="32"/>
        </w:rPr>
        <w:t>抽查</w:t>
      </w:r>
      <w:r>
        <w:rPr>
          <w:rFonts w:hint="eastAsia" w:ascii="宋体" w:hAnsi="宋体" w:cs="___WRD_EMBED_SUB_47"/>
          <w:color w:val="000000"/>
          <w:sz w:val="32"/>
          <w:szCs w:val="32"/>
        </w:rPr>
        <w:t>所</w:t>
      </w:r>
      <w:r>
        <w:rPr>
          <w:rFonts w:hint="eastAsia" w:ascii="宋体" w:hAnsi="宋体" w:cs="微软雅黑"/>
          <w:color w:val="000000"/>
          <w:sz w:val="32"/>
          <w:szCs w:val="32"/>
        </w:rPr>
        <w:t>辖</w:t>
      </w:r>
      <w:r>
        <w:rPr>
          <w:rFonts w:hint="eastAsia" w:ascii="宋体" w:hAnsi="宋体" w:cs="___WRD_EMBED_SUB_47"/>
          <w:color w:val="000000"/>
          <w:sz w:val="32"/>
          <w:szCs w:val="32"/>
        </w:rPr>
        <w:t>工</w:t>
      </w:r>
      <w:r>
        <w:rPr>
          <w:rFonts w:hint="eastAsia" w:ascii="宋体" w:hAnsi="宋体" w:cs="微软雅黑"/>
          <w:color w:val="000000"/>
          <w:sz w:val="32"/>
          <w:szCs w:val="32"/>
        </w:rPr>
        <w:t>程</w:t>
      </w:r>
      <w:r>
        <w:rPr>
          <w:rFonts w:hint="eastAsia" w:ascii="宋体" w:hAnsi="宋体" w:cs="___WRD_EMBED_SUB_47"/>
          <w:color w:val="000000"/>
          <w:sz w:val="32"/>
          <w:szCs w:val="32"/>
        </w:rPr>
        <w:t>项目</w:t>
      </w:r>
      <w:r>
        <w:rPr>
          <w:rFonts w:hint="eastAsia" w:ascii="宋体" w:hAnsi="宋体" w:cs="微软雅黑"/>
          <w:color w:val="000000"/>
          <w:sz w:val="32"/>
          <w:szCs w:val="32"/>
        </w:rPr>
        <w:t>涉</w:t>
      </w:r>
      <w:r>
        <w:rPr>
          <w:rFonts w:hint="eastAsia" w:ascii="宋体" w:hAnsi="宋体" w:cs="___WRD_EMBED_SUB_47"/>
          <w:color w:val="000000"/>
          <w:sz w:val="32"/>
          <w:szCs w:val="32"/>
        </w:rPr>
        <w:t>及工</w:t>
      </w:r>
      <w:r>
        <w:rPr>
          <w:rFonts w:hint="eastAsia" w:ascii="宋体" w:hAnsi="宋体" w:cs="微软雅黑"/>
          <w:color w:val="000000"/>
          <w:sz w:val="32"/>
          <w:szCs w:val="32"/>
        </w:rPr>
        <w:t>程</w:t>
      </w:r>
      <w:r>
        <w:rPr>
          <w:rFonts w:hint="eastAsia" w:ascii="宋体" w:hAnsi="宋体" w:cs="___WRD_EMBED_SUB_47"/>
          <w:color w:val="000000"/>
          <w:sz w:val="32"/>
          <w:szCs w:val="32"/>
        </w:rPr>
        <w:t>主体结构安</w:t>
      </w:r>
      <w:r>
        <w:rPr>
          <w:rFonts w:hint="eastAsia" w:ascii="宋体" w:hAnsi="宋体" w:cs="微软雅黑"/>
          <w:color w:val="000000"/>
          <w:sz w:val="32"/>
          <w:szCs w:val="32"/>
        </w:rPr>
        <w:t>全</w:t>
      </w:r>
      <w:r>
        <w:rPr>
          <w:rFonts w:hint="eastAsia" w:ascii="宋体" w:hAnsi="宋体" w:cs="___WRD_EMBED_SUB_47"/>
          <w:color w:val="000000"/>
          <w:sz w:val="32"/>
          <w:szCs w:val="32"/>
        </w:rPr>
        <w:t>和主要</w:t>
      </w:r>
      <w:r>
        <w:rPr>
          <w:rFonts w:hint="eastAsia" w:ascii="宋体" w:hAnsi="宋体" w:cs="微软雅黑"/>
          <w:color w:val="000000"/>
          <w:sz w:val="32"/>
          <w:szCs w:val="32"/>
        </w:rPr>
        <w:t>使</w:t>
      </w:r>
      <w:r>
        <w:rPr>
          <w:rFonts w:hint="eastAsia" w:ascii="宋体" w:hAnsi="宋体" w:cs="___WRD_EMBED_SUB_47"/>
          <w:color w:val="000000"/>
          <w:sz w:val="32"/>
          <w:szCs w:val="32"/>
        </w:rPr>
        <w:t>用</w:t>
      </w:r>
      <w:r>
        <w:rPr>
          <w:rFonts w:hint="eastAsia" w:ascii="宋体" w:hAnsi="宋体" w:cs="微软雅黑"/>
          <w:color w:val="000000"/>
          <w:sz w:val="32"/>
          <w:szCs w:val="32"/>
        </w:rPr>
        <w:t>功</w:t>
      </w:r>
      <w:r>
        <w:rPr>
          <w:rFonts w:hint="eastAsia" w:ascii="宋体" w:hAnsi="宋体" w:cs="___WRD_EMBED_SUB_47"/>
          <w:color w:val="000000"/>
          <w:sz w:val="32"/>
          <w:szCs w:val="32"/>
        </w:rPr>
        <w:t>能的工</w:t>
      </w:r>
      <w:r>
        <w:rPr>
          <w:rFonts w:hint="eastAsia" w:ascii="宋体" w:hAnsi="宋体" w:cs="微软雅黑"/>
          <w:color w:val="000000"/>
          <w:sz w:val="32"/>
          <w:szCs w:val="32"/>
        </w:rPr>
        <w:t>程</w:t>
      </w:r>
      <w:r>
        <w:rPr>
          <w:rFonts w:hint="eastAsia" w:ascii="宋体" w:hAnsi="宋体" w:cs="___WRD_EMBED_SUB_47"/>
          <w:color w:val="000000"/>
          <w:sz w:val="32"/>
          <w:szCs w:val="32"/>
        </w:rPr>
        <w:t>实体</w:t>
      </w:r>
      <w:r>
        <w:rPr>
          <w:rFonts w:hint="eastAsia" w:ascii="宋体" w:hAnsi="宋体" w:cs="微软雅黑"/>
          <w:color w:val="000000"/>
          <w:sz w:val="32"/>
          <w:szCs w:val="32"/>
        </w:rPr>
        <w:t>质量</w:t>
      </w:r>
      <w:r>
        <w:rPr>
          <w:rFonts w:hint="eastAsia" w:ascii="宋体" w:hAnsi="宋体" w:cs="___WRD_EMBED_SUB_47"/>
          <w:color w:val="000000"/>
          <w:sz w:val="32"/>
          <w:szCs w:val="32"/>
        </w:rPr>
        <w:t>及主要</w:t>
      </w:r>
      <w:r>
        <w:rPr>
          <w:rFonts w:hint="eastAsia" w:ascii="宋体" w:hAnsi="宋体" w:cs="微软雅黑"/>
          <w:color w:val="000000"/>
          <w:sz w:val="32"/>
          <w:szCs w:val="32"/>
        </w:rPr>
        <w:t>建筑材</w:t>
      </w:r>
      <w:r>
        <w:rPr>
          <w:rFonts w:hint="eastAsia" w:ascii="宋体" w:hAnsi="宋体" w:cs="___WRD_EMBED_SUB_47"/>
          <w:color w:val="000000"/>
          <w:sz w:val="32"/>
          <w:szCs w:val="32"/>
        </w:rPr>
        <w:t>料、</w:t>
      </w:r>
      <w:r>
        <w:rPr>
          <w:rFonts w:hint="eastAsia" w:ascii="宋体" w:hAnsi="宋体" w:cs="微软雅黑"/>
          <w:color w:val="000000"/>
          <w:sz w:val="32"/>
          <w:szCs w:val="32"/>
        </w:rPr>
        <w:t>建筑</w:t>
      </w:r>
      <w:r>
        <w:rPr>
          <w:rFonts w:hint="eastAsia" w:ascii="宋体" w:hAnsi="宋体" w:cs="___WRD_EMBED_SUB_47"/>
          <w:color w:val="000000"/>
          <w:sz w:val="32"/>
          <w:szCs w:val="32"/>
        </w:rPr>
        <w:t>构</w:t>
      </w:r>
      <w:r>
        <w:rPr>
          <w:rFonts w:hint="eastAsia" w:ascii="宋体" w:hAnsi="宋体" w:cs="微软雅黑"/>
          <w:color w:val="000000"/>
          <w:sz w:val="32"/>
          <w:szCs w:val="32"/>
        </w:rPr>
        <w:t>配件</w:t>
      </w:r>
      <w:r>
        <w:rPr>
          <w:rFonts w:hint="eastAsia" w:ascii="宋体" w:hAnsi="宋体" w:cs="___WRD_EMBED_SUB_47"/>
          <w:color w:val="000000"/>
          <w:sz w:val="32"/>
          <w:szCs w:val="32"/>
        </w:rPr>
        <w:t>的</w:t>
      </w:r>
      <w:r>
        <w:rPr>
          <w:rFonts w:hint="eastAsia" w:ascii="宋体" w:hAnsi="宋体" w:cs="微软雅黑"/>
          <w:color w:val="000000"/>
          <w:sz w:val="32"/>
          <w:szCs w:val="32"/>
        </w:rPr>
        <w:t>质量</w:t>
      </w:r>
      <w:r>
        <w:rPr>
          <w:rFonts w:hint="eastAsia" w:ascii="宋体" w:hAnsi="宋体" w:cs="___WRD_EMBED_SUB_47"/>
          <w:color w:val="000000"/>
          <w:sz w:val="32"/>
          <w:szCs w:val="32"/>
        </w:rPr>
        <w:t>；对所</w:t>
      </w:r>
      <w:r>
        <w:rPr>
          <w:rFonts w:hint="eastAsia" w:ascii="宋体" w:hAnsi="宋体" w:cs="微软雅黑"/>
          <w:color w:val="000000"/>
          <w:sz w:val="32"/>
          <w:szCs w:val="32"/>
        </w:rPr>
        <w:t>辖</w:t>
      </w:r>
      <w:r>
        <w:rPr>
          <w:rFonts w:hint="eastAsia" w:ascii="宋体" w:hAnsi="宋体" w:cs="___WRD_EMBED_SUB_47"/>
          <w:color w:val="000000"/>
          <w:sz w:val="32"/>
          <w:szCs w:val="32"/>
        </w:rPr>
        <w:t>工</w:t>
      </w:r>
      <w:r>
        <w:rPr>
          <w:rFonts w:hint="eastAsia" w:ascii="宋体" w:hAnsi="宋体" w:cs="微软雅黑"/>
          <w:color w:val="000000"/>
          <w:sz w:val="32"/>
          <w:szCs w:val="32"/>
        </w:rPr>
        <w:t>程</w:t>
      </w:r>
      <w:r>
        <w:rPr>
          <w:rFonts w:hint="eastAsia" w:ascii="宋体" w:hAnsi="宋体" w:cs="___WRD_EMBED_SUB_47"/>
          <w:color w:val="000000"/>
          <w:sz w:val="32"/>
          <w:szCs w:val="32"/>
        </w:rPr>
        <w:t>项目的</w:t>
      </w:r>
      <w:r>
        <w:rPr>
          <w:rFonts w:hint="eastAsia" w:ascii="宋体" w:hAnsi="宋体" w:cs="微软雅黑"/>
          <w:color w:val="000000"/>
          <w:sz w:val="32"/>
          <w:szCs w:val="32"/>
        </w:rPr>
        <w:t>建筑</w:t>
      </w:r>
      <w:r>
        <w:rPr>
          <w:rFonts w:hint="eastAsia" w:ascii="宋体" w:hAnsi="宋体" w:cs="___WRD_EMBED_SUB_47"/>
          <w:color w:val="000000"/>
          <w:sz w:val="32"/>
          <w:szCs w:val="32"/>
        </w:rPr>
        <w:t>责任主体和</w:t>
      </w:r>
      <w:r>
        <w:rPr>
          <w:rFonts w:hint="eastAsia" w:ascii="宋体" w:hAnsi="宋体" w:cs="微软雅黑"/>
          <w:color w:val="000000"/>
          <w:sz w:val="32"/>
          <w:szCs w:val="32"/>
        </w:rPr>
        <w:t>质量</w:t>
      </w:r>
      <w:r>
        <w:rPr>
          <w:rFonts w:hint="eastAsia" w:ascii="宋体" w:hAnsi="宋体" w:cs="___WRD_EMBED_SUB_47"/>
          <w:color w:val="000000"/>
          <w:sz w:val="32"/>
          <w:szCs w:val="32"/>
        </w:rPr>
        <w:t>安</w:t>
      </w:r>
      <w:r>
        <w:rPr>
          <w:rFonts w:hint="eastAsia" w:ascii="宋体" w:hAnsi="宋体" w:cs="微软雅黑"/>
          <w:color w:val="000000"/>
          <w:sz w:val="32"/>
          <w:szCs w:val="32"/>
        </w:rPr>
        <w:t>全监测</w:t>
      </w:r>
      <w:r>
        <w:rPr>
          <w:rFonts w:hint="eastAsia" w:ascii="宋体" w:hAnsi="宋体" w:cs="___WRD_EMBED_SUB_47"/>
          <w:color w:val="000000"/>
          <w:sz w:val="32"/>
          <w:szCs w:val="32"/>
        </w:rPr>
        <w:t>等单位</w:t>
      </w:r>
      <w:r>
        <w:rPr>
          <w:rFonts w:hint="eastAsia" w:ascii="宋体" w:hAnsi="宋体" w:cs="微软雅黑"/>
          <w:color w:val="000000"/>
          <w:sz w:val="32"/>
          <w:szCs w:val="32"/>
        </w:rPr>
        <w:t>履</w:t>
      </w:r>
      <w:r>
        <w:rPr>
          <w:rFonts w:hint="eastAsia" w:ascii="宋体" w:hAnsi="宋体" w:cs="___WRD_EMBED_SUB_47"/>
          <w:color w:val="000000"/>
          <w:sz w:val="32"/>
          <w:szCs w:val="32"/>
        </w:rPr>
        <w:t>行安</w:t>
      </w:r>
      <w:r>
        <w:rPr>
          <w:rFonts w:hint="eastAsia" w:ascii="宋体" w:hAnsi="宋体" w:cs="微软雅黑"/>
          <w:color w:val="000000"/>
          <w:sz w:val="32"/>
          <w:szCs w:val="32"/>
        </w:rPr>
        <w:t>全</w:t>
      </w:r>
      <w:r>
        <w:rPr>
          <w:rFonts w:hint="eastAsia" w:ascii="宋体" w:hAnsi="宋体" w:cs="___WRD_EMBED_SUB_47"/>
          <w:color w:val="000000"/>
          <w:sz w:val="32"/>
          <w:szCs w:val="32"/>
        </w:rPr>
        <w:t>生产职责和</w:t>
      </w:r>
      <w:r>
        <w:rPr>
          <w:rFonts w:hint="eastAsia" w:ascii="宋体" w:hAnsi="宋体" w:cs="微软雅黑"/>
          <w:color w:val="000000"/>
          <w:sz w:val="32"/>
          <w:szCs w:val="32"/>
        </w:rPr>
        <w:t>法</w:t>
      </w:r>
      <w:r>
        <w:rPr>
          <w:rFonts w:hint="eastAsia" w:ascii="宋体" w:hAnsi="宋体" w:cs="___WRD_EMBED_SUB_47"/>
          <w:color w:val="000000"/>
          <w:sz w:val="32"/>
          <w:szCs w:val="32"/>
        </w:rPr>
        <w:t>定</w:t>
      </w:r>
      <w:r>
        <w:rPr>
          <w:rFonts w:hint="eastAsia" w:ascii="宋体" w:hAnsi="宋体" w:cs="微软雅黑"/>
          <w:color w:val="000000"/>
          <w:sz w:val="32"/>
          <w:szCs w:val="32"/>
        </w:rPr>
        <w:t>质量</w:t>
      </w:r>
      <w:r>
        <w:rPr>
          <w:rFonts w:hint="eastAsia" w:ascii="宋体" w:hAnsi="宋体" w:cs="___WRD_EMBED_SUB_47"/>
          <w:color w:val="000000"/>
          <w:sz w:val="32"/>
          <w:szCs w:val="32"/>
        </w:rPr>
        <w:t>责任和</w:t>
      </w:r>
      <w:r>
        <w:rPr>
          <w:rFonts w:hint="eastAsia" w:ascii="宋体" w:hAnsi="宋体" w:cs="微软雅黑"/>
          <w:color w:val="000000"/>
          <w:sz w:val="32"/>
          <w:szCs w:val="32"/>
        </w:rPr>
        <w:t>义</w:t>
      </w:r>
      <w:r>
        <w:rPr>
          <w:rFonts w:hint="eastAsia" w:ascii="宋体" w:hAnsi="宋体" w:cs="___WRD_EMBED_SUB_47"/>
          <w:color w:val="000000"/>
          <w:sz w:val="32"/>
          <w:szCs w:val="32"/>
        </w:rPr>
        <w:t>务，</w:t>
      </w:r>
      <w:r>
        <w:rPr>
          <w:rFonts w:hint="eastAsia" w:ascii="宋体" w:hAnsi="宋体" w:cs="微软雅黑"/>
          <w:color w:val="000000"/>
          <w:sz w:val="32"/>
          <w:szCs w:val="32"/>
        </w:rPr>
        <w:t>执</w:t>
      </w:r>
      <w:r>
        <w:rPr>
          <w:rFonts w:hint="eastAsia" w:ascii="宋体" w:hAnsi="宋体" w:cs="___WRD_EMBED_SUB_47"/>
          <w:color w:val="000000"/>
          <w:sz w:val="32"/>
          <w:szCs w:val="32"/>
        </w:rPr>
        <w:t>行</w:t>
      </w:r>
      <w:r>
        <w:rPr>
          <w:rFonts w:hint="eastAsia" w:ascii="宋体" w:hAnsi="宋体" w:cs="微软雅黑"/>
          <w:color w:val="000000"/>
          <w:sz w:val="32"/>
          <w:szCs w:val="32"/>
        </w:rPr>
        <w:t>法律</w:t>
      </w:r>
      <w:r>
        <w:rPr>
          <w:rFonts w:hint="eastAsia" w:ascii="宋体" w:hAnsi="宋体" w:cs="___WRD_EMBED_SUB_47"/>
          <w:color w:val="000000"/>
          <w:sz w:val="32"/>
          <w:szCs w:val="32"/>
        </w:rPr>
        <w:t>、</w:t>
      </w:r>
      <w:r>
        <w:rPr>
          <w:rFonts w:hint="eastAsia" w:ascii="宋体" w:hAnsi="宋体" w:cs="微软雅黑"/>
          <w:color w:val="000000"/>
          <w:sz w:val="32"/>
          <w:szCs w:val="32"/>
        </w:rPr>
        <w:t>法</w:t>
      </w:r>
      <w:r>
        <w:rPr>
          <w:rFonts w:hint="eastAsia" w:ascii="宋体" w:hAnsi="宋体" w:cs="___WRD_EMBED_SUB_47"/>
          <w:color w:val="000000"/>
          <w:sz w:val="32"/>
          <w:szCs w:val="32"/>
        </w:rPr>
        <w:t>规、规</w:t>
      </w:r>
      <w:r>
        <w:rPr>
          <w:rFonts w:hint="eastAsia" w:ascii="宋体" w:hAnsi="宋体" w:cs="微软雅黑"/>
          <w:color w:val="000000"/>
          <w:sz w:val="32"/>
          <w:szCs w:val="32"/>
        </w:rPr>
        <w:t>章</w:t>
      </w:r>
      <w:r>
        <w:rPr>
          <w:rFonts w:hint="eastAsia" w:ascii="宋体" w:hAnsi="宋体" w:cs="___WRD_EMBED_SUB_47"/>
          <w:color w:val="000000"/>
          <w:sz w:val="32"/>
          <w:szCs w:val="32"/>
        </w:rPr>
        <w:t>、</w:t>
      </w:r>
      <w:r>
        <w:rPr>
          <w:rFonts w:hint="eastAsia" w:ascii="宋体" w:hAnsi="宋体" w:cs="微软雅黑"/>
          <w:color w:val="000000"/>
          <w:sz w:val="32"/>
          <w:szCs w:val="32"/>
        </w:rPr>
        <w:t>制</w:t>
      </w:r>
      <w:r>
        <w:rPr>
          <w:rFonts w:hint="eastAsia" w:ascii="宋体" w:hAnsi="宋体" w:cs="___WRD_EMBED_SUB_47"/>
          <w:color w:val="000000"/>
          <w:sz w:val="32"/>
          <w:szCs w:val="32"/>
        </w:rPr>
        <w:t>度及工</w:t>
      </w:r>
      <w:r>
        <w:rPr>
          <w:rFonts w:hint="eastAsia" w:ascii="宋体" w:hAnsi="宋体" w:cs="微软雅黑"/>
          <w:color w:val="000000"/>
          <w:sz w:val="32"/>
          <w:szCs w:val="32"/>
        </w:rPr>
        <w:t>程建</w:t>
      </w:r>
      <w:r>
        <w:rPr>
          <w:rFonts w:hint="eastAsia" w:ascii="宋体" w:hAnsi="宋体" w:cs="___WRD_EMBED_SUB_47"/>
          <w:color w:val="000000"/>
          <w:sz w:val="32"/>
          <w:szCs w:val="32"/>
        </w:rPr>
        <w:t>设性标</w:t>
      </w:r>
      <w:r>
        <w:rPr>
          <w:rFonts w:hint="eastAsia" w:ascii="宋体" w:hAnsi="宋体" w:cs="微软雅黑"/>
          <w:color w:val="000000"/>
          <w:sz w:val="32"/>
          <w:szCs w:val="32"/>
        </w:rPr>
        <w:t>准</w:t>
      </w:r>
      <w:r>
        <w:rPr>
          <w:rFonts w:hint="eastAsia" w:ascii="宋体" w:hAnsi="宋体" w:cs="___WRD_EMBED_SUB_47"/>
          <w:color w:val="000000"/>
          <w:sz w:val="32"/>
          <w:szCs w:val="32"/>
        </w:rPr>
        <w:t>等情况实</w:t>
      </w:r>
      <w:r>
        <w:rPr>
          <w:rFonts w:hint="eastAsia" w:ascii="宋体" w:hAnsi="宋体" w:cs="微软雅黑"/>
          <w:color w:val="000000"/>
          <w:sz w:val="32"/>
          <w:szCs w:val="32"/>
        </w:rPr>
        <w:t>施监督</w:t>
      </w:r>
      <w:r>
        <w:rPr>
          <w:rFonts w:hint="eastAsia" w:ascii="宋体" w:hAnsi="宋体" w:cs="___WRD_EMBED_SUB_47"/>
          <w:color w:val="000000"/>
          <w:sz w:val="32"/>
          <w:szCs w:val="32"/>
        </w:rPr>
        <w:t>，对</w:t>
      </w:r>
      <w:r>
        <w:rPr>
          <w:rFonts w:hint="eastAsia" w:ascii="宋体" w:hAnsi="宋体" w:cs="微软雅黑"/>
          <w:color w:val="000000"/>
          <w:sz w:val="32"/>
          <w:szCs w:val="32"/>
        </w:rPr>
        <w:t>违法违</w:t>
      </w:r>
      <w:r>
        <w:rPr>
          <w:rFonts w:hint="eastAsia" w:ascii="宋体" w:hAnsi="宋体" w:cs="___WRD_EMBED_SUB_47"/>
          <w:color w:val="000000"/>
          <w:sz w:val="32"/>
          <w:szCs w:val="32"/>
        </w:rPr>
        <w:t>规行为</w:t>
      </w:r>
      <w:r>
        <w:rPr>
          <w:rFonts w:hint="eastAsia" w:ascii="宋体" w:hAnsi="宋体" w:cs="微软雅黑"/>
          <w:color w:val="000000"/>
          <w:sz w:val="32"/>
          <w:szCs w:val="32"/>
        </w:rPr>
        <w:t>提</w:t>
      </w:r>
      <w:r>
        <w:rPr>
          <w:rFonts w:hint="eastAsia" w:ascii="宋体" w:hAnsi="宋体" w:cs="___WRD_EMBED_SUB_47"/>
          <w:color w:val="000000"/>
          <w:sz w:val="32"/>
          <w:szCs w:val="32"/>
        </w:rPr>
        <w:t>出处</w:t>
      </w:r>
      <w:r>
        <w:rPr>
          <w:rFonts w:hint="eastAsia" w:ascii="宋体" w:hAnsi="宋体" w:cs="微软雅黑"/>
          <w:color w:val="000000"/>
          <w:sz w:val="32"/>
          <w:szCs w:val="32"/>
        </w:rPr>
        <w:t>罚建</w:t>
      </w:r>
      <w:r>
        <w:rPr>
          <w:rFonts w:hint="eastAsia" w:ascii="宋体" w:hAnsi="宋体" w:cs="___WRD_EMBED_SUB_47"/>
          <w:color w:val="000000"/>
          <w:sz w:val="32"/>
          <w:szCs w:val="32"/>
        </w:rPr>
        <w:t>议</w:t>
      </w:r>
      <w:r>
        <w:rPr>
          <w:rFonts w:hint="eastAsia" w:ascii="宋体" w:hAnsi="宋体" w:cs="微软雅黑"/>
          <w:color w:val="000000"/>
          <w:sz w:val="32"/>
          <w:szCs w:val="32"/>
        </w:rPr>
        <w:t>并参与调查</w:t>
      </w:r>
      <w:r>
        <w:rPr>
          <w:rFonts w:hint="eastAsia" w:ascii="宋体" w:hAnsi="宋体" w:cs="___WRD_EMBED_SUB_47"/>
          <w:color w:val="000000"/>
          <w:sz w:val="32"/>
          <w:szCs w:val="32"/>
        </w:rPr>
        <w:t>取</w:t>
      </w:r>
      <w:r>
        <w:rPr>
          <w:rFonts w:hint="eastAsia" w:ascii="宋体" w:hAnsi="宋体" w:cs="微软雅黑"/>
          <w:color w:val="000000"/>
          <w:sz w:val="32"/>
          <w:szCs w:val="32"/>
        </w:rPr>
        <w:t>证</w:t>
      </w:r>
      <w:r>
        <w:rPr>
          <w:rFonts w:hint="eastAsia" w:ascii="宋体" w:hAnsi="宋体" w:cs="___WRD_EMBED_SUB_47"/>
          <w:color w:val="000000"/>
          <w:sz w:val="32"/>
          <w:szCs w:val="32"/>
        </w:rPr>
        <w:t>和</w:t>
      </w:r>
      <w:r>
        <w:rPr>
          <w:rFonts w:hint="eastAsia" w:ascii="宋体" w:hAnsi="宋体" w:cs="微软雅黑"/>
          <w:color w:val="000000"/>
          <w:sz w:val="32"/>
          <w:szCs w:val="32"/>
        </w:rPr>
        <w:t>核</w:t>
      </w:r>
      <w:r>
        <w:rPr>
          <w:rFonts w:hint="eastAsia" w:ascii="宋体" w:hAnsi="宋体" w:cs="___WRD_EMBED_SUB_47"/>
          <w:color w:val="000000"/>
          <w:sz w:val="32"/>
          <w:szCs w:val="32"/>
        </w:rPr>
        <w:t>实。</w:t>
      </w:r>
    </w:p>
    <w:p>
      <w:pPr>
        <w:snapToGrid w:val="0"/>
        <w:spacing w:line="520" w:lineRule="exact"/>
        <w:ind w:firstLine="640" w:firstLineChars="200"/>
        <w:rPr>
          <w:rFonts w:ascii="宋体"/>
          <w:sz w:val="32"/>
          <w:szCs w:val="32"/>
        </w:rPr>
      </w:pPr>
      <w:r>
        <w:rPr>
          <w:rFonts w:hint="eastAsia" w:ascii="宋体" w:hAnsi="宋体" w:cs="仿宋_GB2312"/>
          <w:color w:val="000000"/>
          <w:sz w:val="32"/>
          <w:szCs w:val="32"/>
        </w:rPr>
        <w:t>（</w:t>
      </w:r>
      <w:r>
        <w:rPr>
          <w:rFonts w:ascii="宋体" w:hAnsi="宋体" w:cs="Calibri"/>
          <w:color w:val="000000"/>
          <w:sz w:val="32"/>
          <w:szCs w:val="32"/>
        </w:rPr>
        <w:t>11</w:t>
      </w:r>
      <w:r>
        <w:rPr>
          <w:rFonts w:hint="eastAsia" w:ascii="宋体" w:hAnsi="宋体" w:cs="仿宋_GB2312"/>
          <w:color w:val="000000"/>
          <w:sz w:val="32"/>
          <w:szCs w:val="32"/>
        </w:rPr>
        <w:t>）对</w:t>
      </w:r>
      <w:r>
        <w:rPr>
          <w:rFonts w:hint="eastAsia" w:ascii="宋体" w:hAnsi="宋体" w:cs="微软雅黑"/>
          <w:color w:val="000000"/>
          <w:sz w:val="32"/>
          <w:szCs w:val="32"/>
        </w:rPr>
        <w:t>县</w:t>
      </w:r>
      <w:r>
        <w:rPr>
          <w:rFonts w:hint="eastAsia" w:ascii="宋体" w:hAnsi="宋体" w:cs="___WRD_EMBED_SUB_47"/>
          <w:color w:val="000000"/>
          <w:sz w:val="32"/>
          <w:szCs w:val="32"/>
        </w:rPr>
        <w:t>市</w:t>
      </w:r>
      <w:r>
        <w:rPr>
          <w:rFonts w:hint="eastAsia" w:ascii="宋体" w:hAnsi="宋体" w:cs="微软雅黑"/>
          <w:color w:val="000000"/>
          <w:sz w:val="32"/>
          <w:szCs w:val="32"/>
        </w:rPr>
        <w:t>区建</w:t>
      </w:r>
      <w:r>
        <w:rPr>
          <w:rFonts w:hint="eastAsia" w:ascii="宋体" w:hAnsi="宋体" w:cs="___WRD_EMBED_SUB_47"/>
          <w:color w:val="000000"/>
          <w:sz w:val="32"/>
          <w:szCs w:val="32"/>
        </w:rPr>
        <w:t>设工</w:t>
      </w:r>
      <w:r>
        <w:rPr>
          <w:rFonts w:hint="eastAsia" w:ascii="宋体" w:hAnsi="宋体" w:cs="微软雅黑"/>
          <w:color w:val="000000"/>
          <w:sz w:val="32"/>
          <w:szCs w:val="32"/>
        </w:rPr>
        <w:t>程质量</w:t>
      </w:r>
      <w:r>
        <w:rPr>
          <w:rFonts w:hint="eastAsia" w:ascii="宋体" w:hAnsi="宋体" w:cs="___WRD_EMBED_SUB_47"/>
          <w:color w:val="000000"/>
          <w:sz w:val="32"/>
          <w:szCs w:val="32"/>
        </w:rPr>
        <w:t>和安</w:t>
      </w:r>
      <w:r>
        <w:rPr>
          <w:rFonts w:hint="eastAsia" w:ascii="宋体" w:hAnsi="宋体" w:cs="微软雅黑"/>
          <w:color w:val="000000"/>
          <w:sz w:val="32"/>
          <w:szCs w:val="32"/>
        </w:rPr>
        <w:t>全监督</w:t>
      </w:r>
      <w:r>
        <w:rPr>
          <w:rFonts w:hint="eastAsia" w:ascii="宋体" w:hAnsi="宋体" w:cs="___WRD_EMBED_SUB_47"/>
          <w:color w:val="000000"/>
          <w:sz w:val="32"/>
          <w:szCs w:val="32"/>
        </w:rPr>
        <w:t>机构</w:t>
      </w:r>
      <w:r>
        <w:rPr>
          <w:rFonts w:hint="eastAsia" w:ascii="宋体" w:hAnsi="宋体" w:cs="微软雅黑"/>
          <w:color w:val="000000"/>
          <w:sz w:val="32"/>
          <w:szCs w:val="32"/>
        </w:rPr>
        <w:t>进</w:t>
      </w:r>
      <w:r>
        <w:rPr>
          <w:rFonts w:hint="eastAsia" w:ascii="宋体" w:hAnsi="宋体" w:cs="___WRD_EMBED_SUB_47"/>
          <w:color w:val="000000"/>
          <w:sz w:val="32"/>
          <w:szCs w:val="32"/>
        </w:rPr>
        <w:t>行业务指导</w:t>
      </w:r>
      <w:r>
        <w:rPr>
          <w:rFonts w:hint="eastAsia" w:ascii="宋体" w:hAnsi="宋体" w:cs="仿宋_GB2312"/>
          <w:color w:val="000000"/>
          <w:sz w:val="32"/>
          <w:szCs w:val="32"/>
        </w:rPr>
        <w:t>。</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spacing w:line="640" w:lineRule="exact"/>
        <w:ind w:firstLine="640" w:firstLineChars="200"/>
        <w:rPr>
          <w:rFonts w:ascii="宋体"/>
          <w:sz w:val="32"/>
          <w:szCs w:val="32"/>
        </w:rPr>
      </w:pPr>
      <w:r>
        <w:rPr>
          <w:rFonts w:hint="eastAsia" w:ascii="宋体" w:hAnsi="宋体"/>
          <w:bCs/>
          <w:kern w:val="0"/>
          <w:sz w:val="32"/>
          <w:szCs w:val="32"/>
        </w:rPr>
        <w:t>（一）内设机构设置。岳阳市建设工程质量安全监督站内设机构包括</w:t>
      </w:r>
      <w:r>
        <w:rPr>
          <w:rFonts w:ascii="宋体" w:hAnsi="宋体"/>
          <w:bCs/>
          <w:kern w:val="0"/>
          <w:sz w:val="32"/>
          <w:szCs w:val="32"/>
        </w:rPr>
        <w:t>7</w:t>
      </w:r>
      <w:r>
        <w:rPr>
          <w:rFonts w:hint="eastAsia" w:ascii="宋体" w:hAnsi="宋体"/>
          <w:bCs/>
          <w:kern w:val="0"/>
          <w:sz w:val="32"/>
          <w:szCs w:val="32"/>
        </w:rPr>
        <w:t>个内设科室和</w:t>
      </w:r>
      <w:r>
        <w:rPr>
          <w:rFonts w:ascii="宋体" w:hAnsi="宋体"/>
          <w:bCs/>
          <w:kern w:val="0"/>
          <w:sz w:val="32"/>
          <w:szCs w:val="32"/>
        </w:rPr>
        <w:t>4</w:t>
      </w:r>
      <w:r>
        <w:rPr>
          <w:rFonts w:hint="eastAsia" w:ascii="宋体" w:hAnsi="宋体"/>
          <w:bCs/>
          <w:kern w:val="0"/>
          <w:sz w:val="32"/>
          <w:szCs w:val="32"/>
        </w:rPr>
        <w:t>个正科级分支机构：</w:t>
      </w:r>
      <w:r>
        <w:rPr>
          <w:rFonts w:ascii="宋体" w:hAnsi="宋体"/>
          <w:bCs/>
          <w:kern w:val="0"/>
          <w:sz w:val="32"/>
          <w:szCs w:val="32"/>
        </w:rPr>
        <w:t>7</w:t>
      </w:r>
      <w:r>
        <w:rPr>
          <w:rFonts w:hint="eastAsia" w:ascii="宋体" w:hAnsi="宋体"/>
          <w:bCs/>
          <w:kern w:val="0"/>
          <w:sz w:val="32"/>
          <w:szCs w:val="32"/>
        </w:rPr>
        <w:t>个内设科室分别为</w:t>
      </w:r>
      <w:r>
        <w:rPr>
          <w:rFonts w:hint="eastAsia" w:ascii="宋体" w:hAnsi="宋体" w:cs="___WRD_EMBED_SUB_47"/>
          <w:sz w:val="32"/>
          <w:szCs w:val="32"/>
        </w:rPr>
        <w:t>办公</w:t>
      </w:r>
      <w:r>
        <w:rPr>
          <w:rFonts w:hint="eastAsia" w:ascii="宋体" w:hAnsi="宋体" w:cs="微软雅黑"/>
          <w:sz w:val="32"/>
          <w:szCs w:val="32"/>
        </w:rPr>
        <w:t>室</w:t>
      </w:r>
      <w:r>
        <w:rPr>
          <w:rFonts w:hint="eastAsia" w:ascii="宋体" w:hAnsi="宋体" w:cs="___WRD_EMBED_SUB_47"/>
          <w:sz w:val="32"/>
          <w:szCs w:val="32"/>
        </w:rPr>
        <w:t>、财务科、</w:t>
      </w:r>
      <w:r>
        <w:rPr>
          <w:rFonts w:hint="eastAsia" w:ascii="宋体" w:hAnsi="宋体" w:cs="微软雅黑"/>
          <w:sz w:val="32"/>
          <w:szCs w:val="32"/>
        </w:rPr>
        <w:t>信息技术</w:t>
      </w:r>
      <w:r>
        <w:rPr>
          <w:rFonts w:hint="eastAsia" w:ascii="宋体" w:hAnsi="宋体" w:cs="___WRD_EMBED_SUB_47"/>
          <w:sz w:val="32"/>
          <w:szCs w:val="32"/>
        </w:rPr>
        <w:t>科、</w:t>
      </w:r>
      <w:r>
        <w:rPr>
          <w:rFonts w:hint="eastAsia" w:ascii="宋体" w:hAnsi="宋体" w:cs="微软雅黑"/>
          <w:sz w:val="32"/>
          <w:szCs w:val="32"/>
        </w:rPr>
        <w:t>质量监督</w:t>
      </w:r>
      <w:r>
        <w:rPr>
          <w:rFonts w:hint="eastAsia" w:ascii="宋体" w:hAnsi="宋体" w:cs="___WRD_EMBED_SUB_47"/>
          <w:sz w:val="32"/>
          <w:szCs w:val="32"/>
        </w:rPr>
        <w:t>科、安</w:t>
      </w:r>
      <w:r>
        <w:rPr>
          <w:rFonts w:hint="eastAsia" w:ascii="宋体" w:hAnsi="宋体" w:cs="微软雅黑"/>
          <w:sz w:val="32"/>
          <w:szCs w:val="32"/>
        </w:rPr>
        <w:t>全监督</w:t>
      </w:r>
      <w:r>
        <w:rPr>
          <w:rFonts w:hint="eastAsia" w:ascii="宋体" w:hAnsi="宋体" w:cs="___WRD_EMBED_SUB_47"/>
          <w:sz w:val="32"/>
          <w:szCs w:val="32"/>
        </w:rPr>
        <w:t>科、</w:t>
      </w:r>
      <w:r>
        <w:rPr>
          <w:rFonts w:hint="eastAsia" w:ascii="宋体" w:hAnsi="宋体" w:cs="微软雅黑"/>
          <w:sz w:val="32"/>
          <w:szCs w:val="32"/>
        </w:rPr>
        <w:t>重点</w:t>
      </w:r>
      <w:r>
        <w:rPr>
          <w:rFonts w:hint="eastAsia" w:ascii="宋体" w:hAnsi="宋体" w:cs="___WRD_EMBED_SUB_47"/>
          <w:sz w:val="32"/>
          <w:szCs w:val="32"/>
        </w:rPr>
        <w:t>工</w:t>
      </w:r>
      <w:r>
        <w:rPr>
          <w:rFonts w:hint="eastAsia" w:ascii="宋体" w:hAnsi="宋体" w:cs="微软雅黑"/>
          <w:sz w:val="32"/>
          <w:szCs w:val="32"/>
        </w:rPr>
        <w:t>程监督</w:t>
      </w:r>
      <w:r>
        <w:rPr>
          <w:rFonts w:hint="eastAsia" w:ascii="宋体" w:hAnsi="宋体" w:cs="___WRD_EMBED_SUB_47"/>
          <w:sz w:val="32"/>
          <w:szCs w:val="32"/>
        </w:rPr>
        <w:t>科、房</w:t>
      </w:r>
      <w:r>
        <w:rPr>
          <w:rFonts w:hint="eastAsia" w:ascii="宋体" w:hAnsi="宋体" w:cs="微软雅黑"/>
          <w:sz w:val="32"/>
          <w:szCs w:val="32"/>
        </w:rPr>
        <w:t>屋</w:t>
      </w:r>
      <w:r>
        <w:rPr>
          <w:rFonts w:hint="eastAsia" w:ascii="宋体" w:hAnsi="宋体" w:cs="___WRD_EMBED_SUB_47"/>
          <w:sz w:val="32"/>
          <w:szCs w:val="32"/>
        </w:rPr>
        <w:t>安</w:t>
      </w:r>
      <w:r>
        <w:rPr>
          <w:rFonts w:hint="eastAsia" w:ascii="宋体" w:hAnsi="宋体" w:cs="微软雅黑"/>
          <w:sz w:val="32"/>
          <w:szCs w:val="32"/>
        </w:rPr>
        <w:t>全</w:t>
      </w:r>
      <w:r>
        <w:rPr>
          <w:rFonts w:hint="eastAsia" w:ascii="宋体" w:hAnsi="宋体" w:cs="___WRD_EMBED_SUB_47"/>
          <w:sz w:val="32"/>
          <w:szCs w:val="32"/>
        </w:rPr>
        <w:t>和</w:t>
      </w:r>
      <w:r>
        <w:rPr>
          <w:rFonts w:hint="eastAsia" w:ascii="宋体" w:hAnsi="宋体" w:cs="微软雅黑"/>
          <w:sz w:val="32"/>
          <w:szCs w:val="32"/>
        </w:rPr>
        <w:t>装饰装</w:t>
      </w:r>
      <w:r>
        <w:rPr>
          <w:rFonts w:hint="eastAsia" w:ascii="宋体" w:hAnsi="宋体" w:cs="___WRD_EMBED_SUB_47"/>
          <w:sz w:val="32"/>
          <w:szCs w:val="32"/>
        </w:rPr>
        <w:t>修科；</w:t>
      </w:r>
      <w:r>
        <w:rPr>
          <w:rFonts w:ascii="宋体" w:hAnsi="宋体"/>
          <w:bCs/>
          <w:kern w:val="0"/>
          <w:sz w:val="32"/>
          <w:szCs w:val="32"/>
        </w:rPr>
        <w:t>4</w:t>
      </w:r>
      <w:r>
        <w:rPr>
          <w:rFonts w:hint="eastAsia" w:ascii="宋体" w:hAnsi="宋体"/>
          <w:bCs/>
          <w:kern w:val="0"/>
          <w:sz w:val="32"/>
          <w:szCs w:val="32"/>
        </w:rPr>
        <w:t>个正科级分支机构分别为</w:t>
      </w:r>
      <w:r>
        <w:rPr>
          <w:rFonts w:hint="eastAsia" w:ascii="宋体" w:hAnsi="宋体" w:cs="微软雅黑"/>
          <w:sz w:val="32"/>
          <w:szCs w:val="32"/>
        </w:rPr>
        <w:t>岳阳楼区</w:t>
      </w:r>
      <w:r>
        <w:rPr>
          <w:rFonts w:hint="eastAsia" w:ascii="宋体" w:hAnsi="宋体" w:cs="___WRD_EMBED_SUB_47"/>
          <w:sz w:val="32"/>
          <w:szCs w:val="32"/>
        </w:rPr>
        <w:t>分</w:t>
      </w:r>
      <w:r>
        <w:rPr>
          <w:rFonts w:hint="eastAsia" w:ascii="宋体" w:hAnsi="宋体" w:cs="微软雅黑"/>
          <w:sz w:val="32"/>
          <w:szCs w:val="32"/>
        </w:rPr>
        <w:t>站</w:t>
      </w:r>
      <w:r>
        <w:rPr>
          <w:rFonts w:hint="eastAsia" w:ascii="宋体" w:hAnsi="宋体" w:cs="___WRD_EMBED_SUB_47"/>
          <w:sz w:val="32"/>
          <w:szCs w:val="32"/>
        </w:rPr>
        <w:t>、</w:t>
      </w:r>
      <w:r>
        <w:rPr>
          <w:rFonts w:hint="eastAsia" w:ascii="宋体" w:hAnsi="宋体" w:cs="微软雅黑"/>
          <w:sz w:val="32"/>
          <w:szCs w:val="32"/>
        </w:rPr>
        <w:t>岳阳</w:t>
      </w:r>
      <w:r>
        <w:rPr>
          <w:rFonts w:hint="eastAsia" w:ascii="宋体" w:hAnsi="宋体" w:cs="___WRD_EMBED_SUB_47"/>
          <w:sz w:val="32"/>
          <w:szCs w:val="32"/>
        </w:rPr>
        <w:t>经济</w:t>
      </w:r>
      <w:r>
        <w:rPr>
          <w:rFonts w:hint="eastAsia" w:ascii="宋体" w:hAnsi="宋体" w:cs="微软雅黑"/>
          <w:sz w:val="32"/>
          <w:szCs w:val="32"/>
        </w:rPr>
        <w:t>技术</w:t>
      </w:r>
      <w:r>
        <w:rPr>
          <w:rFonts w:hint="eastAsia" w:ascii="宋体" w:hAnsi="宋体" w:cs="___WRD_EMBED_SUB_47"/>
          <w:sz w:val="32"/>
          <w:szCs w:val="32"/>
        </w:rPr>
        <w:t>开发</w:t>
      </w:r>
      <w:r>
        <w:rPr>
          <w:rFonts w:hint="eastAsia" w:ascii="宋体" w:hAnsi="宋体" w:cs="微软雅黑"/>
          <w:sz w:val="32"/>
          <w:szCs w:val="32"/>
        </w:rPr>
        <w:t>区</w:t>
      </w:r>
      <w:r>
        <w:rPr>
          <w:rFonts w:hint="eastAsia" w:ascii="宋体" w:hAnsi="宋体" w:cs="___WRD_EMBED_SUB_47"/>
          <w:sz w:val="32"/>
          <w:szCs w:val="32"/>
        </w:rPr>
        <w:t>分</w:t>
      </w:r>
      <w:r>
        <w:rPr>
          <w:rFonts w:hint="eastAsia" w:ascii="宋体" w:hAnsi="宋体" w:cs="微软雅黑"/>
          <w:sz w:val="32"/>
          <w:szCs w:val="32"/>
        </w:rPr>
        <w:t>站</w:t>
      </w:r>
      <w:r>
        <w:rPr>
          <w:rFonts w:hint="eastAsia" w:ascii="宋体" w:hAnsi="宋体" w:cs="___WRD_EMBED_SUB_47"/>
          <w:sz w:val="32"/>
          <w:szCs w:val="32"/>
        </w:rPr>
        <w:t>、城</w:t>
      </w:r>
      <w:r>
        <w:rPr>
          <w:rFonts w:hint="eastAsia" w:ascii="宋体" w:hAnsi="宋体" w:cs="微软雅黑"/>
          <w:sz w:val="32"/>
          <w:szCs w:val="32"/>
        </w:rPr>
        <w:t>陵矶</w:t>
      </w:r>
      <w:r>
        <w:rPr>
          <w:rFonts w:hint="eastAsia" w:ascii="宋体" w:hAnsi="宋体" w:cs="___WRD_EMBED_SUB_47"/>
          <w:sz w:val="32"/>
          <w:szCs w:val="32"/>
        </w:rPr>
        <w:t>新</w:t>
      </w:r>
      <w:r>
        <w:rPr>
          <w:rFonts w:hint="eastAsia" w:ascii="宋体" w:hAnsi="宋体" w:cs="微软雅黑"/>
          <w:sz w:val="32"/>
          <w:szCs w:val="32"/>
        </w:rPr>
        <w:t>港区</w:t>
      </w:r>
      <w:r>
        <w:rPr>
          <w:rFonts w:hint="eastAsia" w:ascii="宋体" w:hAnsi="宋体" w:cs="___WRD_EMBED_SUB_47"/>
          <w:sz w:val="32"/>
          <w:szCs w:val="32"/>
        </w:rPr>
        <w:t>分</w:t>
      </w:r>
      <w:r>
        <w:rPr>
          <w:rFonts w:hint="eastAsia" w:ascii="宋体" w:hAnsi="宋体" w:cs="微软雅黑"/>
          <w:sz w:val="32"/>
          <w:szCs w:val="32"/>
        </w:rPr>
        <w:t>站</w:t>
      </w:r>
      <w:r>
        <w:rPr>
          <w:rFonts w:hint="eastAsia" w:ascii="宋体" w:hAnsi="宋体" w:cs="___WRD_EMBED_SUB_47"/>
          <w:sz w:val="32"/>
          <w:szCs w:val="32"/>
        </w:rPr>
        <w:t>、房</w:t>
      </w:r>
      <w:r>
        <w:rPr>
          <w:rFonts w:hint="eastAsia" w:ascii="宋体" w:hAnsi="宋体" w:cs="微软雅黑"/>
          <w:sz w:val="32"/>
          <w:szCs w:val="32"/>
        </w:rPr>
        <w:t>屋</w:t>
      </w:r>
      <w:r>
        <w:rPr>
          <w:rFonts w:hint="eastAsia" w:ascii="宋体" w:hAnsi="宋体" w:cs="___WRD_EMBED_SUB_47"/>
          <w:sz w:val="32"/>
          <w:szCs w:val="32"/>
        </w:rPr>
        <w:t>安</w:t>
      </w:r>
      <w:r>
        <w:rPr>
          <w:rFonts w:hint="eastAsia" w:ascii="宋体" w:hAnsi="宋体" w:cs="微软雅黑"/>
          <w:sz w:val="32"/>
          <w:szCs w:val="32"/>
        </w:rPr>
        <w:t>全</w:t>
      </w:r>
      <w:r>
        <w:rPr>
          <w:rFonts w:hint="eastAsia" w:ascii="宋体" w:hAnsi="宋体" w:cs="___WRD_EMBED_SUB_47"/>
          <w:sz w:val="32"/>
          <w:szCs w:val="32"/>
        </w:rPr>
        <w:t>和</w:t>
      </w:r>
      <w:r>
        <w:rPr>
          <w:rFonts w:hint="eastAsia" w:ascii="宋体" w:hAnsi="宋体" w:cs="微软雅黑"/>
          <w:sz w:val="32"/>
          <w:szCs w:val="32"/>
        </w:rPr>
        <w:t>装饰装</w:t>
      </w:r>
      <w:r>
        <w:rPr>
          <w:rFonts w:hint="eastAsia" w:ascii="宋体" w:hAnsi="宋体" w:cs="___WRD_EMBED_SUB_47"/>
          <w:sz w:val="32"/>
          <w:szCs w:val="32"/>
        </w:rPr>
        <w:t>修分</w:t>
      </w:r>
      <w:r>
        <w:rPr>
          <w:rFonts w:hint="eastAsia" w:ascii="宋体" w:hAnsi="宋体" w:cs="微软雅黑"/>
          <w:sz w:val="32"/>
          <w:szCs w:val="32"/>
        </w:rPr>
        <w:t>站。分别包含全额拨款事业编制</w:t>
      </w:r>
      <w:r>
        <w:rPr>
          <w:rFonts w:ascii="宋体" w:hAnsi="宋体" w:cs="微软雅黑"/>
          <w:sz w:val="32"/>
          <w:szCs w:val="32"/>
        </w:rPr>
        <w:t>60</w:t>
      </w:r>
      <w:r>
        <w:rPr>
          <w:rFonts w:hint="eastAsia" w:ascii="宋体" w:hAnsi="宋体" w:cs="微软雅黑"/>
          <w:sz w:val="32"/>
          <w:szCs w:val="32"/>
        </w:rPr>
        <w:t>名，经费自理编制</w:t>
      </w:r>
      <w:r>
        <w:rPr>
          <w:rFonts w:ascii="宋体" w:hAnsi="宋体" w:cs="微软雅黑"/>
          <w:sz w:val="32"/>
          <w:szCs w:val="32"/>
        </w:rPr>
        <w:t>27</w:t>
      </w:r>
      <w:r>
        <w:rPr>
          <w:rFonts w:hint="eastAsia" w:ascii="宋体" w:hAnsi="宋体" w:cs="微软雅黑"/>
          <w:sz w:val="32"/>
          <w:szCs w:val="32"/>
        </w:rPr>
        <w:t>名。</w:t>
      </w:r>
    </w:p>
    <w:p>
      <w:pPr>
        <w:widowControl/>
        <w:spacing w:line="600" w:lineRule="exact"/>
        <w:rPr>
          <w:rFonts w:ascii="宋体"/>
          <w:bCs/>
          <w:kern w:val="0"/>
          <w:sz w:val="32"/>
          <w:szCs w:val="32"/>
        </w:rPr>
      </w:pPr>
      <w:r>
        <w:rPr>
          <w:rFonts w:hint="eastAsia" w:ascii="宋体" w:hAnsi="宋体"/>
          <w:bCs/>
          <w:kern w:val="0"/>
          <w:sz w:val="32"/>
          <w:szCs w:val="32"/>
        </w:rPr>
        <w:t>（二）决算单位构成。岳阳市建设工程质量安全监督站</w:t>
      </w:r>
      <w:r>
        <w:rPr>
          <w:rFonts w:ascii="宋体" w:hAnsi="宋体"/>
          <w:bCs/>
          <w:kern w:val="0"/>
          <w:sz w:val="32"/>
          <w:szCs w:val="32"/>
        </w:rPr>
        <w:t>7</w:t>
      </w:r>
      <w:r>
        <w:rPr>
          <w:rFonts w:hint="eastAsia" w:ascii="宋体" w:hAnsi="宋体"/>
          <w:bCs/>
          <w:kern w:val="0"/>
          <w:sz w:val="32"/>
          <w:szCs w:val="32"/>
        </w:rPr>
        <w:t>个内设科室和</w:t>
      </w:r>
      <w:r>
        <w:rPr>
          <w:rFonts w:ascii="宋体" w:hAnsi="宋体"/>
          <w:bCs/>
          <w:kern w:val="0"/>
          <w:sz w:val="32"/>
          <w:szCs w:val="32"/>
        </w:rPr>
        <w:t>4</w:t>
      </w:r>
      <w:r>
        <w:rPr>
          <w:rFonts w:hint="eastAsia" w:ascii="宋体" w:hAnsi="宋体"/>
          <w:bCs/>
          <w:kern w:val="0"/>
          <w:sz w:val="32"/>
          <w:szCs w:val="32"/>
        </w:rPr>
        <w:t>个分支机构财务统一核算，</w:t>
      </w:r>
      <w:r>
        <w:rPr>
          <w:rFonts w:ascii="宋体" w:hAnsi="宋体"/>
          <w:bCs/>
          <w:kern w:val="0"/>
          <w:sz w:val="32"/>
          <w:szCs w:val="32"/>
        </w:rPr>
        <w:t>2020</w:t>
      </w:r>
      <w:r>
        <w:rPr>
          <w:rFonts w:hint="eastAsia" w:ascii="宋体" w:hAnsi="宋体"/>
          <w:bCs/>
          <w:kern w:val="0"/>
          <w:sz w:val="32"/>
          <w:szCs w:val="32"/>
        </w:rPr>
        <w:t>年部门决算汇总公开单位构成包括：岳阳市建设工程质量安全监督站。</w:t>
      </w:r>
    </w:p>
    <w:p>
      <w:pPr>
        <w:jc w:val="left"/>
        <w:rPr>
          <w:rFonts w:ascii="仿宋_GB2312" w:hAnsi="宋体" w:eastAsia="仿宋_GB2312"/>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宋体"/>
          <w:sz w:val="32"/>
          <w:szCs w:val="32"/>
        </w:rPr>
        <w:sectPr>
          <w:pgSz w:w="11906" w:h="16838"/>
          <w:pgMar w:top="720" w:right="720" w:bottom="720" w:left="720" w:header="851" w:footer="992" w:gutter="0"/>
          <w:cols w:space="425" w:num="1"/>
          <w:docGrid w:type="lines" w:linePitch="312" w:charSpace="0"/>
        </w:sectPr>
      </w:pPr>
    </w:p>
    <w:tbl>
      <w:tblPr>
        <w:tblStyle w:val="5"/>
        <w:tblW w:w="14190" w:type="dxa"/>
        <w:tblInd w:w="93" w:type="dxa"/>
        <w:tblLayout w:type="fixed"/>
        <w:tblCellMar>
          <w:top w:w="0" w:type="dxa"/>
          <w:left w:w="108" w:type="dxa"/>
          <w:bottom w:w="0" w:type="dxa"/>
          <w:right w:w="108" w:type="dxa"/>
        </w:tblCellMar>
      </w:tblPr>
      <w:tblGrid>
        <w:gridCol w:w="14190"/>
      </w:tblGrid>
      <w:tr>
        <w:trPr>
          <w:trHeight w:val="360" w:hRule="atLeast"/>
        </w:trPr>
        <w:tc>
          <w:tcPr>
            <w:tcW w:w="14190" w:type="dxa"/>
            <w:tcBorders>
              <w:top w:val="nil"/>
              <w:left w:val="nil"/>
              <w:bottom w:val="nil"/>
              <w:right w:val="nil"/>
            </w:tcBorders>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020" w:hRule="atLeast"/>
        </w:trPr>
        <w:tc>
          <w:tcPr>
            <w:tcW w:w="14190" w:type="dxa"/>
            <w:tcBorders>
              <w:top w:val="nil"/>
              <w:left w:val="nil"/>
              <w:bottom w:val="nil"/>
              <w:right w:val="nil"/>
            </w:tcBorders>
            <w:vAlign w:val="center"/>
          </w:tcPr>
          <w:p>
            <w:pPr>
              <w:widowControl/>
              <w:jc w:val="left"/>
              <w:rPr>
                <w:rFonts w:ascii="宋体" w:cs="宋体"/>
                <w:kern w:val="0"/>
                <w:sz w:val="24"/>
                <w:szCs w:val="24"/>
              </w:rPr>
            </w:pPr>
          </w:p>
          <w:tbl>
            <w:tblPr>
              <w:tblStyle w:val="5"/>
              <w:tblW w:w="12379" w:type="dxa"/>
              <w:tblInd w:w="0" w:type="dxa"/>
              <w:tblLayout w:type="fixed"/>
              <w:tblCellMar>
                <w:top w:w="0" w:type="dxa"/>
                <w:left w:w="108" w:type="dxa"/>
                <w:bottom w:w="0" w:type="dxa"/>
                <w:right w:w="108" w:type="dxa"/>
              </w:tblCellMar>
            </w:tblPr>
            <w:tblGrid>
              <w:gridCol w:w="3833"/>
              <w:gridCol w:w="436"/>
              <w:gridCol w:w="1873"/>
              <w:gridCol w:w="3067"/>
              <w:gridCol w:w="520"/>
              <w:gridCol w:w="2650"/>
            </w:tblGrid>
            <w:tr>
              <w:trPr>
                <w:trHeight w:val="258" w:hRule="atLeast"/>
              </w:trPr>
              <w:tc>
                <w:tcPr>
                  <w:tcW w:w="3833"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436"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873"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3067"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52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2650"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01</w:t>
                  </w:r>
                  <w:r>
                    <w:rPr>
                      <w:rFonts w:hint="eastAsia" w:ascii="宋体" w:hAnsi="宋体" w:cs="Arial"/>
                      <w:color w:val="000000"/>
                      <w:kern w:val="0"/>
                      <w:sz w:val="20"/>
                      <w:szCs w:val="20"/>
                    </w:rPr>
                    <w:t>表</w:t>
                  </w:r>
                </w:p>
              </w:tc>
            </w:tr>
            <w:tr>
              <w:tblPrEx>
                <w:tblCellMar>
                  <w:top w:w="0" w:type="dxa"/>
                  <w:left w:w="108" w:type="dxa"/>
                  <w:bottom w:w="0" w:type="dxa"/>
                  <w:right w:w="108" w:type="dxa"/>
                </w:tblCellMar>
              </w:tblPrEx>
              <w:trPr>
                <w:trHeight w:val="258" w:hRule="atLeast"/>
              </w:trPr>
              <w:tc>
                <w:tcPr>
                  <w:tcW w:w="4269" w:type="dxa"/>
                  <w:gridSpan w:val="2"/>
                  <w:tcBorders>
                    <w:top w:val="nil"/>
                    <w:left w:val="nil"/>
                    <w:bottom w:val="nil"/>
                    <w:right w:val="nil"/>
                  </w:tcBorders>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部门：岳阳市建设工程质量安全监督站</w:t>
                  </w:r>
                </w:p>
              </w:tc>
              <w:tc>
                <w:tcPr>
                  <w:tcW w:w="1873" w:type="dxa"/>
                  <w:tcBorders>
                    <w:top w:val="nil"/>
                    <w:left w:val="nil"/>
                    <w:bottom w:val="nil"/>
                    <w:right w:val="nil"/>
                  </w:tcBorders>
                  <w:noWrap/>
                  <w:vAlign w:val="bottom"/>
                </w:tcPr>
                <w:p>
                  <w:pPr>
                    <w:widowControl/>
                    <w:jc w:val="left"/>
                    <w:rPr>
                      <w:rFonts w:ascii="宋体" w:cs="Arial"/>
                      <w:color w:val="000000"/>
                      <w:kern w:val="0"/>
                      <w:sz w:val="20"/>
                      <w:szCs w:val="20"/>
                    </w:rPr>
                  </w:pPr>
                </w:p>
              </w:tc>
              <w:tc>
                <w:tcPr>
                  <w:tcW w:w="3067"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52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2650"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269" w:hRule="atLeast"/>
              </w:trPr>
              <w:tc>
                <w:tcPr>
                  <w:tcW w:w="6142"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收入</w:t>
                  </w:r>
                </w:p>
              </w:tc>
              <w:tc>
                <w:tcPr>
                  <w:tcW w:w="6237" w:type="dxa"/>
                  <w:gridSpan w:val="3"/>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支出</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行次</w:t>
                  </w:r>
                </w:p>
              </w:tc>
              <w:tc>
                <w:tcPr>
                  <w:tcW w:w="1873"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金额</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行次</w:t>
                  </w:r>
                </w:p>
              </w:tc>
              <w:tc>
                <w:tcPr>
                  <w:tcW w:w="265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金额</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　</w:t>
                  </w:r>
                </w:p>
              </w:tc>
              <w:tc>
                <w:tcPr>
                  <w:tcW w:w="1873"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　</w:t>
                  </w:r>
                </w:p>
              </w:tc>
              <w:tc>
                <w:tcPr>
                  <w:tcW w:w="265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一、一般公共预算财政拨款收入</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715.59</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一、一般公共服务支出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32</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二、政府性基金预算财政拨款收入</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二、外交支出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33</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三、国有资本经营预算财政拨款收入</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三、国防支出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34</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四、上级补助收入</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四、公共安全支出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35</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五、事业收入</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五、教育支出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36</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六、经营收入</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六、科学技术支出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37</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七、附属单位上缴收入</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7</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七、文化旅游体育与传媒支出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38</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八、其他收入</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8</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395.00</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八、社会保障和就业支出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39</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60.83</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9</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九、卫生健康支出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40</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10</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十、节能环保支出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41</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11</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十一、城乡社区支出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42</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578.05</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12</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十二、农林水支出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43</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13</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十三、交通运输支出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44</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14</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十四、资源勘探工业信息等支出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45</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450.99</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15</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十五、商业服务业等支出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46</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16</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十六、金融支出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47</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17</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十七、援助其他地区支出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48</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18</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十八、自然资源海洋气象等支出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49</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19</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十九、住房保障支出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50</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20</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二十、粮油物资储备支出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51</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21</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二十一、国有资本经营预算支出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52</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22</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二十二、灾害防治及应急管理支出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53</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23</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二十三、其他支出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54</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0"/>
                      <w:szCs w:val="20"/>
                    </w:rPr>
                  </w:pPr>
                  <w:r>
                    <w:rPr>
                      <w:rFonts w:hint="eastAsia" w:ascii="宋体" w:hAnsi="宋体" w:cs="Arial"/>
                      <w:b/>
                      <w:bCs/>
                      <w:color w:val="000000"/>
                      <w:kern w:val="0"/>
                      <w:sz w:val="20"/>
                      <w:szCs w:val="20"/>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0"/>
                      <w:szCs w:val="20"/>
                    </w:rPr>
                  </w:pPr>
                  <w:r>
                    <w:rPr>
                      <w:rFonts w:ascii="宋体" w:hAnsi="宋体" w:cs="Arial"/>
                      <w:color w:val="000000"/>
                      <w:kern w:val="0"/>
                      <w:sz w:val="20"/>
                      <w:szCs w:val="20"/>
                    </w:rPr>
                    <w:t>24</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hint="eastAsia" w:ascii="宋体" w:hAnsi="宋体" w:cs="Arial"/>
                      <w:color w:val="000000"/>
                      <w:kern w:val="0"/>
                      <w:sz w:val="20"/>
                      <w:szCs w:val="20"/>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二十四、债务还本支出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55</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0"/>
                      <w:szCs w:val="20"/>
                    </w:rPr>
                  </w:pPr>
                  <w:r>
                    <w:rPr>
                      <w:rFonts w:ascii="宋体" w:hAnsi="宋体" w:cs="Arial"/>
                      <w:color w:val="000000"/>
                      <w:kern w:val="0"/>
                      <w:sz w:val="20"/>
                      <w:szCs w:val="20"/>
                    </w:rPr>
                    <w:t>25</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hint="eastAsia" w:ascii="宋体" w:hAnsi="宋体" w:cs="Arial"/>
                      <w:color w:val="000000"/>
                      <w:kern w:val="0"/>
                      <w:sz w:val="20"/>
                      <w:szCs w:val="20"/>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二十五、债务付息支出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56</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0"/>
                      <w:szCs w:val="20"/>
                    </w:rPr>
                  </w:pPr>
                  <w:r>
                    <w:rPr>
                      <w:rFonts w:ascii="宋体" w:hAnsi="宋体" w:cs="Arial"/>
                      <w:color w:val="000000"/>
                      <w:kern w:val="0"/>
                      <w:sz w:val="20"/>
                      <w:szCs w:val="20"/>
                    </w:rPr>
                    <w:t>26</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hint="eastAsia" w:ascii="宋体" w:hAnsi="宋体" w:cs="Arial"/>
                      <w:color w:val="000000"/>
                      <w:kern w:val="0"/>
                      <w:sz w:val="20"/>
                      <w:szCs w:val="20"/>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二十六、抗疫特别国债安排的支出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57</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本年收入合计</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27</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1,150.59</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本年支出合计</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58</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1,116.03</w:t>
                  </w:r>
                </w:p>
              </w:tc>
            </w:tr>
            <w:tr>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使用非财政拨款结余</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28</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结余分配</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59</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年初结转和结余</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29</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116.80</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年末结转和结余</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60</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151.36</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36"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30</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61</w:t>
                  </w:r>
                </w:p>
              </w:tc>
              <w:tc>
                <w:tcPr>
                  <w:tcW w:w="2650"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r>
            <w:tr>
              <w:tblPrEx>
                <w:tblCellMar>
                  <w:top w:w="0" w:type="dxa"/>
                  <w:left w:w="108" w:type="dxa"/>
                  <w:bottom w:w="0" w:type="dxa"/>
                  <w:right w:w="108" w:type="dxa"/>
                </w:tblCellMar>
              </w:tblPrEx>
              <w:trPr>
                <w:trHeight w:val="269" w:hRule="atLeast"/>
              </w:trPr>
              <w:tc>
                <w:tcPr>
                  <w:tcW w:w="3833"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总计</w:t>
                  </w:r>
                </w:p>
              </w:tc>
              <w:tc>
                <w:tcPr>
                  <w:tcW w:w="436" w:type="dxa"/>
                  <w:tcBorders>
                    <w:top w:val="nil"/>
                    <w:left w:val="nil"/>
                    <w:bottom w:val="single" w:color="000000" w:sz="8"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31</w:t>
                  </w:r>
                </w:p>
              </w:tc>
              <w:tc>
                <w:tcPr>
                  <w:tcW w:w="187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1,267.39</w:t>
                  </w:r>
                </w:p>
              </w:tc>
              <w:tc>
                <w:tcPr>
                  <w:tcW w:w="306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总计</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62</w:t>
                  </w:r>
                </w:p>
              </w:tc>
              <w:tc>
                <w:tcPr>
                  <w:tcW w:w="265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1,267.39</w:t>
                  </w:r>
                </w:p>
              </w:tc>
            </w:tr>
            <w:tr>
              <w:tblPrEx>
                <w:tblCellMar>
                  <w:top w:w="0" w:type="dxa"/>
                  <w:left w:w="108" w:type="dxa"/>
                  <w:bottom w:w="0" w:type="dxa"/>
                  <w:right w:w="108" w:type="dxa"/>
                </w:tblCellMar>
              </w:tblPrEx>
              <w:trPr>
                <w:trHeight w:val="269" w:hRule="atLeast"/>
              </w:trPr>
              <w:tc>
                <w:tcPr>
                  <w:tcW w:w="12379" w:type="dxa"/>
                  <w:gridSpan w:val="6"/>
                  <w:tcBorders>
                    <w:top w:val="nil"/>
                    <w:left w:val="nil"/>
                    <w:bottom w:val="nil"/>
                    <w:right w:val="nil"/>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注：本表反映部门本年度的总收支和年末结转结余情况。本套报表金额单位转换时可能存在尾数误差。</w:t>
                  </w:r>
                </w:p>
              </w:tc>
            </w:tr>
          </w:tbl>
          <w:p>
            <w:pPr>
              <w:widowControl/>
              <w:jc w:val="left"/>
              <w:rPr>
                <w:rFonts w:ascii="宋体" w:cs="宋体"/>
                <w:kern w:val="0"/>
                <w:sz w:val="24"/>
                <w:szCs w:val="24"/>
              </w:rPr>
            </w:pPr>
          </w:p>
        </w:tc>
      </w:tr>
    </w:tbl>
    <w:p>
      <w:pP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p>
      <w:pPr>
        <w:widowControl/>
        <w:ind w:right="-456" w:rightChars="-217"/>
        <w:jc w:val="center"/>
        <w:rPr>
          <w:rFonts w:ascii="Times New Roman" w:hAnsi="Times New Roman" w:eastAsia="黑体"/>
          <w:bCs/>
          <w:kern w:val="0"/>
          <w:sz w:val="32"/>
          <w:szCs w:val="32"/>
        </w:rPr>
      </w:pPr>
      <w:r>
        <w:rPr>
          <w:rFonts w:hint="eastAsia" w:ascii="Times New Roman" w:hAnsi="Times New Roman" w:eastAsia="黑体"/>
          <w:bCs/>
          <w:kern w:val="0"/>
          <w:sz w:val="32"/>
          <w:szCs w:val="32"/>
        </w:rPr>
        <w:t>收入决算表</w:t>
      </w:r>
    </w:p>
    <w:tbl>
      <w:tblPr>
        <w:tblStyle w:val="5"/>
        <w:tblW w:w="13358" w:type="dxa"/>
        <w:tblInd w:w="0" w:type="dxa"/>
        <w:tblLayout w:type="fixed"/>
        <w:tblCellMar>
          <w:top w:w="0" w:type="dxa"/>
          <w:left w:w="108" w:type="dxa"/>
          <w:bottom w:w="0" w:type="dxa"/>
          <w:right w:w="108" w:type="dxa"/>
        </w:tblCellMar>
      </w:tblPr>
      <w:tblGrid>
        <w:gridCol w:w="305"/>
        <w:gridCol w:w="305"/>
        <w:gridCol w:w="305"/>
        <w:gridCol w:w="3825"/>
        <w:gridCol w:w="1299"/>
        <w:gridCol w:w="1139"/>
        <w:gridCol w:w="1239"/>
        <w:gridCol w:w="1199"/>
        <w:gridCol w:w="1039"/>
        <w:gridCol w:w="1039"/>
        <w:gridCol w:w="1428"/>
        <w:gridCol w:w="236"/>
      </w:tblGrid>
      <w:tr>
        <w:tblPrEx>
          <w:tblCellMar>
            <w:top w:w="0" w:type="dxa"/>
            <w:left w:w="108" w:type="dxa"/>
            <w:bottom w:w="0" w:type="dxa"/>
            <w:right w:w="108" w:type="dxa"/>
          </w:tblCellMar>
        </w:tblPrEx>
        <w:trPr>
          <w:gridAfter w:val="1"/>
          <w:wAfter w:w="236" w:type="dxa"/>
          <w:trHeight w:val="258" w:hRule="atLeast"/>
        </w:trPr>
        <w:tc>
          <w:tcPr>
            <w:tcW w:w="305" w:type="dxa"/>
            <w:tcBorders>
              <w:top w:val="nil"/>
              <w:left w:val="nil"/>
              <w:bottom w:val="nil"/>
              <w:right w:val="nil"/>
            </w:tcBorders>
            <w:noWrap/>
            <w:vAlign w:val="bottom"/>
          </w:tcPr>
          <w:p>
            <w:pPr>
              <w:widowControl/>
              <w:jc w:val="left"/>
              <w:rPr>
                <w:rFonts w:ascii="宋体" w:cs="宋体"/>
                <w:kern w:val="0"/>
                <w:sz w:val="24"/>
                <w:szCs w:val="24"/>
              </w:rPr>
            </w:pPr>
          </w:p>
        </w:tc>
        <w:tc>
          <w:tcPr>
            <w:tcW w:w="305"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305"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3825"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9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13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3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19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03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03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428"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02</w:t>
            </w:r>
            <w:r>
              <w:rPr>
                <w:rFonts w:hint="eastAsia" w:ascii="宋体" w:hAnsi="宋体" w:cs="Arial"/>
                <w:color w:val="000000"/>
                <w:kern w:val="0"/>
                <w:sz w:val="20"/>
                <w:szCs w:val="20"/>
              </w:rPr>
              <w:t>表</w:t>
            </w:r>
          </w:p>
        </w:tc>
      </w:tr>
      <w:tr>
        <w:tblPrEx>
          <w:tblCellMar>
            <w:top w:w="0" w:type="dxa"/>
            <w:left w:w="108" w:type="dxa"/>
            <w:bottom w:w="0" w:type="dxa"/>
            <w:right w:w="108" w:type="dxa"/>
          </w:tblCellMar>
        </w:tblPrEx>
        <w:trPr>
          <w:gridAfter w:val="1"/>
          <w:wAfter w:w="236" w:type="dxa"/>
          <w:trHeight w:val="258" w:hRule="atLeast"/>
        </w:trPr>
        <w:tc>
          <w:tcPr>
            <w:tcW w:w="4740" w:type="dxa"/>
            <w:gridSpan w:val="4"/>
            <w:tcBorders>
              <w:top w:val="nil"/>
              <w:left w:val="nil"/>
              <w:bottom w:val="nil"/>
              <w:right w:val="nil"/>
            </w:tcBorders>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部门：岳阳市建设工程质量安全监督站</w:t>
            </w:r>
          </w:p>
        </w:tc>
        <w:tc>
          <w:tcPr>
            <w:tcW w:w="1299" w:type="dxa"/>
            <w:tcBorders>
              <w:top w:val="nil"/>
              <w:left w:val="nil"/>
              <w:bottom w:val="nil"/>
              <w:right w:val="nil"/>
            </w:tcBorders>
            <w:noWrap/>
            <w:vAlign w:val="bottom"/>
          </w:tcPr>
          <w:p>
            <w:pPr>
              <w:widowControl/>
              <w:jc w:val="left"/>
              <w:rPr>
                <w:rFonts w:ascii="宋体" w:cs="Arial"/>
                <w:color w:val="000000"/>
                <w:kern w:val="0"/>
                <w:sz w:val="20"/>
                <w:szCs w:val="20"/>
              </w:rPr>
            </w:pPr>
          </w:p>
        </w:tc>
        <w:tc>
          <w:tcPr>
            <w:tcW w:w="113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3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19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03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03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428"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1"/>
          <w:wAfter w:w="236" w:type="dxa"/>
          <w:trHeight w:val="269" w:hRule="atLeast"/>
        </w:trPr>
        <w:tc>
          <w:tcPr>
            <w:tcW w:w="4740"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项目</w:t>
            </w:r>
          </w:p>
        </w:tc>
        <w:tc>
          <w:tcPr>
            <w:tcW w:w="129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本年收入合计</w:t>
            </w:r>
          </w:p>
        </w:tc>
        <w:tc>
          <w:tcPr>
            <w:tcW w:w="113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财政拨款收入</w:t>
            </w:r>
          </w:p>
        </w:tc>
        <w:tc>
          <w:tcPr>
            <w:tcW w:w="123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上级补助收入</w:t>
            </w:r>
          </w:p>
        </w:tc>
        <w:tc>
          <w:tcPr>
            <w:tcW w:w="119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事业收入</w:t>
            </w:r>
          </w:p>
        </w:tc>
        <w:tc>
          <w:tcPr>
            <w:tcW w:w="103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经营收入</w:t>
            </w:r>
          </w:p>
        </w:tc>
        <w:tc>
          <w:tcPr>
            <w:tcW w:w="103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附属单位上缴收入</w:t>
            </w:r>
          </w:p>
        </w:tc>
        <w:tc>
          <w:tcPr>
            <w:tcW w:w="1428"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其他收入</w:t>
            </w:r>
          </w:p>
        </w:tc>
      </w:tr>
      <w:tr>
        <w:tblPrEx>
          <w:tblCellMar>
            <w:top w:w="0" w:type="dxa"/>
            <w:left w:w="108" w:type="dxa"/>
            <w:bottom w:w="0" w:type="dxa"/>
            <w:right w:w="108" w:type="dxa"/>
          </w:tblCellMar>
        </w:tblPrEx>
        <w:trPr>
          <w:gridAfter w:val="1"/>
          <w:wAfter w:w="236" w:type="dxa"/>
          <w:trHeight w:val="312" w:hRule="atLeast"/>
        </w:trPr>
        <w:tc>
          <w:tcPr>
            <w:tcW w:w="915"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功能分类科目编码</w:t>
            </w:r>
          </w:p>
        </w:tc>
        <w:tc>
          <w:tcPr>
            <w:tcW w:w="3825"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科目名称</w:t>
            </w:r>
          </w:p>
        </w:tc>
        <w:tc>
          <w:tcPr>
            <w:tcW w:w="129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1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2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19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0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0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42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r>
      <w:tr>
        <w:tblPrEx>
          <w:tblCellMar>
            <w:top w:w="0" w:type="dxa"/>
            <w:left w:w="108" w:type="dxa"/>
            <w:bottom w:w="0" w:type="dxa"/>
            <w:right w:w="108" w:type="dxa"/>
          </w:tblCellMar>
        </w:tblPrEx>
        <w:trPr>
          <w:trHeight w:val="269" w:hRule="atLeast"/>
        </w:trPr>
        <w:tc>
          <w:tcPr>
            <w:tcW w:w="915"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3825"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29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1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2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19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0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0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42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236" w:type="dxa"/>
            <w:tcBorders>
              <w:top w:val="nil"/>
              <w:left w:val="nil"/>
              <w:bottom w:val="nil"/>
              <w:right w:val="nil"/>
            </w:tcBorders>
            <w:noWrap/>
            <w:vAlign w:val="bottom"/>
          </w:tcPr>
          <w:p>
            <w:pPr>
              <w:widowControl/>
              <w:jc w:val="center"/>
              <w:rPr>
                <w:rFonts w:ascii="宋体" w:cs="Arial"/>
                <w:color w:val="000000"/>
                <w:kern w:val="0"/>
                <w:sz w:val="20"/>
                <w:szCs w:val="20"/>
              </w:rPr>
            </w:pPr>
          </w:p>
        </w:tc>
      </w:tr>
      <w:tr>
        <w:tblPrEx>
          <w:tblCellMar>
            <w:top w:w="0" w:type="dxa"/>
            <w:left w:w="108" w:type="dxa"/>
            <w:bottom w:w="0" w:type="dxa"/>
            <w:right w:w="108" w:type="dxa"/>
          </w:tblCellMar>
        </w:tblPrEx>
        <w:trPr>
          <w:trHeight w:val="269" w:hRule="atLeast"/>
        </w:trPr>
        <w:tc>
          <w:tcPr>
            <w:tcW w:w="915"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3825"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29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1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2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19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0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03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142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0"/>
                <w:szCs w:val="20"/>
              </w:rPr>
            </w:pPr>
          </w:p>
        </w:tc>
        <w:tc>
          <w:tcPr>
            <w:tcW w:w="236" w:type="dxa"/>
            <w:tcBorders>
              <w:top w:val="nil"/>
              <w:left w:val="nil"/>
              <w:bottom w:val="nil"/>
              <w:right w:val="nil"/>
            </w:tcBorders>
            <w:noWrap/>
            <w:vAlign w:val="bottom"/>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4740"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栏次</w:t>
            </w:r>
          </w:p>
        </w:tc>
        <w:tc>
          <w:tcPr>
            <w:tcW w:w="1299"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ascii="宋体" w:hAnsi="宋体" w:cs="Arial"/>
                <w:color w:val="000000"/>
                <w:kern w:val="0"/>
                <w:sz w:val="20"/>
                <w:szCs w:val="20"/>
              </w:rPr>
              <w:t>1</w:t>
            </w:r>
          </w:p>
        </w:tc>
        <w:tc>
          <w:tcPr>
            <w:tcW w:w="1139"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ascii="宋体" w:hAnsi="宋体" w:cs="Arial"/>
                <w:color w:val="000000"/>
                <w:kern w:val="0"/>
                <w:sz w:val="20"/>
                <w:szCs w:val="20"/>
              </w:rPr>
              <w:t>2</w:t>
            </w:r>
          </w:p>
        </w:tc>
        <w:tc>
          <w:tcPr>
            <w:tcW w:w="1239"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ascii="宋体" w:hAnsi="宋体" w:cs="Arial"/>
                <w:color w:val="000000"/>
                <w:kern w:val="0"/>
                <w:sz w:val="20"/>
                <w:szCs w:val="20"/>
              </w:rPr>
              <w:t>3</w:t>
            </w:r>
          </w:p>
        </w:tc>
        <w:tc>
          <w:tcPr>
            <w:tcW w:w="1199"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ascii="宋体" w:hAnsi="宋体" w:cs="Arial"/>
                <w:color w:val="000000"/>
                <w:kern w:val="0"/>
                <w:sz w:val="20"/>
                <w:szCs w:val="20"/>
              </w:rPr>
              <w:t>4</w:t>
            </w:r>
          </w:p>
        </w:tc>
        <w:tc>
          <w:tcPr>
            <w:tcW w:w="1039"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ascii="宋体" w:hAnsi="宋体" w:cs="Arial"/>
                <w:color w:val="000000"/>
                <w:kern w:val="0"/>
                <w:sz w:val="20"/>
                <w:szCs w:val="20"/>
              </w:rPr>
              <w:t>5</w:t>
            </w:r>
          </w:p>
        </w:tc>
        <w:tc>
          <w:tcPr>
            <w:tcW w:w="1039"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ascii="宋体" w:hAnsi="宋体" w:cs="Arial"/>
                <w:color w:val="000000"/>
                <w:kern w:val="0"/>
                <w:sz w:val="20"/>
                <w:szCs w:val="20"/>
              </w:rPr>
              <w:t>6</w:t>
            </w:r>
          </w:p>
        </w:tc>
        <w:tc>
          <w:tcPr>
            <w:tcW w:w="1428"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0"/>
                <w:szCs w:val="20"/>
              </w:rPr>
            </w:pPr>
            <w:r>
              <w:rPr>
                <w:rFonts w:ascii="宋体" w:hAnsi="宋体" w:cs="Arial"/>
                <w:color w:val="000000"/>
                <w:kern w:val="0"/>
                <w:sz w:val="20"/>
                <w:szCs w:val="20"/>
              </w:rPr>
              <w:t>7</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4740"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0"/>
                <w:szCs w:val="20"/>
              </w:rPr>
            </w:pPr>
            <w:r>
              <w:rPr>
                <w:rFonts w:hint="eastAsia" w:ascii="宋体" w:hAnsi="宋体" w:cs="Arial"/>
                <w:color w:val="000000"/>
                <w:kern w:val="0"/>
                <w:sz w:val="20"/>
                <w:szCs w:val="20"/>
              </w:rPr>
              <w:t>合计</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0"/>
                <w:szCs w:val="20"/>
              </w:rPr>
            </w:pPr>
            <w:r>
              <w:rPr>
                <w:rFonts w:ascii="宋体" w:hAnsi="宋体" w:cs="Arial"/>
                <w:b/>
                <w:bCs/>
                <w:color w:val="000000"/>
                <w:kern w:val="0"/>
                <w:sz w:val="20"/>
                <w:szCs w:val="20"/>
              </w:rPr>
              <w:t>1,150.59</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0"/>
                <w:szCs w:val="20"/>
              </w:rPr>
            </w:pPr>
            <w:r>
              <w:rPr>
                <w:rFonts w:ascii="宋体" w:hAnsi="宋体" w:cs="Arial"/>
                <w:b/>
                <w:bCs/>
                <w:color w:val="000000"/>
                <w:kern w:val="0"/>
                <w:sz w:val="20"/>
                <w:szCs w:val="20"/>
              </w:rPr>
              <w:t>755.59</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0"/>
                <w:szCs w:val="20"/>
              </w:rPr>
            </w:pPr>
            <w:r>
              <w:rPr>
                <w:rFonts w:ascii="宋体" w:cs="Arial"/>
                <w:b/>
                <w:bCs/>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0"/>
                <w:szCs w:val="20"/>
              </w:rPr>
            </w:pPr>
            <w:r>
              <w:rPr>
                <w:rFonts w:ascii="宋体" w:cs="Arial"/>
                <w:b/>
                <w:bCs/>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0"/>
                <w:szCs w:val="20"/>
              </w:rPr>
            </w:pPr>
            <w:r>
              <w:rPr>
                <w:rFonts w:ascii="宋体" w:cs="Arial"/>
                <w:b/>
                <w:bCs/>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0"/>
                <w:szCs w:val="20"/>
              </w:rPr>
            </w:pPr>
            <w:r>
              <w:rPr>
                <w:rFonts w:ascii="宋体" w:cs="Arial"/>
                <w:b/>
                <w:bCs/>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0"/>
                <w:szCs w:val="20"/>
              </w:rPr>
            </w:pPr>
            <w:r>
              <w:rPr>
                <w:rFonts w:ascii="宋体" w:hAnsi="宋体" w:cs="Arial"/>
                <w:b/>
                <w:bCs/>
                <w:color w:val="000000"/>
                <w:kern w:val="0"/>
                <w:sz w:val="20"/>
                <w:szCs w:val="20"/>
              </w:rPr>
              <w:t>395.00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208</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社会保障和就业支出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60.83</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60.83</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20805</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行政事业单位养老支出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56.55</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56.55</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2080505</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 xml:space="preserve">  </w:t>
            </w:r>
            <w:r>
              <w:rPr>
                <w:rFonts w:hint="eastAsia" w:ascii="宋体" w:hAnsi="宋体" w:cs="Arial"/>
                <w:color w:val="000000"/>
                <w:kern w:val="0"/>
                <w:sz w:val="20"/>
                <w:szCs w:val="20"/>
              </w:rPr>
              <w:t>机关事业单位基本养老保险缴费支出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56.55</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56.55</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20811</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残疾人事业</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4.28</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4.28</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2081199</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 xml:space="preserve">  </w:t>
            </w:r>
            <w:r>
              <w:rPr>
                <w:rFonts w:hint="eastAsia" w:ascii="宋体" w:hAnsi="宋体" w:cs="Arial"/>
                <w:color w:val="000000"/>
                <w:kern w:val="0"/>
                <w:sz w:val="20"/>
                <w:szCs w:val="20"/>
              </w:rPr>
              <w:t>其他残疾人事业支出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4.28</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4.28</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210</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卫生健康支出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26.16</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26.16</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21011</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行政事业单位医疗</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26.16</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26.16</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2101102</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 xml:space="preserve">  </w:t>
            </w:r>
            <w:r>
              <w:rPr>
                <w:rFonts w:hint="eastAsia" w:ascii="宋体" w:hAnsi="宋体" w:cs="Arial"/>
                <w:color w:val="000000"/>
                <w:kern w:val="0"/>
                <w:sz w:val="20"/>
                <w:szCs w:val="20"/>
              </w:rPr>
              <w:t>事业单位医疗</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26.16</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26.16</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212</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城乡社区支出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612.61</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217.61</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395.00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21202</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城乡社区规划与管理</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57.00</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57.00</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2120201</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 xml:space="preserve">  </w:t>
            </w:r>
            <w:r>
              <w:rPr>
                <w:rFonts w:hint="eastAsia" w:ascii="宋体" w:hAnsi="宋体" w:cs="Arial"/>
                <w:color w:val="000000"/>
                <w:kern w:val="0"/>
                <w:sz w:val="20"/>
                <w:szCs w:val="20"/>
              </w:rPr>
              <w:t>城乡社区规划与管理</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57.00</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57.00</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21208</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国有土地使用权出让收入安排的支出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40.00</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40.00</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2120899</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 xml:space="preserve">  </w:t>
            </w:r>
            <w:r>
              <w:rPr>
                <w:rFonts w:hint="eastAsia" w:ascii="宋体" w:hAnsi="宋体" w:cs="Arial"/>
                <w:color w:val="000000"/>
                <w:kern w:val="0"/>
                <w:sz w:val="20"/>
                <w:szCs w:val="20"/>
              </w:rPr>
              <w:t>其他国有土地使用权出让收入安排的支出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40.00</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40.00</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21299</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其他城乡社区支出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515.61</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120.61</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395.00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2129901</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 xml:space="preserve">  </w:t>
            </w:r>
            <w:r>
              <w:rPr>
                <w:rFonts w:hint="eastAsia" w:ascii="宋体" w:hAnsi="宋体" w:cs="Arial"/>
                <w:color w:val="000000"/>
                <w:kern w:val="0"/>
                <w:sz w:val="20"/>
                <w:szCs w:val="20"/>
              </w:rPr>
              <w:t>其他城乡社区支出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515.61</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120.61</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395.00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215</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资源勘探工业信息等支出</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450.99</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450.99</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21503</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建筑业</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450.99</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450.99</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2150301</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 xml:space="preserve">  </w:t>
            </w:r>
            <w:r>
              <w:rPr>
                <w:rFonts w:hint="eastAsia" w:ascii="宋体" w:hAnsi="宋体" w:cs="Arial"/>
                <w:color w:val="000000"/>
                <w:kern w:val="0"/>
                <w:sz w:val="20"/>
                <w:szCs w:val="20"/>
              </w:rPr>
              <w:t>行政运行</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413.71</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413.71</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2150302</w:t>
            </w:r>
          </w:p>
        </w:tc>
        <w:tc>
          <w:tcPr>
            <w:tcW w:w="382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0"/>
                <w:szCs w:val="20"/>
              </w:rPr>
            </w:pPr>
            <w:r>
              <w:rPr>
                <w:rFonts w:ascii="宋体" w:hAnsi="宋体" w:cs="Arial"/>
                <w:color w:val="000000"/>
                <w:kern w:val="0"/>
                <w:sz w:val="20"/>
                <w:szCs w:val="20"/>
              </w:rPr>
              <w:t xml:space="preserve">  </w:t>
            </w:r>
            <w:r>
              <w:rPr>
                <w:rFonts w:hint="eastAsia" w:ascii="宋体" w:hAnsi="宋体" w:cs="Arial"/>
                <w:color w:val="000000"/>
                <w:kern w:val="0"/>
                <w:sz w:val="20"/>
                <w:szCs w:val="20"/>
              </w:rPr>
              <w:t>一般行政管理事务</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37.28</w:t>
            </w:r>
          </w:p>
        </w:tc>
        <w:tc>
          <w:tcPr>
            <w:tcW w:w="11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hAnsi="宋体" w:cs="Arial"/>
                <w:color w:val="000000"/>
                <w:kern w:val="0"/>
                <w:sz w:val="20"/>
                <w:szCs w:val="20"/>
              </w:rPr>
              <w:t>37.28</w:t>
            </w:r>
          </w:p>
        </w:tc>
        <w:tc>
          <w:tcPr>
            <w:tcW w:w="12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1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03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142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0"/>
                <w:szCs w:val="20"/>
              </w:rPr>
            </w:pPr>
            <w:r>
              <w:rPr>
                <w:rFonts w:ascii="宋体" w:cs="Arial"/>
                <w:color w:val="000000"/>
                <w:kern w:val="0"/>
                <w:sz w:val="20"/>
                <w:szCs w:val="20"/>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13122" w:type="dxa"/>
            <w:gridSpan w:val="11"/>
            <w:tcBorders>
              <w:top w:val="nil"/>
              <w:left w:val="nil"/>
              <w:bottom w:val="nil"/>
              <w:right w:val="nil"/>
            </w:tcBorders>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注：本表反映部门本年度取得的各项收入情况。</w:t>
            </w:r>
          </w:p>
        </w:tc>
        <w:tc>
          <w:tcPr>
            <w:tcW w:w="236" w:type="dxa"/>
            <w:vAlign w:val="center"/>
          </w:tcPr>
          <w:p>
            <w:pPr>
              <w:widowControl/>
              <w:jc w:val="left"/>
              <w:rPr>
                <w:rFonts w:ascii="Times New Roman" w:hAnsi="Times New Roman"/>
                <w:kern w:val="0"/>
                <w:sz w:val="20"/>
                <w:szCs w:val="20"/>
              </w:rPr>
            </w:pPr>
          </w:p>
        </w:tc>
      </w:tr>
    </w:tbl>
    <w:p>
      <w:pPr>
        <w:widowControl/>
        <w:rPr>
          <w:rFonts w:ascii="Times New Roman" w:hAnsi="Times New Roman" w:eastAsia="方正小标宋_GBK"/>
          <w:color w:val="000000"/>
          <w:kern w:val="0"/>
          <w:sz w:val="32"/>
          <w:szCs w:val="32"/>
        </w:rPr>
      </w:pPr>
      <w:r>
        <w:rPr>
          <w:rFonts w:ascii="Times New Roman" w:hAnsi="Times New Roman" w:eastAsia="方正小标宋_GBK"/>
          <w:color w:val="000000"/>
          <w:kern w:val="0"/>
          <w:sz w:val="36"/>
          <w:szCs w:val="21"/>
        </w:rPr>
        <w:t xml:space="preserve">                                       </w:t>
      </w:r>
      <w:r>
        <w:rPr>
          <w:rFonts w:hint="eastAsia" w:ascii="Times New Roman" w:hAnsi="Times New Roman" w:eastAsia="方正小标宋_GBK"/>
          <w:color w:val="000000"/>
          <w:kern w:val="0"/>
          <w:sz w:val="32"/>
          <w:szCs w:val="32"/>
        </w:rPr>
        <w:t>支出决算表</w:t>
      </w:r>
    </w:p>
    <w:tbl>
      <w:tblPr>
        <w:tblStyle w:val="5"/>
        <w:tblW w:w="13819" w:type="dxa"/>
        <w:tblInd w:w="0" w:type="dxa"/>
        <w:tblLayout w:type="fixed"/>
        <w:tblCellMar>
          <w:top w:w="0" w:type="dxa"/>
          <w:left w:w="108" w:type="dxa"/>
          <w:bottom w:w="0" w:type="dxa"/>
          <w:right w:w="108" w:type="dxa"/>
        </w:tblCellMar>
      </w:tblPr>
      <w:tblGrid>
        <w:gridCol w:w="329"/>
        <w:gridCol w:w="329"/>
        <w:gridCol w:w="329"/>
        <w:gridCol w:w="4205"/>
        <w:gridCol w:w="1478"/>
        <w:gridCol w:w="1419"/>
        <w:gridCol w:w="1438"/>
        <w:gridCol w:w="1299"/>
        <w:gridCol w:w="1279"/>
        <w:gridCol w:w="1478"/>
        <w:gridCol w:w="236"/>
      </w:tblGrid>
      <w:tr>
        <w:tblPrEx>
          <w:tblCellMar>
            <w:top w:w="0" w:type="dxa"/>
            <w:left w:w="108" w:type="dxa"/>
            <w:bottom w:w="0" w:type="dxa"/>
            <w:right w:w="108" w:type="dxa"/>
          </w:tblCellMar>
        </w:tblPrEx>
        <w:trPr>
          <w:gridAfter w:val="1"/>
          <w:wAfter w:w="236" w:type="dxa"/>
          <w:trHeight w:val="258" w:hRule="atLeast"/>
        </w:trPr>
        <w:tc>
          <w:tcPr>
            <w:tcW w:w="329" w:type="dxa"/>
            <w:tcBorders>
              <w:top w:val="nil"/>
              <w:left w:val="nil"/>
              <w:bottom w:val="nil"/>
              <w:right w:val="nil"/>
            </w:tcBorders>
            <w:noWrap/>
            <w:vAlign w:val="bottom"/>
          </w:tcPr>
          <w:p>
            <w:pPr>
              <w:widowControl/>
              <w:jc w:val="left"/>
              <w:rPr>
                <w:rFonts w:ascii="宋体" w:cs="宋体"/>
                <w:kern w:val="0"/>
                <w:sz w:val="24"/>
                <w:szCs w:val="24"/>
              </w:rPr>
            </w:pPr>
          </w:p>
        </w:tc>
        <w:tc>
          <w:tcPr>
            <w:tcW w:w="32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32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4205"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478"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41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438"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9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7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478"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公开</w:t>
            </w:r>
            <w:r>
              <w:rPr>
                <w:rFonts w:ascii="宋体" w:hAnsi="宋体" w:cs="Arial"/>
                <w:color w:val="000000"/>
                <w:kern w:val="0"/>
                <w:sz w:val="20"/>
                <w:szCs w:val="20"/>
              </w:rPr>
              <w:t>03</w:t>
            </w:r>
            <w:r>
              <w:rPr>
                <w:rFonts w:hint="eastAsia" w:ascii="宋体" w:hAnsi="宋体" w:cs="Arial"/>
                <w:color w:val="000000"/>
                <w:kern w:val="0"/>
                <w:sz w:val="20"/>
                <w:szCs w:val="20"/>
              </w:rPr>
              <w:t>表</w:t>
            </w:r>
          </w:p>
        </w:tc>
      </w:tr>
      <w:tr>
        <w:tblPrEx>
          <w:tblCellMar>
            <w:top w:w="0" w:type="dxa"/>
            <w:left w:w="108" w:type="dxa"/>
            <w:bottom w:w="0" w:type="dxa"/>
            <w:right w:w="108" w:type="dxa"/>
          </w:tblCellMar>
        </w:tblPrEx>
        <w:trPr>
          <w:gridAfter w:val="1"/>
          <w:wAfter w:w="236" w:type="dxa"/>
          <w:trHeight w:val="258" w:hRule="atLeast"/>
        </w:trPr>
        <w:tc>
          <w:tcPr>
            <w:tcW w:w="5192" w:type="dxa"/>
            <w:gridSpan w:val="4"/>
            <w:tcBorders>
              <w:top w:val="nil"/>
              <w:left w:val="nil"/>
              <w:bottom w:val="nil"/>
              <w:right w:val="nil"/>
            </w:tcBorders>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部门：岳阳市建设工程质量安全监督站</w:t>
            </w:r>
          </w:p>
        </w:tc>
        <w:tc>
          <w:tcPr>
            <w:tcW w:w="1478" w:type="dxa"/>
            <w:tcBorders>
              <w:top w:val="nil"/>
              <w:left w:val="nil"/>
              <w:bottom w:val="nil"/>
              <w:right w:val="nil"/>
            </w:tcBorders>
            <w:noWrap/>
            <w:vAlign w:val="bottom"/>
          </w:tcPr>
          <w:p>
            <w:pPr>
              <w:widowControl/>
              <w:jc w:val="left"/>
              <w:rPr>
                <w:rFonts w:ascii="宋体" w:cs="Arial"/>
                <w:color w:val="000000"/>
                <w:kern w:val="0"/>
                <w:sz w:val="20"/>
                <w:szCs w:val="20"/>
              </w:rPr>
            </w:pPr>
          </w:p>
        </w:tc>
        <w:tc>
          <w:tcPr>
            <w:tcW w:w="141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438"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9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7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478"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1"/>
          <w:wAfter w:w="236" w:type="dxa"/>
          <w:trHeight w:val="269" w:hRule="atLeast"/>
        </w:trPr>
        <w:tc>
          <w:tcPr>
            <w:tcW w:w="5192" w:type="dxa"/>
            <w:gridSpan w:val="4"/>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1478"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本年支出合计</w:t>
            </w:r>
          </w:p>
        </w:tc>
        <w:tc>
          <w:tcPr>
            <w:tcW w:w="141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基本支出</w:t>
            </w:r>
          </w:p>
        </w:tc>
        <w:tc>
          <w:tcPr>
            <w:tcW w:w="1438"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项目支出</w:t>
            </w:r>
          </w:p>
        </w:tc>
        <w:tc>
          <w:tcPr>
            <w:tcW w:w="129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上缴上级支出</w:t>
            </w:r>
          </w:p>
        </w:tc>
        <w:tc>
          <w:tcPr>
            <w:tcW w:w="1279"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经营支出</w:t>
            </w:r>
          </w:p>
        </w:tc>
        <w:tc>
          <w:tcPr>
            <w:tcW w:w="1478" w:type="dxa"/>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对附属单位补助支出</w:t>
            </w:r>
          </w:p>
        </w:tc>
      </w:tr>
      <w:tr>
        <w:tblPrEx>
          <w:tblCellMar>
            <w:top w:w="0" w:type="dxa"/>
            <w:left w:w="108" w:type="dxa"/>
            <w:bottom w:w="0" w:type="dxa"/>
            <w:right w:w="108" w:type="dxa"/>
          </w:tblCellMar>
        </w:tblPrEx>
        <w:trPr>
          <w:gridAfter w:val="1"/>
          <w:wAfter w:w="236" w:type="dxa"/>
          <w:trHeight w:val="312" w:hRule="atLeast"/>
        </w:trPr>
        <w:tc>
          <w:tcPr>
            <w:tcW w:w="987"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功能分类科目编码</w:t>
            </w:r>
          </w:p>
        </w:tc>
        <w:tc>
          <w:tcPr>
            <w:tcW w:w="4205"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147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1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3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29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27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7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r>
      <w:tr>
        <w:tblPrEx>
          <w:tblCellMar>
            <w:top w:w="0" w:type="dxa"/>
            <w:left w:w="108" w:type="dxa"/>
            <w:bottom w:w="0" w:type="dxa"/>
            <w:right w:w="108" w:type="dxa"/>
          </w:tblCellMar>
        </w:tblPrEx>
        <w:trPr>
          <w:trHeight w:val="269" w:hRule="atLeast"/>
        </w:trPr>
        <w:tc>
          <w:tcPr>
            <w:tcW w:w="987"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4205"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7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1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3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29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27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7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 w:type="dxa"/>
            <w:tcBorders>
              <w:top w:val="nil"/>
              <w:left w:val="nil"/>
              <w:bottom w:val="nil"/>
              <w:right w:val="nil"/>
            </w:tcBorders>
            <w:noWrap/>
            <w:vAlign w:val="bottom"/>
          </w:tcPr>
          <w:p>
            <w:pPr>
              <w:widowControl/>
              <w:jc w:val="center"/>
              <w:rPr>
                <w:rFonts w:ascii="宋体" w:cs="Arial"/>
                <w:color w:val="000000"/>
                <w:kern w:val="0"/>
                <w:sz w:val="22"/>
              </w:rPr>
            </w:pPr>
          </w:p>
        </w:tc>
      </w:tr>
      <w:tr>
        <w:tblPrEx>
          <w:tblCellMar>
            <w:top w:w="0" w:type="dxa"/>
            <w:left w:w="108" w:type="dxa"/>
            <w:bottom w:w="0" w:type="dxa"/>
            <w:right w:w="108" w:type="dxa"/>
          </w:tblCellMar>
        </w:tblPrEx>
        <w:trPr>
          <w:trHeight w:val="269" w:hRule="atLeast"/>
        </w:trPr>
        <w:tc>
          <w:tcPr>
            <w:tcW w:w="987"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4205"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7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1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3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29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279"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78" w:type="dxa"/>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 w:type="dxa"/>
            <w:tcBorders>
              <w:top w:val="nil"/>
              <w:left w:val="nil"/>
              <w:bottom w:val="nil"/>
              <w:right w:val="nil"/>
            </w:tcBorders>
            <w:noWrap/>
            <w:vAlign w:val="bottom"/>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5192"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1478"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419"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438"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299"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279"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5</w:t>
            </w:r>
          </w:p>
        </w:tc>
        <w:tc>
          <w:tcPr>
            <w:tcW w:w="1478"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6</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5192" w:type="dxa"/>
            <w:gridSpan w:val="4"/>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hAnsi="宋体" w:cs="Arial"/>
                <w:b/>
                <w:bCs/>
                <w:color w:val="000000"/>
                <w:kern w:val="0"/>
                <w:sz w:val="22"/>
              </w:rPr>
              <w:t>1,116.03</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hAnsi="宋体" w:cs="Arial"/>
                <w:b/>
                <w:bCs/>
                <w:color w:val="000000"/>
                <w:kern w:val="0"/>
                <w:sz w:val="22"/>
              </w:rPr>
              <w:t>820.73</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hAnsi="宋体" w:cs="Arial"/>
                <w:b/>
                <w:bCs/>
                <w:color w:val="000000"/>
                <w:kern w:val="0"/>
                <w:sz w:val="22"/>
              </w:rPr>
              <w:t>295.30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社会保障和就业支出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60.83</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60.83</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20805</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行政事业单位养老支出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56.55</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56.55</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2080505</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机关事业单位基本养老保险缴费支出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56.55</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56.55</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20811</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残疾人事业</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4.28</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4.28</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2081199</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其他残疾人事业支出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4.28</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4.28</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210</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卫生健康支出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21011</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行政事业单位医疗</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2101102</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事业单位医疗</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城乡社区支出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578.05</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320.03</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258.02</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21202</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城乡社区规划与管理</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57.00</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2120201</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城乡社区规划与管理</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57.00</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21208</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国有土地使用权出让收入安排的支出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2120899</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其他国有土地使用权出让收入安排的支出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21299</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其他城乡社区支出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481.05</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320.03</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161.02</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2129901</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其他城乡社区支出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481.05</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320.03</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161.02</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215</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资源勘探工业信息等支出</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450.99</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413.71</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37.28</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21503</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建筑业</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450.99</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413.71</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37.28</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2150301</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行政运行</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413.71</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413.71</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98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2150302</w:t>
            </w:r>
          </w:p>
        </w:tc>
        <w:tc>
          <w:tcPr>
            <w:tcW w:w="420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一般行政管理事务</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37.28</w:t>
            </w:r>
          </w:p>
        </w:tc>
        <w:tc>
          <w:tcPr>
            <w:tcW w:w="141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37.28</w:t>
            </w:r>
          </w:p>
        </w:tc>
        <w:tc>
          <w:tcPr>
            <w:tcW w:w="129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79"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47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269" w:hRule="atLeast"/>
        </w:trPr>
        <w:tc>
          <w:tcPr>
            <w:tcW w:w="13583" w:type="dxa"/>
            <w:gridSpan w:val="10"/>
            <w:tcBorders>
              <w:top w:val="nil"/>
              <w:left w:val="nil"/>
              <w:bottom w:val="nil"/>
              <w:right w:val="nil"/>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注：本表反映部门本年度各项支出情况。</w:t>
            </w:r>
          </w:p>
        </w:tc>
        <w:tc>
          <w:tcPr>
            <w:tcW w:w="236" w:type="dxa"/>
            <w:vAlign w:val="center"/>
          </w:tcPr>
          <w:p>
            <w:pPr>
              <w:widowControl/>
              <w:jc w:val="left"/>
              <w:rPr>
                <w:rFonts w:ascii="Times New Roman" w:hAnsi="Times New Roman"/>
                <w:kern w:val="0"/>
                <w:sz w:val="20"/>
                <w:szCs w:val="20"/>
              </w:rPr>
            </w:pPr>
          </w:p>
        </w:tc>
      </w:tr>
    </w:tbl>
    <w:p>
      <w:pPr>
        <w:widowControl/>
        <w:rPr>
          <w:rFonts w:ascii="Times New Roman" w:hAnsi="Times New Roman" w:eastAsia="方正小标宋_GBK"/>
          <w:color w:val="000000"/>
          <w:kern w:val="0"/>
          <w:sz w:val="36"/>
          <w:szCs w:val="21"/>
        </w:rPr>
      </w:pPr>
    </w:p>
    <w:tbl>
      <w:tblPr>
        <w:tblStyle w:val="5"/>
        <w:tblW w:w="15527" w:type="dxa"/>
        <w:tblInd w:w="93" w:type="dxa"/>
        <w:tblLayout w:type="fixed"/>
        <w:tblCellMar>
          <w:top w:w="0" w:type="dxa"/>
          <w:left w:w="108" w:type="dxa"/>
          <w:bottom w:w="0" w:type="dxa"/>
          <w:right w:w="108" w:type="dxa"/>
        </w:tblCellMar>
      </w:tblPr>
      <w:tblGrid>
        <w:gridCol w:w="15"/>
        <w:gridCol w:w="2957"/>
        <w:gridCol w:w="520"/>
        <w:gridCol w:w="99"/>
        <w:gridCol w:w="436"/>
        <w:gridCol w:w="984"/>
        <w:gridCol w:w="93"/>
        <w:gridCol w:w="3234"/>
        <w:gridCol w:w="520"/>
        <w:gridCol w:w="286"/>
        <w:gridCol w:w="435"/>
        <w:gridCol w:w="798"/>
        <w:gridCol w:w="773"/>
        <w:gridCol w:w="745"/>
        <w:gridCol w:w="647"/>
        <w:gridCol w:w="871"/>
        <w:gridCol w:w="522"/>
        <w:gridCol w:w="1117"/>
        <w:gridCol w:w="236"/>
        <w:gridCol w:w="239"/>
      </w:tblGrid>
      <w:tr>
        <w:tblPrEx>
          <w:tblCellMar>
            <w:top w:w="0" w:type="dxa"/>
            <w:left w:w="108" w:type="dxa"/>
            <w:bottom w:w="0" w:type="dxa"/>
            <w:right w:w="108" w:type="dxa"/>
          </w:tblCellMar>
        </w:tblPrEx>
        <w:trPr>
          <w:trHeight w:val="360" w:hRule="atLeast"/>
        </w:trPr>
        <w:tc>
          <w:tcPr>
            <w:tcW w:w="15527" w:type="dxa"/>
            <w:gridSpan w:val="20"/>
            <w:tcBorders>
              <w:top w:val="nil"/>
              <w:left w:val="nil"/>
              <w:bottom w:val="nil"/>
              <w:right w:val="nil"/>
            </w:tcBorders>
            <w:noWrap/>
            <w:vAlign w:val="center"/>
          </w:tcPr>
          <w:p>
            <w:pPr>
              <w:widowControl/>
              <w:ind w:firstLine="5280" w:firstLineChars="1650"/>
              <w:rPr>
                <w:rFonts w:ascii="华文中宋" w:hAnsi="华文中宋" w:eastAsia="华文中宋" w:cs="宋体"/>
                <w:color w:val="000000"/>
                <w:kern w:val="0"/>
                <w:sz w:val="32"/>
                <w:szCs w:val="32"/>
              </w:rPr>
            </w:pPr>
            <w:bookmarkStart w:id="0" w:name="RANGE!A1:I22"/>
            <w:bookmarkEnd w:id="0"/>
            <w:bookmarkStart w:id="1" w:name="RANGE!A1:F16"/>
            <w:bookmarkEnd w:id="1"/>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1" w:type="dxa"/>
            <w:gridSpan w:val="4"/>
            <w:tcBorders>
              <w:top w:val="nil"/>
              <w:left w:val="nil"/>
              <w:bottom w:val="nil"/>
              <w:right w:val="nil"/>
            </w:tcBorders>
            <w:shd w:val="clear" w:color="000000" w:fill="FFFFFF"/>
            <w:noWrap/>
            <w:vAlign w:val="center"/>
          </w:tcPr>
          <w:p>
            <w:pPr>
              <w:widowControl/>
              <w:jc w:val="right"/>
              <w:rPr>
                <w:rFonts w:ascii="宋体" w:cs="宋体"/>
                <w:kern w:val="0"/>
                <w:sz w:val="24"/>
                <w:szCs w:val="24"/>
              </w:rPr>
            </w:pPr>
            <w:r>
              <w:rPr>
                <w:rFonts w:hint="eastAsia" w:ascii="宋体" w:hAnsi="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cs="宋体"/>
                <w:kern w:val="0"/>
                <w:sz w:val="24"/>
                <w:szCs w:val="24"/>
              </w:rPr>
            </w:pPr>
            <w:r>
              <w:rPr>
                <w:rFonts w:hint="eastAsia" w:ascii="宋体" w:hAnsi="宋体" w:cs="宋体"/>
                <w:kern w:val="0"/>
                <w:sz w:val="24"/>
                <w:szCs w:val="24"/>
              </w:rPr>
              <w:t>　</w:t>
            </w:r>
          </w:p>
        </w:tc>
        <w:tc>
          <w:tcPr>
            <w:tcW w:w="1077" w:type="dxa"/>
            <w:gridSpan w:val="2"/>
            <w:tcBorders>
              <w:top w:val="nil"/>
              <w:left w:val="nil"/>
              <w:bottom w:val="nil"/>
              <w:right w:val="nil"/>
            </w:tcBorders>
            <w:shd w:val="clear" w:color="000000" w:fill="FFFFFF"/>
            <w:noWrap/>
            <w:vAlign w:val="center"/>
          </w:tcPr>
          <w:p>
            <w:pPr>
              <w:widowControl/>
              <w:jc w:val="right"/>
              <w:rPr>
                <w:rFonts w:ascii="宋体" w:cs="宋体"/>
                <w:kern w:val="0"/>
                <w:sz w:val="24"/>
                <w:szCs w:val="24"/>
              </w:rPr>
            </w:pPr>
            <w:r>
              <w:rPr>
                <w:rFonts w:hint="eastAsia" w:ascii="宋体" w:hAnsi="宋体" w:cs="宋体"/>
                <w:kern w:val="0"/>
                <w:sz w:val="24"/>
                <w:szCs w:val="24"/>
              </w:rPr>
              <w:t>　</w:t>
            </w:r>
          </w:p>
        </w:tc>
        <w:tc>
          <w:tcPr>
            <w:tcW w:w="4040" w:type="dxa"/>
            <w:gridSpan w:val="3"/>
            <w:tcBorders>
              <w:top w:val="nil"/>
              <w:left w:val="nil"/>
              <w:bottom w:val="nil"/>
              <w:right w:val="nil"/>
            </w:tcBorders>
            <w:shd w:val="clear" w:color="000000" w:fill="FFFFFF"/>
            <w:noWrap/>
            <w:vAlign w:val="center"/>
          </w:tcPr>
          <w:p>
            <w:pPr>
              <w:widowControl/>
              <w:jc w:val="right"/>
              <w:rPr>
                <w:rFonts w:ascii="宋体" w:cs="宋体"/>
                <w:kern w:val="0"/>
                <w:sz w:val="24"/>
                <w:szCs w:val="24"/>
              </w:rPr>
            </w:pPr>
            <w:r>
              <w:rPr>
                <w:rFonts w:hint="eastAsia" w:ascii="宋体" w:hAnsi="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cs="宋体"/>
                <w:kern w:val="0"/>
                <w:sz w:val="24"/>
                <w:szCs w:val="24"/>
              </w:rPr>
            </w:pPr>
            <w:r>
              <w:rPr>
                <w:rFonts w:hint="eastAsia" w:ascii="宋体" w:hAnsi="宋体" w:cs="宋体"/>
                <w:kern w:val="0"/>
                <w:sz w:val="24"/>
                <w:szCs w:val="24"/>
              </w:rPr>
              <w:t>　</w:t>
            </w:r>
          </w:p>
        </w:tc>
        <w:tc>
          <w:tcPr>
            <w:tcW w:w="1571" w:type="dxa"/>
            <w:gridSpan w:val="2"/>
            <w:tcBorders>
              <w:top w:val="nil"/>
              <w:left w:val="nil"/>
              <w:bottom w:val="nil"/>
              <w:right w:val="nil"/>
            </w:tcBorders>
            <w:shd w:val="clear" w:color="000000" w:fill="FFFFFF"/>
            <w:noWrap/>
            <w:vAlign w:val="center"/>
          </w:tcPr>
          <w:p>
            <w:pPr>
              <w:widowControl/>
              <w:jc w:val="right"/>
              <w:rPr>
                <w:rFonts w:ascii="宋体" w:cs="宋体"/>
                <w:kern w:val="0"/>
                <w:sz w:val="24"/>
                <w:szCs w:val="24"/>
              </w:rPr>
            </w:pPr>
            <w:r>
              <w:rPr>
                <w:rFonts w:hint="eastAsia" w:ascii="宋体" w:hAnsi="宋体" w:cs="宋体"/>
                <w:kern w:val="0"/>
                <w:sz w:val="24"/>
                <w:szCs w:val="24"/>
              </w:rPr>
              <w:t>　</w:t>
            </w:r>
          </w:p>
        </w:tc>
        <w:tc>
          <w:tcPr>
            <w:tcW w:w="1392" w:type="dxa"/>
            <w:gridSpan w:val="2"/>
            <w:tcBorders>
              <w:top w:val="nil"/>
              <w:left w:val="nil"/>
              <w:bottom w:val="nil"/>
              <w:right w:val="nil"/>
            </w:tcBorders>
            <w:shd w:val="clear" w:color="000000" w:fill="FFFFFF"/>
            <w:noWrap/>
            <w:vAlign w:val="center"/>
          </w:tcPr>
          <w:p>
            <w:pPr>
              <w:widowControl/>
              <w:jc w:val="right"/>
              <w:rPr>
                <w:rFonts w:ascii="宋体" w:cs="宋体"/>
                <w:kern w:val="0"/>
                <w:sz w:val="24"/>
                <w:szCs w:val="24"/>
              </w:rPr>
            </w:pPr>
            <w:r>
              <w:rPr>
                <w:rFonts w:hint="eastAsia" w:ascii="宋体" w:hAnsi="宋体" w:cs="宋体"/>
                <w:kern w:val="0"/>
                <w:sz w:val="24"/>
                <w:szCs w:val="24"/>
              </w:rPr>
              <w:t>　</w:t>
            </w:r>
          </w:p>
        </w:tc>
        <w:tc>
          <w:tcPr>
            <w:tcW w:w="1393" w:type="dxa"/>
            <w:gridSpan w:val="2"/>
            <w:tcBorders>
              <w:top w:val="nil"/>
              <w:left w:val="nil"/>
              <w:bottom w:val="nil"/>
              <w:right w:val="nil"/>
            </w:tcBorders>
            <w:shd w:val="clear" w:color="000000" w:fill="FFFFFF"/>
            <w:noWrap/>
            <w:vAlign w:val="center"/>
          </w:tcPr>
          <w:p>
            <w:pPr>
              <w:widowControl/>
              <w:jc w:val="right"/>
              <w:rPr>
                <w:rFonts w:ascii="宋体" w:cs="宋体"/>
                <w:kern w:val="0"/>
                <w:sz w:val="24"/>
                <w:szCs w:val="24"/>
              </w:rPr>
            </w:pPr>
            <w:r>
              <w:rPr>
                <w:rFonts w:hint="eastAsia" w:ascii="宋体" w:hAnsi="宋体" w:cs="宋体"/>
                <w:kern w:val="0"/>
                <w:sz w:val="24"/>
                <w:szCs w:val="24"/>
              </w:rPr>
              <w:t>　</w:t>
            </w:r>
          </w:p>
        </w:tc>
        <w:tc>
          <w:tcPr>
            <w:tcW w:w="1592" w:type="dxa"/>
            <w:gridSpan w:val="3"/>
            <w:tcBorders>
              <w:top w:val="nil"/>
              <w:left w:val="nil"/>
              <w:bottom w:val="nil"/>
              <w:right w:val="nil"/>
            </w:tcBorders>
            <w:shd w:val="clear" w:color="000000" w:fill="FFFFFF"/>
            <w:noWrap/>
            <w:vAlign w:val="center"/>
          </w:tcPr>
          <w:p>
            <w:pPr>
              <w:widowControl/>
              <w:jc w:val="right"/>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04</w:t>
            </w:r>
            <w:r>
              <w:rPr>
                <w:rFonts w:hint="eastAsia" w:ascii="宋体" w:hAnsi="宋体" w:cs="宋体"/>
                <w:color w:val="000000"/>
                <w:kern w:val="0"/>
                <w:sz w:val="20"/>
                <w:szCs w:val="20"/>
              </w:rPr>
              <w:t>表</w:t>
            </w:r>
          </w:p>
        </w:tc>
      </w:tr>
      <w:tr>
        <w:tblPrEx>
          <w:tblCellMar>
            <w:top w:w="0" w:type="dxa"/>
            <w:left w:w="108" w:type="dxa"/>
            <w:bottom w:w="0" w:type="dxa"/>
            <w:right w:w="108" w:type="dxa"/>
          </w:tblCellMar>
        </w:tblPrEx>
        <w:trPr>
          <w:gridBefore w:val="1"/>
          <w:gridAfter w:val="2"/>
          <w:wBefore w:w="15" w:type="dxa"/>
          <w:wAfter w:w="475" w:type="dxa"/>
          <w:trHeight w:val="258" w:hRule="atLeast"/>
        </w:trPr>
        <w:tc>
          <w:tcPr>
            <w:tcW w:w="4996" w:type="dxa"/>
            <w:gridSpan w:val="5"/>
            <w:tcBorders>
              <w:top w:val="nil"/>
              <w:left w:val="nil"/>
              <w:bottom w:val="nil"/>
              <w:right w:val="nil"/>
            </w:tcBorders>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部门：岳阳市建设工程质量安全监督站</w:t>
            </w:r>
          </w:p>
        </w:tc>
        <w:tc>
          <w:tcPr>
            <w:tcW w:w="3327" w:type="dxa"/>
            <w:gridSpan w:val="2"/>
            <w:tcBorders>
              <w:top w:val="nil"/>
              <w:left w:val="nil"/>
              <w:bottom w:val="nil"/>
              <w:right w:val="nil"/>
            </w:tcBorders>
            <w:noWrap/>
            <w:vAlign w:val="bottom"/>
          </w:tcPr>
          <w:p>
            <w:pPr>
              <w:widowControl/>
              <w:jc w:val="left"/>
              <w:rPr>
                <w:rFonts w:ascii="宋体" w:cs="Arial"/>
                <w:color w:val="000000"/>
                <w:kern w:val="0"/>
                <w:sz w:val="20"/>
                <w:szCs w:val="20"/>
              </w:rPr>
            </w:pPr>
          </w:p>
        </w:tc>
        <w:tc>
          <w:tcPr>
            <w:tcW w:w="52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519" w:type="dxa"/>
            <w:gridSpan w:val="3"/>
            <w:tcBorders>
              <w:top w:val="nil"/>
              <w:left w:val="nil"/>
              <w:bottom w:val="nil"/>
              <w:right w:val="nil"/>
            </w:tcBorders>
            <w:noWrap/>
            <w:vAlign w:val="bottom"/>
          </w:tcPr>
          <w:p>
            <w:pPr>
              <w:widowControl/>
              <w:jc w:val="left"/>
              <w:rPr>
                <w:rFonts w:ascii="Times New Roman" w:hAnsi="Times New Roman"/>
                <w:kern w:val="0"/>
                <w:sz w:val="20"/>
                <w:szCs w:val="20"/>
              </w:rPr>
            </w:pPr>
          </w:p>
        </w:tc>
        <w:tc>
          <w:tcPr>
            <w:tcW w:w="1518"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1518"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1639" w:type="dxa"/>
            <w:gridSpan w:val="2"/>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Before w:val="1"/>
          <w:gridAfter w:val="2"/>
          <w:wBefore w:w="15" w:type="dxa"/>
          <w:wAfter w:w="475" w:type="dxa"/>
          <w:trHeight w:val="269" w:hRule="atLeast"/>
        </w:trPr>
        <w:tc>
          <w:tcPr>
            <w:tcW w:w="4996" w:type="dxa"/>
            <w:gridSpan w:val="5"/>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收</w:t>
            </w:r>
            <w:r>
              <w:rPr>
                <w:rFonts w:ascii="宋体" w:hAnsi="宋体" w:cs="Arial"/>
                <w:color w:val="000000"/>
                <w:kern w:val="0"/>
                <w:sz w:val="22"/>
              </w:rPr>
              <w:t xml:space="preserve">     </w:t>
            </w:r>
            <w:r>
              <w:rPr>
                <w:rFonts w:hint="eastAsia" w:ascii="宋体" w:hAnsi="宋体" w:cs="Arial"/>
                <w:color w:val="000000"/>
                <w:kern w:val="0"/>
                <w:sz w:val="22"/>
              </w:rPr>
              <w:t>入</w:t>
            </w:r>
          </w:p>
        </w:tc>
        <w:tc>
          <w:tcPr>
            <w:tcW w:w="10041" w:type="dxa"/>
            <w:gridSpan w:val="12"/>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支</w:t>
            </w:r>
            <w:r>
              <w:rPr>
                <w:rFonts w:ascii="宋体" w:hAnsi="宋体" w:cs="Arial"/>
                <w:color w:val="000000"/>
                <w:kern w:val="0"/>
                <w:sz w:val="22"/>
              </w:rPr>
              <w:t xml:space="preserve">     </w:t>
            </w:r>
            <w:r>
              <w:rPr>
                <w:rFonts w:hint="eastAsia" w:ascii="宋体" w:hAnsi="宋体" w:cs="Arial"/>
                <w:color w:val="000000"/>
                <w:kern w:val="0"/>
                <w:sz w:val="22"/>
              </w:rPr>
              <w:t>出</w:t>
            </w:r>
          </w:p>
        </w:tc>
      </w:tr>
      <w:tr>
        <w:tblPrEx>
          <w:tblCellMar>
            <w:top w:w="0" w:type="dxa"/>
            <w:left w:w="108" w:type="dxa"/>
            <w:bottom w:w="0" w:type="dxa"/>
            <w:right w:w="108" w:type="dxa"/>
          </w:tblCellMar>
        </w:tblPrEx>
        <w:trPr>
          <w:gridBefore w:val="1"/>
          <w:gridAfter w:val="2"/>
          <w:wBefore w:w="15" w:type="dxa"/>
          <w:wAfter w:w="475" w:type="dxa"/>
          <w:trHeight w:val="312" w:hRule="atLeast"/>
        </w:trPr>
        <w:tc>
          <w:tcPr>
            <w:tcW w:w="2957" w:type="dxa"/>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520"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行次</w:t>
            </w:r>
          </w:p>
        </w:tc>
        <w:tc>
          <w:tcPr>
            <w:tcW w:w="1519" w:type="dxa"/>
            <w:gridSpan w:val="3"/>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金额</w:t>
            </w:r>
          </w:p>
        </w:tc>
        <w:tc>
          <w:tcPr>
            <w:tcW w:w="3327" w:type="dxa"/>
            <w:gridSpan w:val="2"/>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520"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行次</w:t>
            </w:r>
          </w:p>
        </w:tc>
        <w:tc>
          <w:tcPr>
            <w:tcW w:w="1519" w:type="dxa"/>
            <w:gridSpan w:val="3"/>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518" w:type="dxa"/>
            <w:gridSpan w:val="2"/>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一般公共预算财政拨款</w:t>
            </w:r>
          </w:p>
        </w:tc>
        <w:tc>
          <w:tcPr>
            <w:tcW w:w="1518" w:type="dxa"/>
            <w:gridSpan w:val="2"/>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政府性基金预算财政拨款</w:t>
            </w:r>
          </w:p>
        </w:tc>
        <w:tc>
          <w:tcPr>
            <w:tcW w:w="1639" w:type="dxa"/>
            <w:gridSpan w:val="2"/>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国有资本经营预算财政拨款</w:t>
            </w:r>
          </w:p>
        </w:tc>
      </w:tr>
      <w:tr>
        <w:tblPrEx>
          <w:tblCellMar>
            <w:top w:w="0" w:type="dxa"/>
            <w:left w:w="108" w:type="dxa"/>
            <w:bottom w:w="0" w:type="dxa"/>
            <w:right w:w="108" w:type="dxa"/>
          </w:tblCellMar>
        </w:tblPrEx>
        <w:trPr>
          <w:gridBefore w:val="1"/>
          <w:gridAfter w:val="1"/>
          <w:wBefore w:w="15" w:type="dxa"/>
          <w:wAfter w:w="239" w:type="dxa"/>
          <w:trHeight w:val="534" w:hRule="atLeast"/>
        </w:trPr>
        <w:tc>
          <w:tcPr>
            <w:tcW w:w="29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52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19" w:type="dxa"/>
            <w:gridSpan w:val="3"/>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3327"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52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19" w:type="dxa"/>
            <w:gridSpan w:val="3"/>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18"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18"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639"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 w:type="dxa"/>
            <w:tcBorders>
              <w:top w:val="nil"/>
              <w:left w:val="nil"/>
              <w:bottom w:val="nil"/>
              <w:right w:val="nil"/>
            </w:tcBorders>
            <w:noWrap/>
            <w:vAlign w:val="bottom"/>
          </w:tcPr>
          <w:p>
            <w:pPr>
              <w:widowControl/>
              <w:jc w:val="center"/>
              <w:rPr>
                <w:rFonts w:ascii="宋体" w:cs="Arial"/>
                <w:color w:val="000000"/>
                <w:kern w:val="0"/>
                <w:sz w:val="22"/>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　</w:t>
            </w:r>
          </w:p>
        </w:tc>
        <w:tc>
          <w:tcPr>
            <w:tcW w:w="1519" w:type="dxa"/>
            <w:gridSpan w:val="3"/>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　</w:t>
            </w:r>
          </w:p>
        </w:tc>
        <w:tc>
          <w:tcPr>
            <w:tcW w:w="1519" w:type="dxa"/>
            <w:gridSpan w:val="3"/>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518"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518"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639"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一、一般公共预算财政拨款</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715.59</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一、一般公共服务支出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33</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二、政府性基金预算财政拨款</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二、外交支出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34</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三、国有资本经营财政拨款</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三、国防支出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35</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四、公共安全支出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36</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五、教育支出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37</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六、科学技术支出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38</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7</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七、文化旅游体育与传媒支出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39</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8</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八、社会保障和就业支出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40</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60.83</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60.83</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9</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九、卫生健康支出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41</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10</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十、节能环保支出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42</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11</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十一、城乡社区支出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43</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275.03</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235.03</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12</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十二、农林水支出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44</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13</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十三、交通运输支出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45</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14</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十四、资源勘探工业信息等支出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46</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450.99</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450.99</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15</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十五、商业服务业等支出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47</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16</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十六、金融支出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48</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17</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十七、援助其他地区支出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49</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18</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十八、自然资源海洋气象等支出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50</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19</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十九、住房保障支出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51</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20</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二十、粮油物资储备支出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52</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21</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二十一、国有资本经营预算支出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53</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22</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二十二、灾害防治及应急管理支出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54</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23</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二十三、其他支出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55</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0"/>
                <w:szCs w:val="20"/>
              </w:rPr>
            </w:pPr>
            <w:r>
              <w:rPr>
                <w:rFonts w:hint="eastAsia" w:ascii="宋体" w:hAnsi="宋体" w:cs="Arial"/>
                <w:b/>
                <w:bCs/>
                <w:color w:val="000000"/>
                <w:kern w:val="0"/>
                <w:sz w:val="20"/>
                <w:szCs w:val="20"/>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24</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二十四、债务还本支出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56</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25</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二十五、债务付息支出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57</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0"/>
                <w:szCs w:val="20"/>
              </w:rPr>
            </w:pPr>
            <w:r>
              <w:rPr>
                <w:rFonts w:hint="eastAsia" w:ascii="宋体" w:hAnsi="宋体" w:cs="Arial"/>
                <w:color w:val="000000"/>
                <w:kern w:val="0"/>
                <w:sz w:val="20"/>
                <w:szCs w:val="20"/>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26</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二十六、抗疫特别国债安排的支出</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58</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本年收入合计</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27</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755.59</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本年支出合计</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59</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813.00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773.00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年初财政拨款结转和结余</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28</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116.80</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年末财政拨款结转和结余</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60</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59.39</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59.39</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一般公共预算财政拨款</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29</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116.80</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61</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政府性基金预算财政拨款</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30</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62</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国有资本经营预算财政拨款</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31</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63</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2957"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总计</w:t>
            </w:r>
          </w:p>
        </w:tc>
        <w:tc>
          <w:tcPr>
            <w:tcW w:w="520" w:type="dxa"/>
            <w:tcBorders>
              <w:top w:val="nil"/>
              <w:left w:val="nil"/>
              <w:bottom w:val="single" w:color="000000" w:sz="8"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32</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872.39</w:t>
            </w:r>
          </w:p>
        </w:tc>
        <w:tc>
          <w:tcPr>
            <w:tcW w:w="3327"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b/>
                <w:bCs/>
                <w:color w:val="000000"/>
                <w:kern w:val="0"/>
                <w:sz w:val="22"/>
              </w:rPr>
            </w:pPr>
            <w:r>
              <w:rPr>
                <w:rFonts w:hint="eastAsia" w:ascii="宋体" w:hAnsi="宋体" w:cs="Arial"/>
                <w:b/>
                <w:bCs/>
                <w:color w:val="000000"/>
                <w:kern w:val="0"/>
                <w:sz w:val="22"/>
              </w:rPr>
              <w:t>总计</w:t>
            </w:r>
          </w:p>
        </w:tc>
        <w:tc>
          <w:tcPr>
            <w:tcW w:w="52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64</w:t>
            </w:r>
          </w:p>
        </w:tc>
        <w:tc>
          <w:tcPr>
            <w:tcW w:w="151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872.39</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832.39</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63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Before w:val="1"/>
          <w:gridAfter w:val="1"/>
          <w:wBefore w:w="15" w:type="dxa"/>
          <w:wAfter w:w="239" w:type="dxa"/>
          <w:trHeight w:val="269" w:hRule="atLeast"/>
        </w:trPr>
        <w:tc>
          <w:tcPr>
            <w:tcW w:w="13398" w:type="dxa"/>
            <w:gridSpan w:val="15"/>
            <w:tcBorders>
              <w:top w:val="nil"/>
              <w:left w:val="nil"/>
              <w:bottom w:val="nil"/>
              <w:right w:val="nil"/>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注：本表反映部门本年度一般公共预算财政拨款、政府性基金预算财政拨款和国有资本经营预算财政拨款的总收支和年末结转结余情况。</w:t>
            </w:r>
          </w:p>
        </w:tc>
        <w:tc>
          <w:tcPr>
            <w:tcW w:w="1639" w:type="dxa"/>
            <w:gridSpan w:val="2"/>
            <w:tcBorders>
              <w:top w:val="nil"/>
              <w:left w:val="nil"/>
              <w:bottom w:val="nil"/>
              <w:right w:val="nil"/>
            </w:tcBorders>
            <w:noWrap/>
            <w:vAlign w:val="center"/>
          </w:tcPr>
          <w:p>
            <w:pPr>
              <w:widowControl/>
              <w:jc w:val="left"/>
              <w:rPr>
                <w:rFonts w:ascii="宋体" w:cs="Arial"/>
                <w:color w:val="000000"/>
                <w:kern w:val="0"/>
                <w:sz w:val="22"/>
              </w:rPr>
            </w:pPr>
          </w:p>
        </w:tc>
        <w:tc>
          <w:tcPr>
            <w:tcW w:w="236" w:type="dxa"/>
            <w:vAlign w:val="center"/>
          </w:tcPr>
          <w:p>
            <w:pPr>
              <w:widowControl/>
              <w:jc w:val="left"/>
              <w:rPr>
                <w:rFonts w:ascii="Times New Roman" w:hAnsi="Times New Roman"/>
                <w:kern w:val="0"/>
                <w:sz w:val="20"/>
                <w:szCs w:val="20"/>
              </w:rPr>
            </w:pPr>
          </w:p>
        </w:tc>
      </w:tr>
    </w:tbl>
    <w:p>
      <w:pPr>
        <w:widowControl/>
        <w:rPr>
          <w:rFonts w:ascii="Times New Roman" w:hAnsi="Times New Roman" w:eastAsia="方正小标宋_GBK"/>
          <w:kern w:val="0"/>
          <w:sz w:val="36"/>
          <w:szCs w:val="36"/>
        </w:rPr>
      </w:pPr>
    </w:p>
    <w:p>
      <w:pPr>
        <w:widowControl/>
        <w:jc w:val="center"/>
        <w:rPr>
          <w:rFonts w:ascii="Times New Roman" w:hAnsi="Times New Roman" w:eastAsia="方正小标宋_GBK"/>
          <w:kern w:val="0"/>
          <w:sz w:val="36"/>
          <w:szCs w:val="36"/>
        </w:rPr>
      </w:pPr>
    </w:p>
    <w:p>
      <w:pPr>
        <w:widowControl/>
        <w:jc w:val="center"/>
        <w:rPr>
          <w:rFonts w:ascii="Times New Roman" w:hAnsi="Times New Roman" w:eastAsia="方正小标宋_GBK"/>
          <w:kern w:val="0"/>
          <w:sz w:val="36"/>
          <w:szCs w:val="36"/>
        </w:rPr>
      </w:pPr>
    </w:p>
    <w:p>
      <w:pPr>
        <w:widowControl/>
        <w:jc w:val="center"/>
        <w:rPr>
          <w:rFonts w:ascii="Times New Roman" w:hAnsi="Times New Roman" w:eastAsia="方正小标宋_GBK"/>
          <w:kern w:val="0"/>
          <w:sz w:val="36"/>
          <w:szCs w:val="36"/>
        </w:rPr>
      </w:pPr>
    </w:p>
    <w:p>
      <w:pPr>
        <w:widowControl/>
        <w:jc w:val="center"/>
        <w:rPr>
          <w:rFonts w:ascii="Times New Roman" w:hAnsi="Times New Roman" w:eastAsia="方正小标宋_GBK"/>
          <w:kern w:val="0"/>
          <w:sz w:val="36"/>
          <w:szCs w:val="36"/>
        </w:rPr>
      </w:pPr>
    </w:p>
    <w:p>
      <w:pPr>
        <w:widowControl/>
        <w:jc w:val="center"/>
        <w:rPr>
          <w:rFonts w:ascii="Times New Roman" w:hAnsi="Times New Roman" w:eastAsia="方正小标宋_GBK"/>
          <w:kern w:val="0"/>
          <w:sz w:val="36"/>
          <w:szCs w:val="36"/>
        </w:rPr>
      </w:pPr>
    </w:p>
    <w:p>
      <w:pPr>
        <w:widowControl/>
        <w:jc w:val="center"/>
        <w:rPr>
          <w:rFonts w:ascii="Times New Roman" w:hAnsi="Times New Roman" w:eastAsia="方正小标宋_GBK"/>
          <w:kern w:val="0"/>
          <w:sz w:val="36"/>
          <w:szCs w:val="36"/>
        </w:rPr>
      </w:pPr>
    </w:p>
    <w:p>
      <w:pPr>
        <w:widowControl/>
        <w:jc w:val="center"/>
        <w:rPr>
          <w:rFonts w:ascii="Times New Roman" w:hAnsi="Times New Roman" w:eastAsia="方正小标宋_GBK"/>
          <w:kern w:val="0"/>
          <w:sz w:val="36"/>
          <w:szCs w:val="36"/>
        </w:rPr>
      </w:pPr>
    </w:p>
    <w:p>
      <w:pPr>
        <w:widowControl/>
        <w:rPr>
          <w:rFonts w:ascii="Times New Roman" w:hAnsi="Times New Roman" w:eastAsia="方正小标宋_GBK"/>
          <w:kern w:val="0"/>
          <w:sz w:val="36"/>
          <w:szCs w:val="36"/>
        </w:rPr>
      </w:pPr>
    </w:p>
    <w:p>
      <w:pPr>
        <w:widowControl/>
        <w:jc w:val="center"/>
        <w:rPr>
          <w:rFonts w:ascii="Times New Roman" w:hAnsi="Times New Roman" w:eastAsia="方正小标宋_GBK"/>
          <w:kern w:val="0"/>
          <w:sz w:val="36"/>
          <w:szCs w:val="36"/>
        </w:rPr>
      </w:pPr>
      <w:r>
        <w:rPr>
          <w:rFonts w:hint="eastAsia" w:ascii="Times New Roman" w:hAnsi="Times New Roman" w:eastAsia="方正小标宋_GBK"/>
          <w:kern w:val="0"/>
          <w:sz w:val="36"/>
          <w:szCs w:val="36"/>
        </w:rPr>
        <w:t>一般公共预算财政拨款支出决算表</w:t>
      </w:r>
    </w:p>
    <w:p>
      <w:pPr>
        <w:widowControl/>
        <w:spacing w:beforeLines="50"/>
        <w:jc w:val="left"/>
        <w:rPr>
          <w:rFonts w:ascii="Times New Roman" w:hAnsi="Times New Roman" w:eastAsia="仿宋_GB2312"/>
          <w:color w:val="000000"/>
          <w:kern w:val="0"/>
          <w:szCs w:val="21"/>
        </w:rPr>
      </w:pPr>
      <w:r>
        <w:rPr>
          <w:rFonts w:ascii="Times New Roman" w:hAnsi="Times New Roman" w:eastAsia="仿宋_GB2312"/>
          <w:color w:val="000000"/>
          <w:kern w:val="0"/>
          <w:szCs w:val="21"/>
        </w:rPr>
        <w:t xml:space="preserve">                                                                                                                    </w:t>
      </w:r>
      <w:r>
        <w:rPr>
          <w:rFonts w:hint="eastAsia" w:ascii="Times New Roman" w:hAnsi="Times New Roman" w:eastAsia="仿宋_GB2312"/>
          <w:color w:val="000000"/>
          <w:kern w:val="0"/>
          <w:szCs w:val="21"/>
        </w:rPr>
        <w:t>公开</w:t>
      </w:r>
      <w:r>
        <w:rPr>
          <w:rFonts w:ascii="Times New Roman" w:hAnsi="Times New Roman" w:eastAsia="仿宋_GB2312"/>
          <w:color w:val="000000"/>
          <w:kern w:val="0"/>
          <w:szCs w:val="21"/>
        </w:rPr>
        <w:t>05</w:t>
      </w:r>
      <w:r>
        <w:rPr>
          <w:rFonts w:hint="eastAsia" w:ascii="Times New Roman" w:hAnsi="Times New Roman" w:eastAsia="仿宋_GB2312"/>
          <w:color w:val="000000"/>
          <w:kern w:val="0"/>
          <w:szCs w:val="21"/>
        </w:rPr>
        <w:t>表</w:t>
      </w:r>
    </w:p>
    <w:p>
      <w:pPr>
        <w:widowControl/>
        <w:jc w:val="left"/>
        <w:rPr>
          <w:rFonts w:ascii="Times New Roman" w:hAnsi="Times New Roman" w:eastAsia="仿宋_GB2312"/>
          <w:bCs/>
          <w:kern w:val="0"/>
          <w:szCs w:val="21"/>
        </w:rPr>
      </w:pPr>
    </w:p>
    <w:tbl>
      <w:tblPr>
        <w:tblStyle w:val="5"/>
        <w:tblW w:w="13242" w:type="dxa"/>
        <w:tblInd w:w="108" w:type="dxa"/>
        <w:tblLayout w:type="fixed"/>
        <w:tblCellMar>
          <w:top w:w="0" w:type="dxa"/>
          <w:left w:w="108" w:type="dxa"/>
          <w:bottom w:w="0" w:type="dxa"/>
          <w:right w:w="108" w:type="dxa"/>
        </w:tblCellMar>
      </w:tblPr>
      <w:tblGrid>
        <w:gridCol w:w="1299"/>
        <w:gridCol w:w="4095"/>
        <w:gridCol w:w="2837"/>
        <w:gridCol w:w="2338"/>
        <w:gridCol w:w="2437"/>
        <w:gridCol w:w="236"/>
      </w:tblGrid>
      <w:tr>
        <w:trPr>
          <w:gridAfter w:val="1"/>
          <w:wAfter w:w="236" w:type="dxa"/>
          <w:trHeight w:val="258" w:hRule="atLeast"/>
        </w:trPr>
        <w:tc>
          <w:tcPr>
            <w:tcW w:w="5394" w:type="dxa"/>
            <w:gridSpan w:val="2"/>
            <w:tcBorders>
              <w:top w:val="nil"/>
              <w:left w:val="nil"/>
              <w:bottom w:val="nil"/>
              <w:right w:val="nil"/>
            </w:tcBorders>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部门：岳阳市建设工程质量安全监督站</w:t>
            </w:r>
          </w:p>
        </w:tc>
        <w:tc>
          <w:tcPr>
            <w:tcW w:w="2837" w:type="dxa"/>
            <w:tcBorders>
              <w:top w:val="nil"/>
              <w:left w:val="nil"/>
              <w:bottom w:val="nil"/>
              <w:right w:val="nil"/>
            </w:tcBorders>
            <w:noWrap/>
            <w:vAlign w:val="bottom"/>
          </w:tcPr>
          <w:p>
            <w:pPr>
              <w:widowControl/>
              <w:jc w:val="left"/>
              <w:rPr>
                <w:rFonts w:ascii="宋体" w:cs="Arial"/>
                <w:color w:val="000000"/>
                <w:kern w:val="0"/>
                <w:sz w:val="20"/>
                <w:szCs w:val="20"/>
              </w:rPr>
            </w:pPr>
          </w:p>
        </w:tc>
        <w:tc>
          <w:tcPr>
            <w:tcW w:w="2338"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2437"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1"/>
          <w:wAfter w:w="236" w:type="dxa"/>
          <w:trHeight w:val="269" w:hRule="atLeast"/>
        </w:trPr>
        <w:tc>
          <w:tcPr>
            <w:tcW w:w="5394" w:type="dxa"/>
            <w:gridSpan w:val="2"/>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7612" w:type="dxa"/>
            <w:gridSpan w:val="3"/>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本年支出</w:t>
            </w:r>
          </w:p>
        </w:tc>
      </w:tr>
      <w:tr>
        <w:tblPrEx>
          <w:tblCellMar>
            <w:top w:w="0" w:type="dxa"/>
            <w:left w:w="108" w:type="dxa"/>
            <w:bottom w:w="0" w:type="dxa"/>
            <w:right w:w="108" w:type="dxa"/>
          </w:tblCellMar>
        </w:tblPrEx>
        <w:trPr>
          <w:gridAfter w:val="1"/>
          <w:wAfter w:w="236" w:type="dxa"/>
          <w:trHeight w:val="312" w:hRule="atLeast"/>
        </w:trPr>
        <w:tc>
          <w:tcPr>
            <w:tcW w:w="1299" w:type="dxa"/>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功能分类科目编码</w:t>
            </w:r>
          </w:p>
        </w:tc>
        <w:tc>
          <w:tcPr>
            <w:tcW w:w="4095"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2837"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小计</w:t>
            </w:r>
          </w:p>
        </w:tc>
        <w:tc>
          <w:tcPr>
            <w:tcW w:w="2338"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基本支出</w:t>
            </w:r>
          </w:p>
        </w:tc>
        <w:tc>
          <w:tcPr>
            <w:tcW w:w="2437"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项目支出</w:t>
            </w:r>
          </w:p>
        </w:tc>
      </w:tr>
      <w:tr>
        <w:tblPrEx>
          <w:tblCellMar>
            <w:top w:w="0" w:type="dxa"/>
            <w:left w:w="108" w:type="dxa"/>
            <w:bottom w:w="0" w:type="dxa"/>
            <w:right w:w="108" w:type="dxa"/>
          </w:tblCellMar>
        </w:tblPrEx>
        <w:trPr>
          <w:trHeight w:val="242" w:hRule="atLeast"/>
        </w:trPr>
        <w:tc>
          <w:tcPr>
            <w:tcW w:w="129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4095"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837"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38"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437"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 w:type="dxa"/>
            <w:tcBorders>
              <w:top w:val="nil"/>
              <w:left w:val="nil"/>
              <w:bottom w:val="nil"/>
              <w:right w:val="nil"/>
            </w:tcBorders>
            <w:noWrap/>
            <w:vAlign w:val="bottom"/>
          </w:tcPr>
          <w:p>
            <w:pPr>
              <w:widowControl/>
              <w:jc w:val="center"/>
              <w:rPr>
                <w:rFonts w:ascii="宋体" w:cs="Arial"/>
                <w:color w:val="000000"/>
                <w:kern w:val="0"/>
                <w:sz w:val="22"/>
              </w:rPr>
            </w:pPr>
          </w:p>
        </w:tc>
      </w:tr>
      <w:tr>
        <w:tblPrEx>
          <w:tblCellMar>
            <w:top w:w="0" w:type="dxa"/>
            <w:left w:w="108" w:type="dxa"/>
            <w:bottom w:w="0" w:type="dxa"/>
            <w:right w:w="108" w:type="dxa"/>
          </w:tblCellMar>
        </w:tblPrEx>
        <w:trPr>
          <w:trHeight w:val="269" w:hRule="atLeast"/>
        </w:trPr>
        <w:tc>
          <w:tcPr>
            <w:tcW w:w="1299"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4095"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837"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38"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437"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 w:type="dxa"/>
            <w:tcBorders>
              <w:top w:val="nil"/>
              <w:left w:val="nil"/>
              <w:bottom w:val="nil"/>
              <w:right w:val="nil"/>
            </w:tcBorders>
            <w:noWrap/>
            <w:vAlign w:val="bottom"/>
          </w:tcPr>
          <w:p>
            <w:pPr>
              <w:widowControl/>
              <w:jc w:val="left"/>
              <w:rPr>
                <w:rFonts w:ascii="Times New Roman" w:hAnsi="Times New Roman"/>
                <w:kern w:val="0"/>
                <w:sz w:val="20"/>
                <w:szCs w:val="20"/>
              </w:rPr>
            </w:pPr>
          </w:p>
        </w:tc>
      </w:tr>
      <w:tr>
        <w:trPr>
          <w:trHeight w:val="269" w:hRule="atLeast"/>
        </w:trPr>
        <w:tc>
          <w:tcPr>
            <w:tcW w:w="5394" w:type="dxa"/>
            <w:gridSpan w:val="2"/>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283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2338"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2437"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5394" w:type="dxa"/>
            <w:gridSpan w:val="2"/>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hAnsi="宋体" w:cs="Arial"/>
                <w:b/>
                <w:bCs/>
                <w:color w:val="000000"/>
                <w:kern w:val="0"/>
                <w:sz w:val="22"/>
              </w:rPr>
              <w:t>773.00</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hAnsi="宋体" w:cs="Arial"/>
                <w:b/>
                <w:bCs/>
                <w:color w:val="000000"/>
                <w:kern w:val="0"/>
                <w:sz w:val="22"/>
              </w:rPr>
              <w:t>678.73</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hAnsi="宋体" w:cs="Arial"/>
                <w:b/>
                <w:bCs/>
                <w:color w:val="000000"/>
                <w:kern w:val="0"/>
                <w:sz w:val="22"/>
              </w:rPr>
              <w:t>94.28</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社会保障和就业支出</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60.83</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60.83</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20805</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行政事业单位养老支出</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56.55</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56.55</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2080505</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机关事业单位基本养老保险缴费支出</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56.55</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56.55</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20811</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残疾人事业</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4.28</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4.28</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2081199</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其他残疾人事业支出</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4.28</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4.28</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210</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卫生健康支出</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21011</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行政事业单位医疗</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2101102</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事业单位医疗</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26.16</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城乡社区支出</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235.03</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178.03</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21202</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城乡社区规划与管理</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57.00</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2120201</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城乡社区规划与管理</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57.00</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57.00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21299</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其他城乡社区支出</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178.03</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178.03</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2129901</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其他城乡社区支出</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178.03</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178.03</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215</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资源勘探工业信息等支出</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450.99</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413.71</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37.28</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21503</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建筑业</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450.99</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413.71</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37.28</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2150301</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行政运行</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413.71</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413.71</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299"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2150302</w:t>
            </w:r>
          </w:p>
        </w:tc>
        <w:tc>
          <w:tcPr>
            <w:tcW w:w="4095" w:type="dxa"/>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一般行政管理事务</w:t>
            </w:r>
          </w:p>
        </w:tc>
        <w:tc>
          <w:tcPr>
            <w:tcW w:w="28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37.28</w:t>
            </w:r>
          </w:p>
        </w:tc>
        <w:tc>
          <w:tcPr>
            <w:tcW w:w="2338"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437"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37.28</w:t>
            </w:r>
          </w:p>
        </w:tc>
        <w:tc>
          <w:tcPr>
            <w:tcW w:w="236" w:type="dxa"/>
            <w:vAlign w:val="center"/>
          </w:tcPr>
          <w:p>
            <w:pPr>
              <w:widowControl/>
              <w:jc w:val="left"/>
              <w:rPr>
                <w:rFonts w:ascii="Times New Roman" w:hAnsi="Times New Roman"/>
                <w:kern w:val="0"/>
                <w:sz w:val="20"/>
                <w:szCs w:val="20"/>
              </w:rPr>
            </w:pPr>
          </w:p>
        </w:tc>
      </w:tr>
      <w:tr>
        <w:trPr>
          <w:trHeight w:val="877" w:hRule="atLeast"/>
        </w:trPr>
        <w:tc>
          <w:tcPr>
            <w:tcW w:w="13006" w:type="dxa"/>
            <w:gridSpan w:val="5"/>
            <w:tcBorders>
              <w:top w:val="nil"/>
              <w:left w:val="nil"/>
              <w:bottom w:val="nil"/>
              <w:right w:val="nil"/>
            </w:tcBorders>
            <w:noWrap/>
          </w:tcPr>
          <w:p>
            <w:pPr>
              <w:widowControl/>
              <w:rPr>
                <w:rFonts w:ascii="宋体" w:cs="Arial"/>
                <w:color w:val="000000"/>
                <w:kern w:val="0"/>
                <w:sz w:val="22"/>
              </w:rPr>
            </w:pPr>
            <w:r>
              <w:rPr>
                <w:rFonts w:hint="eastAsia" w:ascii="宋体" w:hAnsi="宋体" w:cs="Arial"/>
                <w:color w:val="000000"/>
                <w:kern w:val="0"/>
                <w:sz w:val="22"/>
              </w:rPr>
              <w:t>注：本表反映部门本年度一般公共预算财政拨款支出情况。</w:t>
            </w:r>
          </w:p>
        </w:tc>
        <w:tc>
          <w:tcPr>
            <w:tcW w:w="236" w:type="dxa"/>
            <w:vAlign w:val="center"/>
          </w:tcPr>
          <w:p>
            <w:pPr>
              <w:widowControl/>
              <w:jc w:val="left"/>
              <w:rPr>
                <w:rFonts w:ascii="Times New Roman" w:hAnsi="Times New Roman"/>
                <w:kern w:val="0"/>
                <w:sz w:val="20"/>
                <w:szCs w:val="20"/>
              </w:rPr>
            </w:pPr>
          </w:p>
        </w:tc>
      </w:tr>
    </w:tbl>
    <w:p>
      <w:pPr>
        <w:widowControl/>
        <w:jc w:val="left"/>
        <w:rPr>
          <w:rFonts w:ascii="Times New Roman" w:hAnsi="Times New Roman" w:eastAsia="仿宋_GB2312"/>
          <w:bCs/>
          <w:kern w:val="0"/>
          <w:szCs w:val="21"/>
        </w:rPr>
      </w:pPr>
    </w:p>
    <w:tbl>
      <w:tblPr>
        <w:tblStyle w:val="5"/>
        <w:tblW w:w="15590" w:type="dxa"/>
        <w:tblInd w:w="0" w:type="dxa"/>
        <w:tblLayout w:type="fixed"/>
        <w:tblCellMar>
          <w:top w:w="0" w:type="dxa"/>
          <w:left w:w="108" w:type="dxa"/>
          <w:bottom w:w="0" w:type="dxa"/>
          <w:right w:w="108" w:type="dxa"/>
        </w:tblCellMar>
      </w:tblPr>
      <w:tblGrid>
        <w:gridCol w:w="15590"/>
      </w:tblGrid>
      <w:tr>
        <w:tblPrEx>
          <w:tblCellMar>
            <w:top w:w="0" w:type="dxa"/>
            <w:left w:w="108" w:type="dxa"/>
            <w:bottom w:w="0" w:type="dxa"/>
            <w:right w:w="108" w:type="dxa"/>
          </w:tblCellMar>
        </w:tblPrEx>
        <w:trPr>
          <w:trHeight w:val="113" w:hRule="atLeast"/>
        </w:trPr>
        <w:tc>
          <w:tcPr>
            <w:tcW w:w="15590" w:type="dxa"/>
            <w:tcBorders>
              <w:top w:val="nil"/>
              <w:left w:val="nil"/>
              <w:bottom w:val="nil"/>
              <w:right w:val="nil"/>
            </w:tcBorders>
            <w:noWrap/>
            <w:vAlign w:val="center"/>
          </w:tcPr>
          <w:p>
            <w:pPr>
              <w:widowControl/>
              <w:jc w:val="center"/>
              <w:rPr>
                <w:rFonts w:ascii="华文中宋" w:hAnsi="华文中宋" w:eastAsia="华文中宋" w:cs="宋体"/>
                <w:color w:val="000000"/>
                <w:kern w:val="0"/>
                <w:sz w:val="30"/>
                <w:szCs w:val="30"/>
              </w:rPr>
            </w:pPr>
            <w:bookmarkStart w:id="2" w:name="RANGE!A1:I34"/>
            <w:bookmarkEnd w:id="2"/>
            <w:r>
              <w:rPr>
                <w:rFonts w:hint="eastAsia" w:ascii="华文中宋" w:hAnsi="华文中宋" w:eastAsia="华文中宋" w:cs="宋体"/>
                <w:color w:val="000000"/>
                <w:kern w:val="0"/>
                <w:sz w:val="30"/>
                <w:szCs w:val="30"/>
              </w:rPr>
              <w:t>一般公共预算财政拨款基本支出决算表</w:t>
            </w:r>
          </w:p>
          <w:p>
            <w:pPr>
              <w:widowControl/>
              <w:wordWrap w:val="0"/>
              <w:ind w:right="600"/>
              <w:rPr>
                <w:rFonts w:ascii="Times New Roman" w:hAnsi="Times New Roman" w:eastAsia="仿宋_GB2312"/>
                <w:color w:val="000000"/>
                <w:kern w:val="0"/>
                <w:sz w:val="15"/>
                <w:szCs w:val="15"/>
              </w:rPr>
            </w:pPr>
            <w:r>
              <w:rPr>
                <w:rFonts w:ascii="Times New Roman" w:hAnsi="Times New Roman" w:eastAsia="仿宋_GB2312"/>
                <w:color w:val="000000"/>
                <w:kern w:val="0"/>
                <w:sz w:val="15"/>
                <w:szCs w:val="15"/>
              </w:rPr>
              <w:t xml:space="preserve">                                                                                                                                                                                      </w:t>
            </w:r>
            <w:r>
              <w:rPr>
                <w:rFonts w:hint="eastAsia" w:ascii="Times New Roman" w:hAnsi="Times New Roman" w:eastAsia="仿宋_GB2312"/>
                <w:color w:val="000000"/>
                <w:kern w:val="0"/>
                <w:sz w:val="15"/>
                <w:szCs w:val="15"/>
              </w:rPr>
              <w:t>公开</w:t>
            </w:r>
            <w:r>
              <w:rPr>
                <w:rFonts w:ascii="Times New Roman" w:hAnsi="Times New Roman" w:eastAsia="仿宋_GB2312"/>
                <w:color w:val="000000"/>
                <w:kern w:val="0"/>
                <w:sz w:val="15"/>
                <w:szCs w:val="15"/>
              </w:rPr>
              <w:t>06</w:t>
            </w:r>
            <w:r>
              <w:rPr>
                <w:rFonts w:hint="eastAsia" w:ascii="Times New Roman" w:hAnsi="Times New Roman" w:eastAsia="仿宋_GB2312"/>
                <w:color w:val="000000"/>
                <w:kern w:val="0"/>
                <w:sz w:val="15"/>
                <w:szCs w:val="15"/>
              </w:rPr>
              <w:t>表</w:t>
            </w:r>
            <w:r>
              <w:rPr>
                <w:rFonts w:ascii="Times New Roman" w:hAnsi="Times New Roman" w:eastAsia="仿宋_GB2312"/>
                <w:color w:val="000000"/>
                <w:kern w:val="0"/>
                <w:sz w:val="15"/>
                <w:szCs w:val="15"/>
              </w:rPr>
              <w:t xml:space="preserve">        </w:t>
            </w:r>
          </w:p>
          <w:p>
            <w:pPr>
              <w:widowControl/>
              <w:jc w:val="right"/>
              <w:rPr>
                <w:rFonts w:ascii="华文中宋" w:hAnsi="华文中宋" w:eastAsia="华文中宋" w:cs="宋体"/>
                <w:color w:val="000000"/>
                <w:kern w:val="0"/>
                <w:sz w:val="15"/>
                <w:szCs w:val="15"/>
              </w:rPr>
            </w:pPr>
          </w:p>
        </w:tc>
      </w:tr>
      <w:tr>
        <w:tblPrEx>
          <w:tblCellMar>
            <w:top w:w="0" w:type="dxa"/>
            <w:left w:w="108" w:type="dxa"/>
            <w:bottom w:w="0" w:type="dxa"/>
            <w:right w:w="108" w:type="dxa"/>
          </w:tblCellMar>
        </w:tblPrEx>
        <w:trPr>
          <w:trHeight w:val="113" w:hRule="atLeast"/>
        </w:trPr>
        <w:tc>
          <w:tcPr>
            <w:tcW w:w="15590" w:type="dxa"/>
            <w:tcBorders>
              <w:top w:val="nil"/>
              <w:left w:val="nil"/>
              <w:bottom w:val="nil"/>
              <w:right w:val="nil"/>
            </w:tcBorders>
            <w:noWrap/>
          </w:tcPr>
          <w:tbl>
            <w:tblPr>
              <w:tblStyle w:val="5"/>
              <w:tblW w:w="14946" w:type="dxa"/>
              <w:tblInd w:w="0" w:type="dxa"/>
              <w:tblLayout w:type="fixed"/>
              <w:tblCellMar>
                <w:top w:w="0" w:type="dxa"/>
                <w:left w:w="0" w:type="dxa"/>
                <w:bottom w:w="0" w:type="dxa"/>
                <w:right w:w="0" w:type="dxa"/>
              </w:tblCellMar>
            </w:tblPr>
            <w:tblGrid>
              <w:gridCol w:w="660"/>
              <w:gridCol w:w="3327"/>
              <w:gridCol w:w="789"/>
              <w:gridCol w:w="659"/>
              <w:gridCol w:w="2398"/>
              <w:gridCol w:w="1099"/>
              <w:gridCol w:w="659"/>
              <w:gridCol w:w="4206"/>
              <w:gridCol w:w="1099"/>
              <w:gridCol w:w="50"/>
            </w:tblGrid>
            <w:tr>
              <w:tblPrEx>
                <w:tblCellMar>
                  <w:top w:w="0" w:type="dxa"/>
                  <w:left w:w="0" w:type="dxa"/>
                  <w:bottom w:w="0" w:type="dxa"/>
                  <w:right w:w="0" w:type="dxa"/>
                </w:tblCellMar>
              </w:tblPrEx>
              <w:trPr>
                <w:gridAfter w:val="1"/>
                <w:wAfter w:w="50" w:type="dxa"/>
                <w:trHeight w:val="258" w:hRule="atLeast"/>
              </w:trPr>
              <w:tc>
                <w:tcPr>
                  <w:tcW w:w="4776" w:type="dxa"/>
                  <w:gridSpan w:val="3"/>
                  <w:tcBorders>
                    <w:top w:val="nil"/>
                    <w:left w:val="nil"/>
                    <w:bottom w:val="nil"/>
                    <w:right w:val="nil"/>
                  </w:tcBorders>
                  <w:noWrap/>
                  <w:tcMar>
                    <w:top w:w="15" w:type="dxa"/>
                    <w:left w:w="15" w:type="dxa"/>
                    <w:bottom w:w="0" w:type="dxa"/>
                    <w:right w:w="15" w:type="dxa"/>
                  </w:tcMar>
                  <w:vAlign w:val="bottom"/>
                </w:tcPr>
                <w:p>
                  <w:pPr>
                    <w:widowControl/>
                    <w:jc w:val="left"/>
                    <w:rPr>
                      <w:rFonts w:cs="Arial"/>
                      <w:color w:val="000000"/>
                      <w:sz w:val="20"/>
                      <w:szCs w:val="20"/>
                    </w:rPr>
                  </w:pPr>
                  <w:r>
                    <w:rPr>
                      <w:rFonts w:hint="eastAsia" w:cs="Arial"/>
                      <w:color w:val="000000"/>
                      <w:sz w:val="20"/>
                      <w:szCs w:val="20"/>
                    </w:rPr>
                    <w:t>部门：岳阳市建设工程质量安全监督站</w:t>
                  </w:r>
                </w:p>
              </w:tc>
              <w:tc>
                <w:tcPr>
                  <w:tcW w:w="659" w:type="dxa"/>
                  <w:tcBorders>
                    <w:top w:val="nil"/>
                    <w:left w:val="nil"/>
                    <w:bottom w:val="nil"/>
                    <w:right w:val="nil"/>
                  </w:tcBorders>
                  <w:noWrap/>
                  <w:tcMar>
                    <w:top w:w="15" w:type="dxa"/>
                    <w:left w:w="15" w:type="dxa"/>
                    <w:bottom w:w="0" w:type="dxa"/>
                    <w:right w:w="15" w:type="dxa"/>
                  </w:tcMar>
                  <w:vAlign w:val="bottom"/>
                </w:tcPr>
                <w:p>
                  <w:pPr>
                    <w:rPr>
                      <w:rFonts w:cs="Arial"/>
                      <w:color w:val="000000"/>
                      <w:sz w:val="20"/>
                      <w:szCs w:val="20"/>
                    </w:rPr>
                  </w:pPr>
                </w:p>
              </w:tc>
              <w:tc>
                <w:tcPr>
                  <w:tcW w:w="2398" w:type="dxa"/>
                  <w:tcBorders>
                    <w:top w:val="nil"/>
                    <w:left w:val="nil"/>
                    <w:bottom w:val="nil"/>
                    <w:right w:val="nil"/>
                  </w:tcBorders>
                  <w:noWrap/>
                  <w:tcMar>
                    <w:top w:w="15" w:type="dxa"/>
                    <w:left w:w="15" w:type="dxa"/>
                    <w:bottom w:w="0" w:type="dxa"/>
                    <w:right w:w="15" w:type="dxa"/>
                  </w:tcMar>
                  <w:vAlign w:val="bottom"/>
                </w:tcPr>
                <w:p>
                  <w:pPr>
                    <w:rPr>
                      <w:rFonts w:ascii="Times New Roman" w:hAnsi="Times New Roman"/>
                      <w:sz w:val="20"/>
                      <w:szCs w:val="20"/>
                    </w:rPr>
                  </w:pPr>
                </w:p>
              </w:tc>
              <w:tc>
                <w:tcPr>
                  <w:tcW w:w="1099" w:type="dxa"/>
                  <w:tcBorders>
                    <w:top w:val="nil"/>
                    <w:left w:val="nil"/>
                    <w:bottom w:val="nil"/>
                    <w:right w:val="nil"/>
                  </w:tcBorders>
                  <w:noWrap/>
                  <w:tcMar>
                    <w:top w:w="15" w:type="dxa"/>
                    <w:left w:w="15" w:type="dxa"/>
                    <w:bottom w:w="0" w:type="dxa"/>
                    <w:right w:w="15" w:type="dxa"/>
                  </w:tcMar>
                  <w:vAlign w:val="bottom"/>
                </w:tcPr>
                <w:p>
                  <w:pPr>
                    <w:rPr>
                      <w:rFonts w:ascii="Times New Roman" w:hAnsi="Times New Roman"/>
                      <w:sz w:val="20"/>
                      <w:szCs w:val="20"/>
                    </w:rPr>
                  </w:pPr>
                </w:p>
              </w:tc>
              <w:tc>
                <w:tcPr>
                  <w:tcW w:w="659" w:type="dxa"/>
                  <w:tcBorders>
                    <w:top w:val="nil"/>
                    <w:left w:val="nil"/>
                    <w:bottom w:val="nil"/>
                    <w:right w:val="nil"/>
                  </w:tcBorders>
                  <w:noWrap/>
                  <w:tcMar>
                    <w:top w:w="15" w:type="dxa"/>
                    <w:left w:w="15" w:type="dxa"/>
                    <w:bottom w:w="0" w:type="dxa"/>
                    <w:right w:w="15" w:type="dxa"/>
                  </w:tcMar>
                  <w:vAlign w:val="bottom"/>
                </w:tcPr>
                <w:p>
                  <w:pPr>
                    <w:rPr>
                      <w:rFonts w:ascii="Times New Roman" w:hAnsi="Times New Roman"/>
                      <w:sz w:val="20"/>
                      <w:szCs w:val="20"/>
                    </w:rPr>
                  </w:pPr>
                </w:p>
              </w:tc>
              <w:tc>
                <w:tcPr>
                  <w:tcW w:w="4206" w:type="dxa"/>
                  <w:tcBorders>
                    <w:top w:val="nil"/>
                    <w:left w:val="nil"/>
                    <w:bottom w:val="nil"/>
                    <w:right w:val="nil"/>
                  </w:tcBorders>
                  <w:noWrap/>
                  <w:tcMar>
                    <w:top w:w="15" w:type="dxa"/>
                    <w:left w:w="15" w:type="dxa"/>
                    <w:bottom w:w="0" w:type="dxa"/>
                    <w:right w:w="15" w:type="dxa"/>
                  </w:tcMar>
                  <w:vAlign w:val="bottom"/>
                </w:tcPr>
                <w:p>
                  <w:pPr>
                    <w:rPr>
                      <w:rFonts w:ascii="Times New Roman" w:hAnsi="Times New Roman"/>
                      <w:sz w:val="20"/>
                      <w:szCs w:val="20"/>
                    </w:rPr>
                  </w:pPr>
                </w:p>
              </w:tc>
              <w:tc>
                <w:tcPr>
                  <w:tcW w:w="1099" w:type="dxa"/>
                  <w:tcBorders>
                    <w:top w:val="nil"/>
                    <w:left w:val="nil"/>
                    <w:bottom w:val="nil"/>
                    <w:right w:val="nil"/>
                  </w:tcBorders>
                  <w:noWrap/>
                  <w:tcMar>
                    <w:top w:w="15" w:type="dxa"/>
                    <w:left w:w="15" w:type="dxa"/>
                    <w:bottom w:w="0" w:type="dxa"/>
                    <w:right w:w="15" w:type="dxa"/>
                  </w:tcMar>
                  <w:vAlign w:val="bottom"/>
                </w:tcPr>
                <w:p>
                  <w:pPr>
                    <w:jc w:val="right"/>
                    <w:rPr>
                      <w:rFonts w:ascii="宋体" w:cs="Arial"/>
                      <w:color w:val="000000"/>
                      <w:sz w:val="18"/>
                      <w:szCs w:val="18"/>
                    </w:rPr>
                  </w:pPr>
                  <w:r>
                    <w:rPr>
                      <w:rFonts w:hint="eastAsia" w:cs="Arial"/>
                      <w:color w:val="000000"/>
                      <w:sz w:val="18"/>
                      <w:szCs w:val="18"/>
                    </w:rPr>
                    <w:t>金额单位：万元</w:t>
                  </w:r>
                </w:p>
              </w:tc>
            </w:tr>
            <w:tr>
              <w:tblPrEx>
                <w:tblCellMar>
                  <w:top w:w="0" w:type="dxa"/>
                  <w:left w:w="0" w:type="dxa"/>
                  <w:bottom w:w="0" w:type="dxa"/>
                  <w:right w:w="0" w:type="dxa"/>
                </w:tblCellMar>
              </w:tblPrEx>
              <w:trPr>
                <w:gridAfter w:val="1"/>
                <w:wAfter w:w="50" w:type="dxa"/>
                <w:trHeight w:val="269" w:hRule="atLeast"/>
              </w:trPr>
              <w:tc>
                <w:tcPr>
                  <w:tcW w:w="4776" w:type="dxa"/>
                  <w:gridSpan w:val="3"/>
                  <w:tcBorders>
                    <w:top w:val="single" w:color="000000" w:sz="4" w:space="0"/>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人员经费</w:t>
                  </w:r>
                </w:p>
              </w:tc>
              <w:tc>
                <w:tcPr>
                  <w:tcW w:w="10120" w:type="dxa"/>
                  <w:gridSpan w:val="6"/>
                  <w:tcBorders>
                    <w:top w:val="single" w:color="000000" w:sz="4" w:space="0"/>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公用经费</w:t>
                  </w:r>
                </w:p>
              </w:tc>
            </w:tr>
            <w:tr>
              <w:tblPrEx>
                <w:tblCellMar>
                  <w:top w:w="0" w:type="dxa"/>
                  <w:left w:w="0" w:type="dxa"/>
                  <w:bottom w:w="0" w:type="dxa"/>
                  <w:right w:w="0" w:type="dxa"/>
                </w:tblCellMar>
              </w:tblPrEx>
              <w:trPr>
                <w:gridAfter w:val="1"/>
                <w:wAfter w:w="50" w:type="dxa"/>
                <w:trHeight w:val="312" w:hRule="atLeast"/>
              </w:trPr>
              <w:tc>
                <w:tcPr>
                  <w:tcW w:w="66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科目编码</w:t>
                  </w:r>
                </w:p>
              </w:tc>
              <w:tc>
                <w:tcPr>
                  <w:tcW w:w="3327" w:type="dxa"/>
                  <w:vMerge w:val="restart"/>
                  <w:tcBorders>
                    <w:top w:val="nil"/>
                    <w:left w:val="nil"/>
                    <w:bottom w:val="single" w:color="000000" w:sz="4" w:space="0"/>
                    <w:right w:val="single" w:color="000000" w:sz="4" w:space="0"/>
                  </w:tcBorders>
                  <w:shd w:val="clear" w:color="FFFFFF" w:fill="C0C0C0"/>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科目名称</w:t>
                  </w:r>
                </w:p>
              </w:tc>
              <w:tc>
                <w:tcPr>
                  <w:tcW w:w="789" w:type="dxa"/>
                  <w:vMerge w:val="restart"/>
                  <w:tcBorders>
                    <w:top w:val="nil"/>
                    <w:left w:val="nil"/>
                    <w:bottom w:val="single" w:color="000000" w:sz="4" w:space="0"/>
                    <w:right w:val="single" w:color="000000" w:sz="4" w:space="0"/>
                  </w:tcBorders>
                  <w:shd w:val="clear" w:color="FFFFFF" w:fill="C0C0C0"/>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决算数</w:t>
                  </w:r>
                </w:p>
              </w:tc>
              <w:tc>
                <w:tcPr>
                  <w:tcW w:w="659" w:type="dxa"/>
                  <w:vMerge w:val="restart"/>
                  <w:tcBorders>
                    <w:top w:val="nil"/>
                    <w:left w:val="nil"/>
                    <w:bottom w:val="single" w:color="000000" w:sz="4" w:space="0"/>
                    <w:right w:val="single" w:color="000000" w:sz="4" w:space="0"/>
                  </w:tcBorders>
                  <w:shd w:val="clear" w:color="FFFFFF" w:fill="C0C0C0"/>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科目编码</w:t>
                  </w:r>
                </w:p>
              </w:tc>
              <w:tc>
                <w:tcPr>
                  <w:tcW w:w="2398" w:type="dxa"/>
                  <w:vMerge w:val="restart"/>
                  <w:tcBorders>
                    <w:top w:val="nil"/>
                    <w:left w:val="nil"/>
                    <w:bottom w:val="single" w:color="000000" w:sz="4" w:space="0"/>
                    <w:right w:val="single" w:color="000000" w:sz="4" w:space="0"/>
                  </w:tcBorders>
                  <w:shd w:val="clear" w:color="FFFFFF" w:fill="C0C0C0"/>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科目名称</w:t>
                  </w:r>
                </w:p>
              </w:tc>
              <w:tc>
                <w:tcPr>
                  <w:tcW w:w="1099" w:type="dxa"/>
                  <w:vMerge w:val="restart"/>
                  <w:tcBorders>
                    <w:top w:val="nil"/>
                    <w:left w:val="nil"/>
                    <w:bottom w:val="single" w:color="000000" w:sz="4" w:space="0"/>
                    <w:right w:val="single" w:color="000000" w:sz="4" w:space="0"/>
                  </w:tcBorders>
                  <w:shd w:val="clear" w:color="FFFFFF" w:fill="C0C0C0"/>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决算数</w:t>
                  </w:r>
                </w:p>
              </w:tc>
              <w:tc>
                <w:tcPr>
                  <w:tcW w:w="659" w:type="dxa"/>
                  <w:vMerge w:val="restart"/>
                  <w:tcBorders>
                    <w:top w:val="nil"/>
                    <w:left w:val="nil"/>
                    <w:bottom w:val="single" w:color="000000" w:sz="4" w:space="0"/>
                    <w:right w:val="single" w:color="000000" w:sz="4" w:space="0"/>
                  </w:tcBorders>
                  <w:shd w:val="clear" w:color="FFFFFF" w:fill="C0C0C0"/>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科目编码</w:t>
                  </w:r>
                </w:p>
              </w:tc>
              <w:tc>
                <w:tcPr>
                  <w:tcW w:w="4206" w:type="dxa"/>
                  <w:vMerge w:val="restart"/>
                  <w:tcBorders>
                    <w:top w:val="nil"/>
                    <w:left w:val="nil"/>
                    <w:bottom w:val="single" w:color="000000" w:sz="4" w:space="0"/>
                    <w:right w:val="single" w:color="000000" w:sz="4" w:space="0"/>
                  </w:tcBorders>
                  <w:shd w:val="clear" w:color="FFFFFF" w:fill="C0C0C0"/>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科目名称</w:t>
                  </w:r>
                </w:p>
              </w:tc>
              <w:tc>
                <w:tcPr>
                  <w:tcW w:w="1099" w:type="dxa"/>
                  <w:vMerge w:val="restart"/>
                  <w:tcBorders>
                    <w:top w:val="nil"/>
                    <w:left w:val="nil"/>
                    <w:bottom w:val="single" w:color="000000" w:sz="4" w:space="0"/>
                    <w:right w:val="single" w:color="000000" w:sz="4" w:space="0"/>
                  </w:tcBorders>
                  <w:shd w:val="clear" w:color="FFFFFF" w:fill="C0C0C0"/>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决算数</w:t>
                  </w:r>
                </w:p>
              </w:tc>
            </w:tr>
            <w:tr>
              <w:tblPrEx>
                <w:tblCellMar>
                  <w:top w:w="0" w:type="dxa"/>
                  <w:left w:w="0" w:type="dxa"/>
                  <w:bottom w:w="0" w:type="dxa"/>
                  <w:right w:w="0" w:type="dxa"/>
                </w:tblCellMar>
              </w:tblPrEx>
              <w:trPr>
                <w:trHeight w:val="269" w:hRule="atLeast"/>
              </w:trPr>
              <w:tc>
                <w:tcPr>
                  <w:tcW w:w="660" w:type="dxa"/>
                  <w:vMerge w:val="continue"/>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rPr>
                      <w:rFonts w:ascii="宋体" w:cs="Arial"/>
                      <w:color w:val="000000"/>
                      <w:sz w:val="22"/>
                    </w:rPr>
                  </w:pPr>
                </w:p>
              </w:tc>
              <w:tc>
                <w:tcPr>
                  <w:tcW w:w="3327" w:type="dxa"/>
                  <w:vMerge w:val="continue"/>
                  <w:tcBorders>
                    <w:top w:val="nil"/>
                    <w:left w:val="nil"/>
                    <w:bottom w:val="single" w:color="000000" w:sz="4" w:space="0"/>
                    <w:right w:val="single" w:color="000000" w:sz="4" w:space="0"/>
                  </w:tcBorders>
                  <w:tcMar>
                    <w:top w:w="15" w:type="dxa"/>
                    <w:left w:w="15" w:type="dxa"/>
                    <w:bottom w:w="0" w:type="dxa"/>
                    <w:right w:w="15" w:type="dxa"/>
                  </w:tcMar>
                  <w:vAlign w:val="center"/>
                </w:tcPr>
                <w:p>
                  <w:pPr>
                    <w:rPr>
                      <w:rFonts w:ascii="宋体" w:cs="Arial"/>
                      <w:color w:val="000000"/>
                      <w:sz w:val="22"/>
                    </w:rPr>
                  </w:pPr>
                </w:p>
              </w:tc>
              <w:tc>
                <w:tcPr>
                  <w:tcW w:w="789" w:type="dxa"/>
                  <w:vMerge w:val="continue"/>
                  <w:tcBorders>
                    <w:top w:val="nil"/>
                    <w:left w:val="nil"/>
                    <w:bottom w:val="single" w:color="000000" w:sz="4" w:space="0"/>
                    <w:right w:val="single" w:color="000000" w:sz="4" w:space="0"/>
                  </w:tcBorders>
                  <w:tcMar>
                    <w:top w:w="15" w:type="dxa"/>
                    <w:left w:w="15" w:type="dxa"/>
                    <w:bottom w:w="0" w:type="dxa"/>
                    <w:right w:w="15" w:type="dxa"/>
                  </w:tcMar>
                  <w:vAlign w:val="center"/>
                </w:tcPr>
                <w:p>
                  <w:pPr>
                    <w:rPr>
                      <w:rFonts w:ascii="宋体" w:cs="Arial"/>
                      <w:color w:val="000000"/>
                      <w:sz w:val="22"/>
                    </w:rPr>
                  </w:pPr>
                </w:p>
              </w:tc>
              <w:tc>
                <w:tcPr>
                  <w:tcW w:w="659" w:type="dxa"/>
                  <w:vMerge w:val="continue"/>
                  <w:tcBorders>
                    <w:top w:val="nil"/>
                    <w:left w:val="nil"/>
                    <w:bottom w:val="single" w:color="000000" w:sz="4" w:space="0"/>
                    <w:right w:val="single" w:color="000000" w:sz="4" w:space="0"/>
                  </w:tcBorders>
                  <w:tcMar>
                    <w:top w:w="15" w:type="dxa"/>
                    <w:left w:w="15" w:type="dxa"/>
                    <w:bottom w:w="0" w:type="dxa"/>
                    <w:right w:w="15" w:type="dxa"/>
                  </w:tcMar>
                  <w:vAlign w:val="center"/>
                </w:tcPr>
                <w:p>
                  <w:pPr>
                    <w:rPr>
                      <w:rFonts w:ascii="宋体" w:cs="Arial"/>
                      <w:color w:val="000000"/>
                      <w:sz w:val="22"/>
                    </w:rPr>
                  </w:pPr>
                </w:p>
              </w:tc>
              <w:tc>
                <w:tcPr>
                  <w:tcW w:w="2398" w:type="dxa"/>
                  <w:vMerge w:val="continue"/>
                  <w:tcBorders>
                    <w:top w:val="nil"/>
                    <w:left w:val="nil"/>
                    <w:bottom w:val="single" w:color="000000" w:sz="4" w:space="0"/>
                    <w:right w:val="single" w:color="000000" w:sz="4" w:space="0"/>
                  </w:tcBorders>
                  <w:tcMar>
                    <w:top w:w="15" w:type="dxa"/>
                    <w:left w:w="15" w:type="dxa"/>
                    <w:bottom w:w="0" w:type="dxa"/>
                    <w:right w:w="15" w:type="dxa"/>
                  </w:tcMar>
                  <w:vAlign w:val="center"/>
                </w:tcPr>
                <w:p>
                  <w:pPr>
                    <w:rPr>
                      <w:rFonts w:ascii="宋体" w:cs="Arial"/>
                      <w:color w:val="000000"/>
                      <w:sz w:val="22"/>
                    </w:rPr>
                  </w:pPr>
                </w:p>
              </w:tc>
              <w:tc>
                <w:tcPr>
                  <w:tcW w:w="1099" w:type="dxa"/>
                  <w:vMerge w:val="continue"/>
                  <w:tcBorders>
                    <w:top w:val="nil"/>
                    <w:left w:val="nil"/>
                    <w:bottom w:val="single" w:color="000000" w:sz="4" w:space="0"/>
                    <w:right w:val="single" w:color="000000" w:sz="4" w:space="0"/>
                  </w:tcBorders>
                  <w:tcMar>
                    <w:top w:w="15" w:type="dxa"/>
                    <w:left w:w="15" w:type="dxa"/>
                    <w:bottom w:w="0" w:type="dxa"/>
                    <w:right w:w="15" w:type="dxa"/>
                  </w:tcMar>
                  <w:vAlign w:val="center"/>
                </w:tcPr>
                <w:p>
                  <w:pPr>
                    <w:rPr>
                      <w:rFonts w:ascii="宋体" w:cs="Arial"/>
                      <w:color w:val="000000"/>
                      <w:sz w:val="22"/>
                    </w:rPr>
                  </w:pPr>
                </w:p>
              </w:tc>
              <w:tc>
                <w:tcPr>
                  <w:tcW w:w="659" w:type="dxa"/>
                  <w:vMerge w:val="continue"/>
                  <w:tcBorders>
                    <w:top w:val="nil"/>
                    <w:left w:val="nil"/>
                    <w:bottom w:val="single" w:color="000000" w:sz="4" w:space="0"/>
                    <w:right w:val="single" w:color="000000" w:sz="4" w:space="0"/>
                  </w:tcBorders>
                  <w:tcMar>
                    <w:top w:w="15" w:type="dxa"/>
                    <w:left w:w="15" w:type="dxa"/>
                    <w:bottom w:w="0" w:type="dxa"/>
                    <w:right w:w="15" w:type="dxa"/>
                  </w:tcMar>
                  <w:vAlign w:val="center"/>
                </w:tcPr>
                <w:p>
                  <w:pPr>
                    <w:rPr>
                      <w:rFonts w:ascii="宋体" w:cs="Arial"/>
                      <w:color w:val="000000"/>
                      <w:sz w:val="22"/>
                    </w:rPr>
                  </w:pPr>
                </w:p>
              </w:tc>
              <w:tc>
                <w:tcPr>
                  <w:tcW w:w="4206" w:type="dxa"/>
                  <w:vMerge w:val="continue"/>
                  <w:tcBorders>
                    <w:top w:val="nil"/>
                    <w:left w:val="nil"/>
                    <w:bottom w:val="single" w:color="000000" w:sz="4" w:space="0"/>
                    <w:right w:val="single" w:color="000000" w:sz="4" w:space="0"/>
                  </w:tcBorders>
                  <w:tcMar>
                    <w:top w:w="15" w:type="dxa"/>
                    <w:left w:w="15" w:type="dxa"/>
                    <w:bottom w:w="0" w:type="dxa"/>
                    <w:right w:w="15" w:type="dxa"/>
                  </w:tcMar>
                  <w:vAlign w:val="center"/>
                </w:tcPr>
                <w:p>
                  <w:pPr>
                    <w:rPr>
                      <w:rFonts w:ascii="宋体" w:cs="Arial"/>
                      <w:color w:val="000000"/>
                      <w:sz w:val="22"/>
                    </w:rPr>
                  </w:pPr>
                </w:p>
              </w:tc>
              <w:tc>
                <w:tcPr>
                  <w:tcW w:w="1099" w:type="dxa"/>
                  <w:vMerge w:val="continue"/>
                  <w:tcBorders>
                    <w:top w:val="nil"/>
                    <w:left w:val="nil"/>
                    <w:bottom w:val="single" w:color="000000" w:sz="4" w:space="0"/>
                    <w:right w:val="single" w:color="000000" w:sz="4" w:space="0"/>
                  </w:tcBorders>
                  <w:tcMar>
                    <w:top w:w="15" w:type="dxa"/>
                    <w:left w:w="15" w:type="dxa"/>
                    <w:bottom w:w="0" w:type="dxa"/>
                    <w:right w:w="15" w:type="dxa"/>
                  </w:tcMar>
                  <w:vAlign w:val="center"/>
                </w:tcPr>
                <w:p>
                  <w:pPr>
                    <w:rPr>
                      <w:rFonts w:ascii="宋体" w:cs="Arial"/>
                      <w:color w:val="000000"/>
                      <w:sz w:val="22"/>
                    </w:rPr>
                  </w:pPr>
                </w:p>
              </w:tc>
              <w:tc>
                <w:tcPr>
                  <w:tcW w:w="50" w:type="dxa"/>
                  <w:tcBorders>
                    <w:top w:val="nil"/>
                    <w:left w:val="nil"/>
                    <w:bottom w:val="nil"/>
                    <w:right w:val="nil"/>
                  </w:tcBorders>
                  <w:noWrap/>
                  <w:tcMar>
                    <w:top w:w="15" w:type="dxa"/>
                    <w:left w:w="15" w:type="dxa"/>
                    <w:bottom w:w="0" w:type="dxa"/>
                    <w:right w:w="15" w:type="dxa"/>
                  </w:tcMar>
                  <w:vAlign w:val="bottom"/>
                </w:tcPr>
                <w:p>
                  <w:pPr>
                    <w:jc w:val="center"/>
                    <w:rPr>
                      <w:rFonts w:cs="Arial"/>
                      <w:color w:val="000000"/>
                      <w:sz w:val="22"/>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ascii="宋体" w:cs="Arial"/>
                      <w:color w:val="000000"/>
                      <w:sz w:val="22"/>
                    </w:rPr>
                  </w:pPr>
                  <w:r>
                    <w:rPr>
                      <w:rFonts w:cs="Arial"/>
                      <w:color w:val="000000"/>
                      <w:sz w:val="22"/>
                    </w:rPr>
                    <w:t>301</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工资福利支出</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675.49</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商品和服务支出</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3.24</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307</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债务利息及费用支出</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30101</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基本工资</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223.46</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30201</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办公费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0.18</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30701</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国内债务付息</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30102</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津贴补贴</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30202</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印刷费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30702</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国外债务付息</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30103</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奖金</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149.02</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30203</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咨询费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资本性支出</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30106</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伙食补助费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10.34</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30204</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手续费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31001</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房屋建筑物购建</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30107</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绩效工资</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103.91</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30205</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水费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31002</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办公设备购置</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30108</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机关事业单位基本养老保险缴费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83.93</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30206</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电费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0.52</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31003</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专用设备购置</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30109</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职业年金缴费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30207</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邮电费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0.16</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31005</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基础设施建设</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30110</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职工基本医疗保险缴费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68.07</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30208</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取暖费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31006</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大型修缮</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30111</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公务员医疗补助缴费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30209</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物业管理费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31007</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信息网络及软件购置更新</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30112</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其他社会保障缴费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7.28</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30211</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差旅费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0.10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31008</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物资储备</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30113</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住房公积金</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12.14</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30212</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因公出国（境）费用</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31009</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土地补偿</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30114</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医疗费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12.35</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30213</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维修（护）费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0.83</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31010</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安置补助</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30199</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其他工资福利支出</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4.99</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30214</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租赁费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31011</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地上附着物和青苗补偿</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对个人和家庭的补助</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30215</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会议费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31012</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拆迁补偿</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30301</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离休费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30216</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培训费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31013</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公务用车购置</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30302</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退休费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30217</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公务接待费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31019</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其他交通工具购置</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30303</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退职（役）费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30218</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专用材料费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31021</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文物和陈列品购置</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30304</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抚恤金</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30224</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被装购置费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31022</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无形资产购置</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30305</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生活补助</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30225</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专用燃料费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31099</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其他资本性支出</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30306</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救济费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30226</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劳务费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0.10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399</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其他支出</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30307</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医疗费补助</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30227</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委托业务费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39906</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赠与</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30308</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助学金</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30228</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工会经费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39907</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国家赔偿费用支出</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30309</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奖励金</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30229</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福利费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39908</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对民间非营利组织和群众性自治组织补贴</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30310</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个人农业生产补贴</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30231</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公务用车运行维护费</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1.05</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39999</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其他支出</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30311</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代缴社会保险费</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30239</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其他交通费用</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hint="eastAsia" w:cs="Arial"/>
                      <w:color w:val="000000"/>
                      <w:sz w:val="22"/>
                    </w:rPr>
                    <w:t>　</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　</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hint="eastAsia" w:cs="Arial"/>
                      <w:color w:val="000000"/>
                      <w:sz w:val="22"/>
                    </w:rPr>
                    <w:t>　</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30399</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其他对个人和家庭的补助</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0.00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30240</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税金及附加费用</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0.20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hint="eastAsia" w:cs="Arial"/>
                      <w:color w:val="000000"/>
                      <w:sz w:val="22"/>
                    </w:rPr>
                    <w:t>　</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　</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hint="eastAsia" w:cs="Arial"/>
                      <w:color w:val="000000"/>
                      <w:sz w:val="22"/>
                    </w:rPr>
                    <w:t>　</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660" w:type="dxa"/>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hint="eastAsia" w:cs="Arial"/>
                      <w:color w:val="000000"/>
                      <w:sz w:val="22"/>
                    </w:rPr>
                    <w:t>　</w:t>
                  </w:r>
                </w:p>
              </w:tc>
              <w:tc>
                <w:tcPr>
                  <w:tcW w:w="3327"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　</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hint="eastAsia" w:cs="Arial"/>
                      <w:color w:val="000000"/>
                      <w:sz w:val="22"/>
                    </w:rPr>
                    <w:t>　</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cs="Arial"/>
                      <w:color w:val="000000"/>
                      <w:sz w:val="22"/>
                    </w:rPr>
                    <w:t>30299</w:t>
                  </w:r>
                </w:p>
              </w:tc>
              <w:tc>
                <w:tcPr>
                  <w:tcW w:w="2398"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cs="Arial"/>
                      <w:color w:val="000000"/>
                      <w:sz w:val="22"/>
                    </w:rPr>
                    <w:t xml:space="preserve">  </w:t>
                  </w:r>
                  <w:r>
                    <w:rPr>
                      <w:rFonts w:hint="eastAsia" w:cs="Arial"/>
                      <w:color w:val="000000"/>
                      <w:sz w:val="22"/>
                    </w:rPr>
                    <w:t>其他商品和服务支出</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0.10</w:t>
                  </w:r>
                </w:p>
              </w:tc>
              <w:tc>
                <w:tcPr>
                  <w:tcW w:w="659"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left"/>
                    <w:rPr>
                      <w:rFonts w:cs="Arial"/>
                      <w:color w:val="000000"/>
                      <w:sz w:val="22"/>
                    </w:rPr>
                  </w:pPr>
                  <w:r>
                    <w:rPr>
                      <w:rFonts w:hint="eastAsia" w:cs="Arial"/>
                      <w:color w:val="000000"/>
                      <w:sz w:val="22"/>
                    </w:rPr>
                    <w:t>　</w:t>
                  </w:r>
                </w:p>
              </w:tc>
              <w:tc>
                <w:tcPr>
                  <w:tcW w:w="4206" w:type="dxa"/>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rPr>
                      <w:rFonts w:cs="Arial"/>
                      <w:color w:val="000000"/>
                      <w:sz w:val="22"/>
                    </w:rPr>
                  </w:pPr>
                  <w:r>
                    <w:rPr>
                      <w:rFonts w:hint="eastAsia" w:cs="Arial"/>
                      <w:color w:val="000000"/>
                      <w:sz w:val="22"/>
                    </w:rPr>
                    <w:t>　</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hint="eastAsia" w:cs="Arial"/>
                      <w:color w:val="000000"/>
                      <w:sz w:val="22"/>
                    </w:rPr>
                    <w:t>　</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3987" w:type="dxa"/>
                  <w:gridSpan w:val="2"/>
                  <w:tcBorders>
                    <w:top w:val="nil"/>
                    <w:left w:val="single" w:color="000000" w:sz="4" w:space="0"/>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人员经费合计</w:t>
                  </w:r>
                </w:p>
              </w:tc>
              <w:tc>
                <w:tcPr>
                  <w:tcW w:w="78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675.49</w:t>
                  </w:r>
                </w:p>
              </w:tc>
              <w:tc>
                <w:tcPr>
                  <w:tcW w:w="9021" w:type="dxa"/>
                  <w:gridSpan w:val="5"/>
                  <w:tcBorders>
                    <w:top w:val="nil"/>
                    <w:left w:val="nil"/>
                    <w:bottom w:val="single" w:color="000000" w:sz="4" w:space="0"/>
                    <w:right w:val="single" w:color="000000" w:sz="4" w:space="0"/>
                  </w:tcBorders>
                  <w:shd w:val="clear" w:color="FFFFFF" w:fill="C0C0C0"/>
                  <w:noWrap/>
                  <w:tcMar>
                    <w:top w:w="15" w:type="dxa"/>
                    <w:left w:w="15" w:type="dxa"/>
                    <w:bottom w:w="0" w:type="dxa"/>
                    <w:right w:w="15" w:type="dxa"/>
                  </w:tcMar>
                  <w:vAlign w:val="center"/>
                </w:tcPr>
                <w:p>
                  <w:pPr>
                    <w:jc w:val="center"/>
                    <w:rPr>
                      <w:rFonts w:cs="Arial"/>
                      <w:color w:val="000000"/>
                      <w:sz w:val="22"/>
                    </w:rPr>
                  </w:pPr>
                  <w:r>
                    <w:rPr>
                      <w:rFonts w:hint="eastAsia" w:cs="Arial"/>
                      <w:color w:val="000000"/>
                      <w:sz w:val="22"/>
                    </w:rPr>
                    <w:t>公用经费合计</w:t>
                  </w:r>
                </w:p>
              </w:tc>
              <w:tc>
                <w:tcPr>
                  <w:tcW w:w="109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right"/>
                    <w:rPr>
                      <w:rFonts w:cs="Arial"/>
                      <w:color w:val="000000"/>
                      <w:sz w:val="22"/>
                    </w:rPr>
                  </w:pPr>
                  <w:r>
                    <w:rPr>
                      <w:rFonts w:cs="Arial"/>
                      <w:color w:val="000000"/>
                      <w:sz w:val="22"/>
                    </w:rPr>
                    <w:t>3.24</w:t>
                  </w:r>
                </w:p>
              </w:tc>
              <w:tc>
                <w:tcPr>
                  <w:tcW w:w="50" w:type="dxa"/>
                  <w:vAlign w:val="center"/>
                </w:tcPr>
                <w:p>
                  <w:pPr>
                    <w:rPr>
                      <w:rFonts w:ascii="Times New Roman" w:hAnsi="Times New Roman"/>
                      <w:sz w:val="20"/>
                      <w:szCs w:val="20"/>
                    </w:rPr>
                  </w:pPr>
                </w:p>
              </w:tc>
            </w:tr>
            <w:tr>
              <w:tblPrEx>
                <w:tblCellMar>
                  <w:top w:w="0" w:type="dxa"/>
                  <w:left w:w="0" w:type="dxa"/>
                  <w:bottom w:w="0" w:type="dxa"/>
                  <w:right w:w="0" w:type="dxa"/>
                </w:tblCellMar>
              </w:tblPrEx>
              <w:trPr>
                <w:trHeight w:val="269" w:hRule="atLeast"/>
              </w:trPr>
              <w:tc>
                <w:tcPr>
                  <w:tcW w:w="14896" w:type="dxa"/>
                  <w:gridSpan w:val="9"/>
                  <w:tcBorders>
                    <w:top w:val="nil"/>
                    <w:left w:val="nil"/>
                    <w:bottom w:val="nil"/>
                    <w:right w:val="nil"/>
                  </w:tcBorders>
                  <w:noWrap/>
                  <w:tcMar>
                    <w:top w:w="15" w:type="dxa"/>
                    <w:left w:w="15" w:type="dxa"/>
                    <w:bottom w:w="0" w:type="dxa"/>
                    <w:right w:w="15" w:type="dxa"/>
                  </w:tcMar>
                  <w:vAlign w:val="center"/>
                </w:tcPr>
                <w:p>
                  <w:pPr>
                    <w:jc w:val="left"/>
                    <w:rPr>
                      <w:rFonts w:cs="Arial"/>
                      <w:color w:val="000000"/>
                      <w:sz w:val="22"/>
                    </w:rPr>
                  </w:pPr>
                  <w:r>
                    <w:rPr>
                      <w:rFonts w:hint="eastAsia" w:cs="Arial"/>
                      <w:color w:val="000000"/>
                      <w:sz w:val="22"/>
                    </w:rPr>
                    <w:t>注：本表反映部门本年度一般公共预算财政拨款基本支出明细情况。</w:t>
                  </w:r>
                </w:p>
              </w:tc>
              <w:tc>
                <w:tcPr>
                  <w:tcW w:w="50" w:type="dxa"/>
                  <w:vAlign w:val="center"/>
                </w:tcPr>
                <w:p>
                  <w:pPr>
                    <w:rPr>
                      <w:rFonts w:ascii="Times New Roman" w:hAnsi="Times New Roman"/>
                      <w:sz w:val="20"/>
                      <w:szCs w:val="20"/>
                    </w:rPr>
                  </w:pPr>
                </w:p>
              </w:tc>
            </w:tr>
          </w:tbl>
          <w:p>
            <w:pPr>
              <w:widowControl/>
              <w:jc w:val="center"/>
              <w:rPr>
                <w:rFonts w:ascii="华文中宋" w:hAnsi="华文中宋" w:eastAsia="华文中宋" w:cs="宋体"/>
                <w:color w:val="000000"/>
                <w:kern w:val="0"/>
                <w:sz w:val="30"/>
                <w:szCs w:val="30"/>
              </w:rPr>
            </w:pPr>
          </w:p>
        </w:tc>
      </w:tr>
      <w:tr>
        <w:tblPrEx>
          <w:tblCellMar>
            <w:top w:w="0" w:type="dxa"/>
            <w:left w:w="108" w:type="dxa"/>
            <w:bottom w:w="0" w:type="dxa"/>
            <w:right w:w="108" w:type="dxa"/>
          </w:tblCellMar>
        </w:tblPrEx>
        <w:trPr>
          <w:trHeight w:val="113" w:hRule="atLeast"/>
        </w:trPr>
        <w:tc>
          <w:tcPr>
            <w:tcW w:w="15590" w:type="dxa"/>
            <w:tcBorders>
              <w:top w:val="nil"/>
              <w:left w:val="nil"/>
              <w:bottom w:val="nil"/>
              <w:right w:val="nil"/>
            </w:tcBorders>
            <w:noWrap/>
            <w:vAlign w:val="center"/>
          </w:tcPr>
          <w:p>
            <w:pPr>
              <w:widowControl/>
              <w:jc w:val="center"/>
              <w:rPr>
                <w:rFonts w:ascii="华文中宋" w:hAnsi="华文中宋" w:eastAsia="华文中宋" w:cs="宋体"/>
                <w:color w:val="000000"/>
                <w:kern w:val="0"/>
                <w:sz w:val="30"/>
                <w:szCs w:val="30"/>
              </w:rPr>
            </w:pPr>
          </w:p>
          <w:p>
            <w:pPr>
              <w:widowControl/>
              <w:jc w:val="center"/>
              <w:rPr>
                <w:rFonts w:ascii="华文中宋" w:hAnsi="华文中宋" w:eastAsia="华文中宋" w:cs="宋体"/>
                <w:color w:val="000000"/>
                <w:kern w:val="0"/>
                <w:sz w:val="30"/>
                <w:szCs w:val="30"/>
              </w:rPr>
            </w:pPr>
          </w:p>
        </w:tc>
      </w:tr>
    </w:tbl>
    <w:p>
      <w:pPr>
        <w:widowControl/>
        <w:jc w:val="center"/>
        <w:rPr>
          <w:rFonts w:ascii="Times New Roman" w:hAnsi="Times New Roman" w:eastAsia="方正小标宋_GBK"/>
          <w:color w:val="000000"/>
          <w:kern w:val="0"/>
          <w:sz w:val="36"/>
          <w:szCs w:val="36"/>
        </w:rPr>
      </w:pPr>
    </w:p>
    <w:p>
      <w:pPr>
        <w:widowControl/>
        <w:jc w:val="center"/>
        <w:rPr>
          <w:rFonts w:ascii="Times New Roman" w:hAnsi="Times New Roman" w:eastAsia="方正小标宋_GBK"/>
          <w:color w:val="000000"/>
          <w:kern w:val="0"/>
          <w:sz w:val="36"/>
          <w:szCs w:val="36"/>
        </w:rPr>
      </w:pPr>
    </w:p>
    <w:p>
      <w:pPr>
        <w:widowControl/>
        <w:jc w:val="center"/>
        <w:rPr>
          <w:rFonts w:ascii="Times New Roman" w:hAnsi="Times New Roman" w:eastAsia="方正小标宋_GBK"/>
          <w:color w:val="000000"/>
          <w:kern w:val="0"/>
          <w:sz w:val="36"/>
          <w:szCs w:val="36"/>
        </w:rPr>
      </w:pPr>
    </w:p>
    <w:p>
      <w:pPr>
        <w:widowControl/>
        <w:rPr>
          <w:rFonts w:ascii="Times New Roman" w:hAnsi="Times New Roman" w:eastAsia="方正小标宋_GBK"/>
          <w:color w:val="000000"/>
          <w:kern w:val="0"/>
          <w:sz w:val="36"/>
          <w:szCs w:val="36"/>
        </w:rPr>
      </w:pPr>
    </w:p>
    <w:p>
      <w:pPr>
        <w:widowControl/>
        <w:rPr>
          <w:rFonts w:ascii="Times New Roman" w:hAnsi="Times New Roman" w:eastAsia="方正小标宋_GBK"/>
          <w:color w:val="000000"/>
          <w:kern w:val="0"/>
          <w:sz w:val="36"/>
          <w:szCs w:val="36"/>
        </w:rPr>
      </w:pPr>
    </w:p>
    <w:p>
      <w:pPr>
        <w:widowControl/>
        <w:jc w:val="center"/>
        <w:rPr>
          <w:rFonts w:ascii="Times New Roman" w:hAnsi="Times New Roman" w:eastAsia="方正小标宋_GBK"/>
          <w:color w:val="000000"/>
          <w:kern w:val="0"/>
          <w:sz w:val="36"/>
          <w:szCs w:val="36"/>
        </w:rPr>
      </w:pPr>
      <w:r>
        <w:rPr>
          <w:rFonts w:hint="eastAsia" w:ascii="Times New Roman" w:hAnsi="Times New Roman" w:eastAsia="方正小标宋_GBK"/>
          <w:color w:val="000000"/>
          <w:kern w:val="0"/>
          <w:sz w:val="36"/>
          <w:szCs w:val="36"/>
        </w:rPr>
        <w:t>一般公共预算财政拨款“三公”经费支出决算表</w:t>
      </w:r>
    </w:p>
    <w:p>
      <w:pPr>
        <w:widowControl/>
        <w:ind w:left="13860" w:hanging="13860" w:hangingChars="6600"/>
        <w:jc w:val="left"/>
        <w:rPr>
          <w:rFonts w:ascii="Times New Roman" w:hAnsi="Times New Roman" w:eastAsia="仿宋_GB2312"/>
          <w:color w:val="000000"/>
          <w:kern w:val="0"/>
          <w:szCs w:val="21"/>
        </w:rPr>
      </w:pPr>
      <w:r>
        <w:rPr>
          <w:rFonts w:ascii="Times New Roman" w:hAnsi="Times New Roman" w:eastAsia="仿宋_GB2312"/>
          <w:color w:val="000000"/>
          <w:kern w:val="0"/>
          <w:szCs w:val="21"/>
        </w:rPr>
        <w:t xml:space="preserve">                                                                                                                        </w:t>
      </w:r>
      <w:r>
        <w:rPr>
          <w:rFonts w:hint="eastAsia" w:ascii="Times New Roman" w:hAnsi="Times New Roman" w:eastAsia="仿宋_GB2312"/>
          <w:color w:val="000000"/>
          <w:kern w:val="0"/>
          <w:szCs w:val="21"/>
        </w:rPr>
        <w:t>公开</w:t>
      </w:r>
      <w:r>
        <w:rPr>
          <w:rFonts w:ascii="Times New Roman" w:hAnsi="Times New Roman" w:eastAsia="仿宋_GB2312"/>
          <w:color w:val="000000"/>
          <w:kern w:val="0"/>
          <w:szCs w:val="21"/>
        </w:rPr>
        <w:t>07</w:t>
      </w:r>
      <w:r>
        <w:rPr>
          <w:rFonts w:hint="eastAsia" w:ascii="Times New Roman" w:hAnsi="Times New Roman" w:eastAsia="仿宋_GB2312"/>
          <w:color w:val="000000"/>
          <w:kern w:val="0"/>
          <w:szCs w:val="21"/>
        </w:rPr>
        <w:t>表</w:t>
      </w:r>
    </w:p>
    <w:tbl>
      <w:tblPr>
        <w:tblStyle w:val="5"/>
        <w:tblW w:w="13060" w:type="dxa"/>
        <w:tblInd w:w="108" w:type="dxa"/>
        <w:tblLayout w:type="fixed"/>
        <w:tblCellMar>
          <w:top w:w="0" w:type="dxa"/>
          <w:left w:w="108" w:type="dxa"/>
          <w:bottom w:w="0" w:type="dxa"/>
          <w:right w:w="108" w:type="dxa"/>
        </w:tblCellMar>
      </w:tblPr>
      <w:tblGrid>
        <w:gridCol w:w="1040"/>
        <w:gridCol w:w="1160"/>
        <w:gridCol w:w="940"/>
        <w:gridCol w:w="1280"/>
        <w:gridCol w:w="1280"/>
        <w:gridCol w:w="1040"/>
        <w:gridCol w:w="840"/>
        <w:gridCol w:w="1080"/>
        <w:gridCol w:w="940"/>
        <w:gridCol w:w="1280"/>
        <w:gridCol w:w="1160"/>
        <w:gridCol w:w="1020"/>
      </w:tblGrid>
      <w:tr>
        <w:tblPrEx>
          <w:tblCellMar>
            <w:top w:w="0" w:type="dxa"/>
            <w:left w:w="108" w:type="dxa"/>
            <w:bottom w:w="0" w:type="dxa"/>
            <w:right w:w="108" w:type="dxa"/>
          </w:tblCellMar>
        </w:tblPrEx>
        <w:trPr>
          <w:trHeight w:val="462" w:hRule="atLeast"/>
        </w:trPr>
        <w:tc>
          <w:tcPr>
            <w:tcW w:w="4420" w:type="dxa"/>
            <w:gridSpan w:val="4"/>
            <w:tcBorders>
              <w:top w:val="nil"/>
              <w:left w:val="nil"/>
              <w:bottom w:val="nil"/>
              <w:right w:val="nil"/>
            </w:tcBorders>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部门：岳阳市建设工程质量安全监督站</w:t>
            </w:r>
          </w:p>
        </w:tc>
        <w:tc>
          <w:tcPr>
            <w:tcW w:w="1280" w:type="dxa"/>
            <w:tcBorders>
              <w:top w:val="nil"/>
              <w:left w:val="nil"/>
              <w:bottom w:val="nil"/>
              <w:right w:val="nil"/>
            </w:tcBorders>
            <w:noWrap/>
            <w:vAlign w:val="bottom"/>
          </w:tcPr>
          <w:p>
            <w:pPr>
              <w:widowControl/>
              <w:jc w:val="left"/>
              <w:rPr>
                <w:rFonts w:ascii="宋体" w:cs="Arial"/>
                <w:color w:val="000000"/>
                <w:kern w:val="0"/>
                <w:sz w:val="20"/>
                <w:szCs w:val="20"/>
              </w:rPr>
            </w:pPr>
          </w:p>
        </w:tc>
        <w:tc>
          <w:tcPr>
            <w:tcW w:w="104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84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08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94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8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16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020"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602" w:hRule="atLeast"/>
        </w:trPr>
        <w:tc>
          <w:tcPr>
            <w:tcW w:w="6740" w:type="dxa"/>
            <w:gridSpan w:val="6"/>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预算数</w:t>
            </w:r>
          </w:p>
        </w:tc>
        <w:tc>
          <w:tcPr>
            <w:tcW w:w="6320" w:type="dxa"/>
            <w:gridSpan w:val="6"/>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决算数</w:t>
            </w:r>
          </w:p>
        </w:tc>
      </w:tr>
      <w:tr>
        <w:tblPrEx>
          <w:tblCellMar>
            <w:top w:w="0" w:type="dxa"/>
            <w:left w:w="108" w:type="dxa"/>
            <w:bottom w:w="0" w:type="dxa"/>
            <w:right w:w="108" w:type="dxa"/>
          </w:tblCellMar>
        </w:tblPrEx>
        <w:trPr>
          <w:trHeight w:val="602" w:hRule="atLeast"/>
        </w:trPr>
        <w:tc>
          <w:tcPr>
            <w:tcW w:w="1040" w:type="dxa"/>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160"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因公出国（境）费</w:t>
            </w:r>
          </w:p>
        </w:tc>
        <w:tc>
          <w:tcPr>
            <w:tcW w:w="3500" w:type="dxa"/>
            <w:gridSpan w:val="3"/>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公务用车购置及运行费</w:t>
            </w:r>
          </w:p>
        </w:tc>
        <w:tc>
          <w:tcPr>
            <w:tcW w:w="1040"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公务接待费</w:t>
            </w:r>
          </w:p>
        </w:tc>
        <w:tc>
          <w:tcPr>
            <w:tcW w:w="840"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080"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因公出国（境）费</w:t>
            </w:r>
          </w:p>
        </w:tc>
        <w:tc>
          <w:tcPr>
            <w:tcW w:w="3380" w:type="dxa"/>
            <w:gridSpan w:val="3"/>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公务用车购置及运行费</w:t>
            </w:r>
          </w:p>
        </w:tc>
        <w:tc>
          <w:tcPr>
            <w:tcW w:w="1020"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公务接待费</w:t>
            </w:r>
          </w:p>
        </w:tc>
      </w:tr>
      <w:tr>
        <w:tblPrEx>
          <w:tblCellMar>
            <w:top w:w="0" w:type="dxa"/>
            <w:left w:w="108" w:type="dxa"/>
            <w:bottom w:w="0" w:type="dxa"/>
            <w:right w:w="108" w:type="dxa"/>
          </w:tblCellMar>
        </w:tblPrEx>
        <w:trPr>
          <w:trHeight w:val="602" w:hRule="atLeast"/>
        </w:trPr>
        <w:tc>
          <w:tcPr>
            <w:tcW w:w="104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116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94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小计</w:t>
            </w:r>
          </w:p>
        </w:tc>
        <w:tc>
          <w:tcPr>
            <w:tcW w:w="128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公务用车购置费</w:t>
            </w:r>
          </w:p>
        </w:tc>
        <w:tc>
          <w:tcPr>
            <w:tcW w:w="128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公务用车运行费</w:t>
            </w:r>
          </w:p>
        </w:tc>
        <w:tc>
          <w:tcPr>
            <w:tcW w:w="104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84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08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94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小计</w:t>
            </w:r>
          </w:p>
        </w:tc>
        <w:tc>
          <w:tcPr>
            <w:tcW w:w="128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公务用车购置费</w:t>
            </w:r>
          </w:p>
        </w:tc>
        <w:tc>
          <w:tcPr>
            <w:tcW w:w="116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公务用车运行费</w:t>
            </w:r>
          </w:p>
        </w:tc>
        <w:tc>
          <w:tcPr>
            <w:tcW w:w="1020"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r>
      <w:tr>
        <w:tblPrEx>
          <w:tblCellMar>
            <w:top w:w="0" w:type="dxa"/>
            <w:left w:w="108" w:type="dxa"/>
            <w:bottom w:w="0" w:type="dxa"/>
            <w:right w:w="108" w:type="dxa"/>
          </w:tblCellMar>
        </w:tblPrEx>
        <w:trPr>
          <w:trHeight w:val="602" w:hRule="atLeast"/>
        </w:trPr>
        <w:tc>
          <w:tcPr>
            <w:tcW w:w="1040" w:type="dxa"/>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16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2</w:t>
            </w:r>
          </w:p>
        </w:tc>
        <w:tc>
          <w:tcPr>
            <w:tcW w:w="94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28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28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5</w:t>
            </w:r>
          </w:p>
        </w:tc>
        <w:tc>
          <w:tcPr>
            <w:tcW w:w="104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6</w:t>
            </w:r>
          </w:p>
        </w:tc>
        <w:tc>
          <w:tcPr>
            <w:tcW w:w="84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7</w:t>
            </w:r>
          </w:p>
        </w:tc>
        <w:tc>
          <w:tcPr>
            <w:tcW w:w="108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8</w:t>
            </w:r>
          </w:p>
        </w:tc>
        <w:tc>
          <w:tcPr>
            <w:tcW w:w="94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9</w:t>
            </w:r>
          </w:p>
        </w:tc>
        <w:tc>
          <w:tcPr>
            <w:tcW w:w="128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10</w:t>
            </w:r>
          </w:p>
        </w:tc>
        <w:tc>
          <w:tcPr>
            <w:tcW w:w="116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11</w:t>
            </w:r>
          </w:p>
        </w:tc>
        <w:tc>
          <w:tcPr>
            <w:tcW w:w="1020" w:type="dxa"/>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ascii="宋体" w:hAnsi="宋体" w:cs="Arial"/>
                <w:color w:val="000000"/>
                <w:kern w:val="0"/>
                <w:sz w:val="22"/>
              </w:rPr>
              <w:t>12</w:t>
            </w:r>
          </w:p>
        </w:tc>
      </w:tr>
      <w:tr>
        <w:tblPrEx>
          <w:tblCellMar>
            <w:top w:w="0" w:type="dxa"/>
            <w:left w:w="108" w:type="dxa"/>
            <w:bottom w:w="0" w:type="dxa"/>
            <w:right w:w="108" w:type="dxa"/>
          </w:tblCellMar>
        </w:tblPrEx>
        <w:trPr>
          <w:trHeight w:val="602" w:hRule="atLeast"/>
        </w:trPr>
        <w:tc>
          <w:tcPr>
            <w:tcW w:w="1040" w:type="dxa"/>
            <w:tcBorders>
              <w:top w:val="nil"/>
              <w:left w:val="single" w:color="000000" w:sz="4" w:space="0"/>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6.00</w:t>
            </w:r>
          </w:p>
        </w:tc>
        <w:tc>
          <w:tcPr>
            <w:tcW w:w="11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9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6.00</w:t>
            </w:r>
          </w:p>
        </w:tc>
        <w:tc>
          <w:tcPr>
            <w:tcW w:w="12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2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6.00</w:t>
            </w:r>
          </w:p>
        </w:tc>
        <w:tc>
          <w:tcPr>
            <w:tcW w:w="10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8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1.05</w:t>
            </w:r>
          </w:p>
        </w:tc>
        <w:tc>
          <w:tcPr>
            <w:tcW w:w="10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94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1.05</w:t>
            </w:r>
          </w:p>
        </w:tc>
        <w:tc>
          <w:tcPr>
            <w:tcW w:w="128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16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1.05</w:t>
            </w:r>
          </w:p>
        </w:tc>
        <w:tc>
          <w:tcPr>
            <w:tcW w:w="1020"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r>
      <w:tr>
        <w:tblPrEx>
          <w:tblCellMar>
            <w:top w:w="0" w:type="dxa"/>
            <w:left w:w="108" w:type="dxa"/>
            <w:bottom w:w="0" w:type="dxa"/>
            <w:right w:w="108" w:type="dxa"/>
          </w:tblCellMar>
        </w:tblPrEx>
        <w:trPr>
          <w:trHeight w:val="534" w:hRule="atLeast"/>
        </w:trPr>
        <w:tc>
          <w:tcPr>
            <w:tcW w:w="13060" w:type="dxa"/>
            <w:gridSpan w:val="12"/>
            <w:tcBorders>
              <w:top w:val="nil"/>
              <w:left w:val="nil"/>
              <w:bottom w:val="nil"/>
              <w:right w:val="nil"/>
            </w:tcBorders>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三公”经费支出预决算情况。其中，预算数为“三公”经费全年预算数，反映按规定程序调整后的预算数；决算数是包括当年一般公共预算财政拨款和以前年度结转资金安排的实际支出。</w:t>
            </w:r>
          </w:p>
        </w:tc>
      </w:tr>
      <w:tr>
        <w:trPr>
          <w:trHeight w:val="258" w:hRule="atLeast"/>
        </w:trPr>
        <w:tc>
          <w:tcPr>
            <w:tcW w:w="1040" w:type="dxa"/>
            <w:tcBorders>
              <w:top w:val="nil"/>
              <w:left w:val="nil"/>
              <w:bottom w:val="nil"/>
              <w:right w:val="nil"/>
            </w:tcBorders>
            <w:noWrap/>
            <w:vAlign w:val="bottom"/>
          </w:tcPr>
          <w:p>
            <w:pPr>
              <w:widowControl/>
              <w:jc w:val="left"/>
              <w:rPr>
                <w:rFonts w:ascii="宋体" w:cs="Arial"/>
                <w:color w:val="000000"/>
                <w:kern w:val="0"/>
                <w:sz w:val="22"/>
              </w:rPr>
            </w:pPr>
          </w:p>
        </w:tc>
        <w:tc>
          <w:tcPr>
            <w:tcW w:w="116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94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8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8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04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84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08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94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8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160"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020" w:type="dxa"/>
            <w:tcBorders>
              <w:top w:val="nil"/>
              <w:left w:val="nil"/>
              <w:bottom w:val="nil"/>
              <w:right w:val="nil"/>
            </w:tcBorders>
            <w:noWrap/>
            <w:vAlign w:val="bottom"/>
          </w:tcPr>
          <w:p>
            <w:pPr>
              <w:widowControl/>
              <w:jc w:val="left"/>
              <w:rPr>
                <w:rFonts w:ascii="Times New Roman" w:hAnsi="Times New Roman"/>
                <w:kern w:val="0"/>
                <w:sz w:val="20"/>
                <w:szCs w:val="20"/>
              </w:rPr>
            </w:pPr>
          </w:p>
        </w:tc>
      </w:tr>
    </w:tbl>
    <w:p>
      <w:pPr>
        <w:autoSpaceDE w:val="0"/>
        <w:autoSpaceDN w:val="0"/>
        <w:adjustRightInd w:val="0"/>
        <w:ind w:left="315" w:leftChars="150"/>
        <w:jc w:val="left"/>
        <w:rPr>
          <w:rFonts w:ascii="Times New Roman" w:hAnsi="Times New Roman" w:eastAsia="仿宋_GB2312"/>
          <w:color w:val="000000"/>
          <w:kern w:val="0"/>
          <w:szCs w:val="21"/>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ind w:left="315" w:leftChars="150"/>
        <w:jc w:val="left"/>
        <w:rPr>
          <w:rFonts w:ascii="宋体" w:cs="宋体"/>
          <w:kern w:val="0"/>
          <w:sz w:val="24"/>
          <w:szCs w:val="24"/>
        </w:rPr>
      </w:pPr>
    </w:p>
    <w:p>
      <w:pPr>
        <w:autoSpaceDE w:val="0"/>
        <w:autoSpaceDN w:val="0"/>
        <w:adjustRightInd w:val="0"/>
        <w:jc w:val="left"/>
        <w:rPr>
          <w:rFonts w:ascii="宋体" w:cs="宋体"/>
          <w:kern w:val="0"/>
          <w:sz w:val="24"/>
          <w:szCs w:val="24"/>
        </w:rPr>
      </w:pPr>
    </w:p>
    <w:p>
      <w:pPr>
        <w:widowControl/>
        <w:jc w:val="center"/>
        <w:rPr>
          <w:rFonts w:ascii="Times New Roman" w:hAnsi="Times New Roman" w:eastAsia="方正小标宋_GBK"/>
          <w:kern w:val="0"/>
          <w:sz w:val="36"/>
          <w:szCs w:val="36"/>
        </w:rPr>
      </w:pPr>
      <w:r>
        <w:rPr>
          <w:rFonts w:hint="eastAsia" w:ascii="Times New Roman" w:hAnsi="Times New Roman" w:eastAsia="方正小标宋_GBK"/>
          <w:kern w:val="0"/>
          <w:sz w:val="36"/>
          <w:szCs w:val="36"/>
        </w:rPr>
        <w:t>政府性基金预算财政拨款收入支出决算表</w:t>
      </w:r>
    </w:p>
    <w:p>
      <w:pPr>
        <w:widowControl/>
        <w:wordWrap w:val="0"/>
        <w:jc w:val="right"/>
        <w:rPr>
          <w:rFonts w:ascii="Times New Roman" w:hAnsi="Times New Roman" w:eastAsia="仿宋_GB2312"/>
          <w:color w:val="000000"/>
          <w:kern w:val="0"/>
          <w:szCs w:val="21"/>
        </w:rPr>
      </w:pPr>
      <w:r>
        <w:rPr>
          <w:rFonts w:ascii="Times New Roman" w:hAnsi="Times New Roman" w:eastAsia="仿宋_GB2312"/>
          <w:color w:val="000000"/>
          <w:kern w:val="0"/>
          <w:szCs w:val="21"/>
        </w:rPr>
        <w:t xml:space="preserve">                                                                                                                  </w:t>
      </w:r>
      <w:r>
        <w:rPr>
          <w:rFonts w:hint="eastAsia" w:ascii="Times New Roman" w:hAnsi="Times New Roman" w:eastAsia="仿宋_GB2312"/>
          <w:color w:val="000000"/>
          <w:kern w:val="0"/>
          <w:szCs w:val="21"/>
        </w:rPr>
        <w:t>公开</w:t>
      </w:r>
      <w:r>
        <w:rPr>
          <w:rFonts w:ascii="Times New Roman" w:hAnsi="Times New Roman" w:eastAsia="仿宋_GB2312"/>
          <w:color w:val="000000"/>
          <w:kern w:val="0"/>
          <w:szCs w:val="21"/>
        </w:rPr>
        <w:t>08</w:t>
      </w:r>
      <w:r>
        <w:rPr>
          <w:rFonts w:hint="eastAsia" w:ascii="Times New Roman" w:hAnsi="Times New Roman" w:eastAsia="仿宋_GB2312"/>
          <w:color w:val="000000"/>
          <w:kern w:val="0"/>
          <w:szCs w:val="21"/>
        </w:rPr>
        <w:t>表</w:t>
      </w:r>
    </w:p>
    <w:tbl>
      <w:tblPr>
        <w:tblStyle w:val="5"/>
        <w:tblW w:w="14998" w:type="dxa"/>
        <w:tblInd w:w="108" w:type="dxa"/>
        <w:tblLayout w:type="fixed"/>
        <w:tblCellMar>
          <w:top w:w="0" w:type="dxa"/>
          <w:left w:w="108" w:type="dxa"/>
          <w:bottom w:w="0" w:type="dxa"/>
          <w:right w:w="108" w:type="dxa"/>
        </w:tblCellMar>
      </w:tblPr>
      <w:tblGrid>
        <w:gridCol w:w="462"/>
        <w:gridCol w:w="406"/>
        <w:gridCol w:w="116"/>
        <w:gridCol w:w="186"/>
        <w:gridCol w:w="4020"/>
        <w:gridCol w:w="324"/>
        <w:gridCol w:w="1155"/>
        <w:gridCol w:w="104"/>
        <w:gridCol w:w="1199"/>
        <w:gridCol w:w="236"/>
        <w:gridCol w:w="1003"/>
        <w:gridCol w:w="516"/>
        <w:gridCol w:w="643"/>
        <w:gridCol w:w="775"/>
        <w:gridCol w:w="743"/>
        <w:gridCol w:w="775"/>
        <w:gridCol w:w="410"/>
        <w:gridCol w:w="556"/>
        <w:gridCol w:w="1133"/>
        <w:gridCol w:w="236"/>
      </w:tblGrid>
      <w:tr>
        <w:trPr>
          <w:gridAfter w:val="2"/>
          <w:wAfter w:w="1369" w:type="dxa"/>
          <w:trHeight w:val="258" w:hRule="atLeast"/>
        </w:trPr>
        <w:tc>
          <w:tcPr>
            <w:tcW w:w="462" w:type="dxa"/>
            <w:tcBorders>
              <w:top w:val="nil"/>
              <w:left w:val="nil"/>
              <w:bottom w:val="nil"/>
              <w:right w:val="nil"/>
            </w:tcBorders>
            <w:noWrap/>
            <w:vAlign w:val="bottom"/>
          </w:tcPr>
          <w:p>
            <w:pPr>
              <w:widowControl/>
              <w:jc w:val="left"/>
              <w:rPr>
                <w:rFonts w:ascii="宋体" w:cs="Arial"/>
                <w:color w:val="000000"/>
                <w:kern w:val="0"/>
                <w:sz w:val="22"/>
              </w:rPr>
            </w:pPr>
          </w:p>
        </w:tc>
        <w:tc>
          <w:tcPr>
            <w:tcW w:w="406"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302"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4344"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1259"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1199" w:type="dxa"/>
            <w:tcBorders>
              <w:top w:val="nil"/>
              <w:left w:val="nil"/>
              <w:bottom w:val="nil"/>
              <w:right w:val="nil"/>
            </w:tcBorders>
            <w:noWrap/>
            <w:vAlign w:val="bottom"/>
          </w:tcPr>
          <w:p>
            <w:pPr>
              <w:widowControl/>
              <w:jc w:val="left"/>
              <w:rPr>
                <w:rFonts w:ascii="Times New Roman" w:hAnsi="Times New Roman"/>
                <w:kern w:val="0"/>
                <w:sz w:val="20"/>
                <w:szCs w:val="20"/>
              </w:rPr>
            </w:pPr>
          </w:p>
        </w:tc>
        <w:tc>
          <w:tcPr>
            <w:tcW w:w="1239"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1159"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1518"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1185"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556" w:type="dxa"/>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After w:val="1"/>
          <w:wAfter w:w="236" w:type="dxa"/>
          <w:trHeight w:val="459" w:hRule="atLeast"/>
        </w:trPr>
        <w:tc>
          <w:tcPr>
            <w:tcW w:w="5190" w:type="dxa"/>
            <w:gridSpan w:val="5"/>
            <w:tcBorders>
              <w:top w:val="nil"/>
              <w:left w:val="nil"/>
              <w:bottom w:val="nil"/>
              <w:right w:val="nil"/>
            </w:tcBorders>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部门：岳阳市建设工程质量安全监督站</w:t>
            </w:r>
          </w:p>
        </w:tc>
        <w:tc>
          <w:tcPr>
            <w:tcW w:w="1479" w:type="dxa"/>
            <w:gridSpan w:val="2"/>
            <w:tcBorders>
              <w:top w:val="nil"/>
              <w:left w:val="nil"/>
              <w:bottom w:val="nil"/>
              <w:right w:val="nil"/>
            </w:tcBorders>
            <w:noWrap/>
            <w:vAlign w:val="bottom"/>
          </w:tcPr>
          <w:p>
            <w:pPr>
              <w:widowControl/>
              <w:jc w:val="left"/>
              <w:rPr>
                <w:rFonts w:ascii="宋体" w:cs="Arial"/>
                <w:color w:val="000000"/>
                <w:kern w:val="0"/>
                <w:sz w:val="20"/>
                <w:szCs w:val="20"/>
              </w:rPr>
            </w:pPr>
          </w:p>
        </w:tc>
        <w:tc>
          <w:tcPr>
            <w:tcW w:w="1539" w:type="dxa"/>
            <w:gridSpan w:val="3"/>
            <w:tcBorders>
              <w:top w:val="nil"/>
              <w:left w:val="nil"/>
              <w:bottom w:val="nil"/>
              <w:right w:val="nil"/>
            </w:tcBorders>
            <w:noWrap/>
            <w:vAlign w:val="bottom"/>
          </w:tcPr>
          <w:p>
            <w:pPr>
              <w:widowControl/>
              <w:jc w:val="left"/>
              <w:rPr>
                <w:rFonts w:ascii="Times New Roman" w:hAnsi="Times New Roman"/>
                <w:kern w:val="0"/>
                <w:sz w:val="20"/>
                <w:szCs w:val="20"/>
              </w:rPr>
            </w:pPr>
          </w:p>
        </w:tc>
        <w:tc>
          <w:tcPr>
            <w:tcW w:w="1519"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1418"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1518" w:type="dxa"/>
            <w:gridSpan w:val="2"/>
            <w:tcBorders>
              <w:top w:val="nil"/>
              <w:left w:val="nil"/>
              <w:bottom w:val="nil"/>
              <w:right w:val="nil"/>
            </w:tcBorders>
            <w:noWrap/>
            <w:vAlign w:val="bottom"/>
          </w:tcPr>
          <w:p>
            <w:pPr>
              <w:widowControl/>
              <w:jc w:val="left"/>
              <w:rPr>
                <w:rFonts w:ascii="Times New Roman" w:hAnsi="Times New Roman"/>
                <w:kern w:val="0"/>
                <w:sz w:val="20"/>
                <w:szCs w:val="20"/>
              </w:rPr>
            </w:pPr>
          </w:p>
        </w:tc>
        <w:tc>
          <w:tcPr>
            <w:tcW w:w="2099" w:type="dxa"/>
            <w:gridSpan w:val="3"/>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1"/>
          <w:wAfter w:w="236" w:type="dxa"/>
          <w:trHeight w:val="459" w:hRule="atLeast"/>
        </w:trPr>
        <w:tc>
          <w:tcPr>
            <w:tcW w:w="5190" w:type="dxa"/>
            <w:gridSpan w:val="5"/>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1479" w:type="dxa"/>
            <w:gridSpan w:val="2"/>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年初结转和结余</w:t>
            </w:r>
          </w:p>
        </w:tc>
        <w:tc>
          <w:tcPr>
            <w:tcW w:w="1539" w:type="dxa"/>
            <w:gridSpan w:val="3"/>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本年收入</w:t>
            </w:r>
          </w:p>
        </w:tc>
        <w:tc>
          <w:tcPr>
            <w:tcW w:w="4455" w:type="dxa"/>
            <w:gridSpan w:val="6"/>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本年支出</w:t>
            </w:r>
          </w:p>
        </w:tc>
        <w:tc>
          <w:tcPr>
            <w:tcW w:w="2099" w:type="dxa"/>
            <w:gridSpan w:val="3"/>
            <w:vMerge w:val="restart"/>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年末结转和结余</w:t>
            </w:r>
          </w:p>
        </w:tc>
      </w:tr>
      <w:tr>
        <w:tblPrEx>
          <w:tblCellMar>
            <w:top w:w="0" w:type="dxa"/>
            <w:left w:w="108" w:type="dxa"/>
            <w:bottom w:w="0" w:type="dxa"/>
            <w:right w:w="108" w:type="dxa"/>
          </w:tblCellMar>
        </w:tblPrEx>
        <w:trPr>
          <w:gridAfter w:val="1"/>
          <w:wAfter w:w="236" w:type="dxa"/>
          <w:trHeight w:val="459" w:hRule="atLeast"/>
        </w:trPr>
        <w:tc>
          <w:tcPr>
            <w:tcW w:w="984" w:type="dxa"/>
            <w:gridSpan w:val="3"/>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功能分类科目编码</w:t>
            </w:r>
          </w:p>
        </w:tc>
        <w:tc>
          <w:tcPr>
            <w:tcW w:w="4206" w:type="dxa"/>
            <w:gridSpan w:val="2"/>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1479" w:type="dxa"/>
            <w:gridSpan w:val="2"/>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39" w:type="dxa"/>
            <w:gridSpan w:val="3"/>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19" w:type="dxa"/>
            <w:gridSpan w:val="2"/>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小计</w:t>
            </w:r>
          </w:p>
        </w:tc>
        <w:tc>
          <w:tcPr>
            <w:tcW w:w="1418" w:type="dxa"/>
            <w:gridSpan w:val="2"/>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基本支出</w:t>
            </w:r>
          </w:p>
        </w:tc>
        <w:tc>
          <w:tcPr>
            <w:tcW w:w="1518" w:type="dxa"/>
            <w:gridSpan w:val="2"/>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项目支出</w:t>
            </w:r>
          </w:p>
        </w:tc>
        <w:tc>
          <w:tcPr>
            <w:tcW w:w="2099" w:type="dxa"/>
            <w:gridSpan w:val="3"/>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r>
      <w:tr>
        <w:tblPrEx>
          <w:tblCellMar>
            <w:top w:w="0" w:type="dxa"/>
            <w:left w:w="108" w:type="dxa"/>
            <w:bottom w:w="0" w:type="dxa"/>
            <w:right w:w="108" w:type="dxa"/>
          </w:tblCellMar>
        </w:tblPrEx>
        <w:trPr>
          <w:trHeight w:val="459" w:hRule="atLeast"/>
        </w:trPr>
        <w:tc>
          <w:tcPr>
            <w:tcW w:w="984"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4206"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79" w:type="dxa"/>
            <w:gridSpan w:val="2"/>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39" w:type="dxa"/>
            <w:gridSpan w:val="3"/>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19"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18"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18"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099" w:type="dxa"/>
            <w:gridSpan w:val="3"/>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 w:type="dxa"/>
            <w:tcBorders>
              <w:top w:val="nil"/>
              <w:left w:val="nil"/>
              <w:bottom w:val="nil"/>
              <w:right w:val="nil"/>
            </w:tcBorders>
            <w:noWrap/>
            <w:vAlign w:val="bottom"/>
          </w:tcPr>
          <w:p>
            <w:pPr>
              <w:widowControl/>
              <w:jc w:val="center"/>
              <w:rPr>
                <w:rFonts w:ascii="宋体" w:cs="Arial"/>
                <w:color w:val="000000"/>
                <w:kern w:val="0"/>
                <w:sz w:val="22"/>
              </w:rPr>
            </w:pPr>
          </w:p>
        </w:tc>
      </w:tr>
      <w:tr>
        <w:tblPrEx>
          <w:tblCellMar>
            <w:top w:w="0" w:type="dxa"/>
            <w:left w:w="108" w:type="dxa"/>
            <w:bottom w:w="0" w:type="dxa"/>
            <w:right w:w="108" w:type="dxa"/>
          </w:tblCellMar>
        </w:tblPrEx>
        <w:trPr>
          <w:trHeight w:val="459" w:hRule="atLeast"/>
        </w:trPr>
        <w:tc>
          <w:tcPr>
            <w:tcW w:w="984" w:type="dxa"/>
            <w:gridSpan w:val="3"/>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4206"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79" w:type="dxa"/>
            <w:gridSpan w:val="2"/>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39" w:type="dxa"/>
            <w:gridSpan w:val="3"/>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19"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418"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1518"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099" w:type="dxa"/>
            <w:gridSpan w:val="3"/>
            <w:vMerge w:val="continue"/>
            <w:tcBorders>
              <w:top w:val="single" w:color="000000" w:sz="4" w:space="0"/>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 w:type="dxa"/>
            <w:tcBorders>
              <w:top w:val="nil"/>
              <w:left w:val="nil"/>
              <w:bottom w:val="nil"/>
              <w:right w:val="nil"/>
            </w:tcBorders>
            <w:noWrap/>
            <w:vAlign w:val="bottom"/>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459" w:hRule="atLeast"/>
        </w:trPr>
        <w:tc>
          <w:tcPr>
            <w:tcW w:w="5190" w:type="dxa"/>
            <w:gridSpan w:val="5"/>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1479"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1539" w:type="dxa"/>
            <w:gridSpan w:val="3"/>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1519"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1418"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4</w:t>
            </w:r>
          </w:p>
        </w:tc>
        <w:tc>
          <w:tcPr>
            <w:tcW w:w="1518" w:type="dxa"/>
            <w:gridSpan w:val="2"/>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5</w:t>
            </w:r>
          </w:p>
        </w:tc>
        <w:tc>
          <w:tcPr>
            <w:tcW w:w="2099" w:type="dxa"/>
            <w:gridSpan w:val="3"/>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6</w:t>
            </w:r>
          </w:p>
        </w:tc>
        <w:tc>
          <w:tcPr>
            <w:tcW w:w="236" w:type="dxa"/>
            <w:vAlign w:val="center"/>
          </w:tcPr>
          <w:p>
            <w:pPr>
              <w:widowControl/>
              <w:jc w:val="left"/>
              <w:rPr>
                <w:rFonts w:ascii="Times New Roman" w:hAnsi="Times New Roman"/>
                <w:kern w:val="0"/>
                <w:sz w:val="20"/>
                <w:szCs w:val="20"/>
              </w:rPr>
            </w:pPr>
          </w:p>
        </w:tc>
      </w:tr>
      <w:tr>
        <w:trPr>
          <w:trHeight w:val="459" w:hRule="atLeast"/>
        </w:trPr>
        <w:tc>
          <w:tcPr>
            <w:tcW w:w="5190" w:type="dxa"/>
            <w:gridSpan w:val="5"/>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1479" w:type="dxa"/>
            <w:gridSpan w:val="2"/>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539" w:type="dxa"/>
            <w:gridSpan w:val="3"/>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hAnsi="宋体" w:cs="Arial"/>
                <w:b/>
                <w:bCs/>
                <w:color w:val="000000"/>
                <w:kern w:val="0"/>
                <w:sz w:val="22"/>
              </w:rPr>
              <w:t>40.00</w:t>
            </w:r>
          </w:p>
        </w:tc>
        <w:tc>
          <w:tcPr>
            <w:tcW w:w="1519" w:type="dxa"/>
            <w:gridSpan w:val="2"/>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hAnsi="宋体" w:cs="Arial"/>
                <w:b/>
                <w:bCs/>
                <w:color w:val="000000"/>
                <w:kern w:val="0"/>
                <w:sz w:val="22"/>
              </w:rPr>
              <w:t>40.00</w:t>
            </w:r>
          </w:p>
        </w:tc>
        <w:tc>
          <w:tcPr>
            <w:tcW w:w="1418" w:type="dxa"/>
            <w:gridSpan w:val="2"/>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hAnsi="宋体" w:cs="Arial"/>
                <w:b/>
                <w:bCs/>
                <w:color w:val="000000"/>
                <w:kern w:val="0"/>
                <w:sz w:val="22"/>
              </w:rPr>
              <w:t>40.00</w:t>
            </w:r>
          </w:p>
        </w:tc>
        <w:tc>
          <w:tcPr>
            <w:tcW w:w="2099" w:type="dxa"/>
            <w:gridSpan w:val="3"/>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ascii="宋体" w:cs="Arial"/>
                <w:b/>
                <w:bCs/>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459" w:hRule="atLeast"/>
        </w:trPr>
        <w:tc>
          <w:tcPr>
            <w:tcW w:w="984"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w:t>
            </w:r>
          </w:p>
        </w:tc>
        <w:tc>
          <w:tcPr>
            <w:tcW w:w="4206"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城乡社区支出</w:t>
            </w:r>
          </w:p>
        </w:tc>
        <w:tc>
          <w:tcPr>
            <w:tcW w:w="147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3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51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4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209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459" w:hRule="atLeast"/>
        </w:trPr>
        <w:tc>
          <w:tcPr>
            <w:tcW w:w="984"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21208</w:t>
            </w:r>
          </w:p>
        </w:tc>
        <w:tc>
          <w:tcPr>
            <w:tcW w:w="4206"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国有土地使用权出让收入安排的支出</w:t>
            </w:r>
          </w:p>
        </w:tc>
        <w:tc>
          <w:tcPr>
            <w:tcW w:w="147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3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51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4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209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459" w:hRule="atLeast"/>
        </w:trPr>
        <w:tc>
          <w:tcPr>
            <w:tcW w:w="984"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2120899</w:t>
            </w:r>
          </w:p>
        </w:tc>
        <w:tc>
          <w:tcPr>
            <w:tcW w:w="4206"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ascii="宋体" w:hAnsi="宋体" w:cs="Arial"/>
                <w:color w:val="000000"/>
                <w:kern w:val="0"/>
                <w:sz w:val="22"/>
              </w:rPr>
              <w:t xml:space="preserve">  </w:t>
            </w:r>
            <w:r>
              <w:rPr>
                <w:rFonts w:hint="eastAsia" w:ascii="宋体" w:hAnsi="宋体" w:cs="Arial"/>
                <w:color w:val="000000"/>
                <w:kern w:val="0"/>
                <w:sz w:val="22"/>
              </w:rPr>
              <w:t>其他国有土地使用权出让收入安排的支出</w:t>
            </w:r>
          </w:p>
        </w:tc>
        <w:tc>
          <w:tcPr>
            <w:tcW w:w="147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3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51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14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hAnsi="宋体" w:cs="Arial"/>
                <w:color w:val="000000"/>
                <w:kern w:val="0"/>
                <w:sz w:val="22"/>
              </w:rPr>
              <w:t>40.00</w:t>
            </w:r>
          </w:p>
        </w:tc>
        <w:tc>
          <w:tcPr>
            <w:tcW w:w="209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ascii="宋体" w:cs="Arial"/>
                <w:color w:val="000000"/>
                <w:kern w:val="0"/>
                <w:sz w:val="22"/>
              </w:rPr>
              <w:t>0.00</w:t>
            </w:r>
          </w:p>
        </w:tc>
        <w:tc>
          <w:tcPr>
            <w:tcW w:w="236" w:type="dxa"/>
            <w:vAlign w:val="center"/>
          </w:tcPr>
          <w:p>
            <w:pPr>
              <w:widowControl/>
              <w:jc w:val="left"/>
              <w:rPr>
                <w:rFonts w:ascii="Times New Roman" w:hAnsi="Times New Roman"/>
                <w:kern w:val="0"/>
                <w:sz w:val="20"/>
                <w:szCs w:val="20"/>
              </w:rPr>
            </w:pPr>
          </w:p>
        </w:tc>
      </w:tr>
      <w:tr>
        <w:trPr>
          <w:trHeight w:val="459" w:hRule="atLeast"/>
        </w:trPr>
        <w:tc>
          <w:tcPr>
            <w:tcW w:w="984"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206"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47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3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9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trHeight w:val="459" w:hRule="atLeast"/>
        </w:trPr>
        <w:tc>
          <w:tcPr>
            <w:tcW w:w="984"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206"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47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3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9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trHeight w:val="459" w:hRule="atLeast"/>
        </w:trPr>
        <w:tc>
          <w:tcPr>
            <w:tcW w:w="984"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206"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47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3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9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trHeight w:val="459" w:hRule="atLeast"/>
        </w:trPr>
        <w:tc>
          <w:tcPr>
            <w:tcW w:w="984"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206"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47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3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9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trHeight w:val="459" w:hRule="atLeast"/>
        </w:trPr>
        <w:tc>
          <w:tcPr>
            <w:tcW w:w="984"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4206"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147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3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9"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4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1518" w:type="dxa"/>
            <w:gridSpan w:val="2"/>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9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trHeight w:val="269" w:hRule="atLeast"/>
        </w:trPr>
        <w:tc>
          <w:tcPr>
            <w:tcW w:w="14762" w:type="dxa"/>
            <w:gridSpan w:val="19"/>
            <w:tcBorders>
              <w:top w:val="nil"/>
              <w:left w:val="nil"/>
              <w:bottom w:val="nil"/>
              <w:right w:val="nil"/>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注：本表反映部门本年度政府性基金预算财政拨款收入、支出及结转和结余情况。</w:t>
            </w:r>
          </w:p>
        </w:tc>
        <w:tc>
          <w:tcPr>
            <w:tcW w:w="236" w:type="dxa"/>
            <w:vAlign w:val="center"/>
          </w:tcPr>
          <w:p>
            <w:pPr>
              <w:widowControl/>
              <w:jc w:val="left"/>
              <w:rPr>
                <w:rFonts w:ascii="Times New Roman" w:hAnsi="Times New Roman"/>
                <w:kern w:val="0"/>
                <w:sz w:val="20"/>
                <w:szCs w:val="20"/>
              </w:rPr>
            </w:pPr>
          </w:p>
        </w:tc>
      </w:tr>
    </w:tbl>
    <w:p>
      <w:pPr>
        <w:widowControl/>
        <w:jc w:val="left"/>
        <w:rPr>
          <w:rFonts w:ascii="黑体" w:hAnsi="黑体" w:eastAsia="黑体"/>
          <w:szCs w:val="21"/>
        </w:rPr>
      </w:pPr>
    </w:p>
    <w:p>
      <w:pPr>
        <w:widowControl/>
        <w:jc w:val="left"/>
        <w:rPr>
          <w:rFonts w:ascii="黑体" w:hAnsi="黑体" w:eastAsia="黑体"/>
          <w:szCs w:val="21"/>
        </w:rPr>
      </w:pPr>
    </w:p>
    <w:p>
      <w:pPr>
        <w:widowControl/>
        <w:jc w:val="left"/>
        <w:rPr>
          <w:rFonts w:ascii="黑体" w:hAnsi="黑体" w:eastAsia="黑体"/>
          <w:szCs w:val="21"/>
        </w:rPr>
      </w:pPr>
    </w:p>
    <w:p>
      <w:pPr>
        <w:widowControl/>
        <w:jc w:val="left"/>
        <w:rPr>
          <w:rFonts w:ascii="黑体" w:hAnsi="黑体" w:eastAsia="黑体"/>
          <w:szCs w:val="21"/>
        </w:rPr>
      </w:pPr>
    </w:p>
    <w:p>
      <w:pPr>
        <w:widowControl/>
        <w:jc w:val="left"/>
        <w:rPr>
          <w:rFonts w:ascii="黑体" w:hAnsi="黑体" w:eastAsia="黑体"/>
          <w:szCs w:val="21"/>
        </w:rPr>
      </w:pPr>
    </w:p>
    <w:tbl>
      <w:tblPr>
        <w:tblStyle w:val="5"/>
        <w:tblW w:w="14903" w:type="dxa"/>
        <w:tblInd w:w="108" w:type="dxa"/>
        <w:tblLayout w:type="fixed"/>
        <w:tblCellMar>
          <w:top w:w="0" w:type="dxa"/>
          <w:left w:w="108" w:type="dxa"/>
          <w:bottom w:w="0" w:type="dxa"/>
          <w:right w:w="108" w:type="dxa"/>
        </w:tblCellMar>
      </w:tblPr>
      <w:tblGrid>
        <w:gridCol w:w="435"/>
        <w:gridCol w:w="237"/>
        <w:gridCol w:w="5552"/>
        <w:gridCol w:w="2007"/>
        <w:gridCol w:w="236"/>
        <w:gridCol w:w="136"/>
        <w:gridCol w:w="499"/>
        <w:gridCol w:w="278"/>
        <w:gridCol w:w="258"/>
        <w:gridCol w:w="1042"/>
        <w:gridCol w:w="3553"/>
        <w:gridCol w:w="236"/>
        <w:gridCol w:w="434"/>
      </w:tblGrid>
      <w:tr>
        <w:trPr>
          <w:gridBefore w:val="2"/>
          <w:wBefore w:w="672" w:type="dxa"/>
          <w:trHeight w:val="720" w:hRule="atLeast"/>
        </w:trPr>
        <w:tc>
          <w:tcPr>
            <w:tcW w:w="14231" w:type="dxa"/>
            <w:gridSpan w:val="11"/>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gridBefore w:val="2"/>
          <w:wBefore w:w="672" w:type="dxa"/>
          <w:trHeight w:val="1099" w:hRule="atLeast"/>
        </w:trPr>
        <w:tc>
          <w:tcPr>
            <w:tcW w:w="7559" w:type="dxa"/>
            <w:gridSpan w:val="2"/>
            <w:tcBorders>
              <w:top w:val="nil"/>
              <w:left w:val="nil"/>
              <w:bottom w:val="nil"/>
              <w:right w:val="nil"/>
            </w:tcBorders>
            <w:shd w:val="clear" w:color="000000" w:fill="FFFFFF"/>
            <w:vAlign w:val="center"/>
          </w:tcPr>
          <w:p>
            <w:pPr>
              <w:widowControl/>
              <w:rPr>
                <w:rFonts w:ascii="宋体" w:cs="宋体"/>
                <w:kern w:val="0"/>
                <w:sz w:val="20"/>
                <w:szCs w:val="20"/>
              </w:rPr>
            </w:pPr>
          </w:p>
        </w:tc>
        <w:tc>
          <w:tcPr>
            <w:tcW w:w="236" w:type="dxa"/>
            <w:tcBorders>
              <w:top w:val="nil"/>
              <w:left w:val="nil"/>
              <w:bottom w:val="nil"/>
              <w:right w:val="nil"/>
            </w:tcBorders>
            <w:shd w:val="clear" w:color="000000" w:fill="FFFFFF"/>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635" w:type="dxa"/>
            <w:gridSpan w:val="2"/>
            <w:tcBorders>
              <w:top w:val="nil"/>
              <w:left w:val="nil"/>
              <w:bottom w:val="nil"/>
              <w:right w:val="nil"/>
            </w:tcBorders>
            <w:shd w:val="clear" w:color="000000" w:fill="FFFFFF"/>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278" w:type="dxa"/>
            <w:tcBorders>
              <w:top w:val="nil"/>
              <w:left w:val="nil"/>
              <w:bottom w:val="nil"/>
              <w:right w:val="nil"/>
            </w:tcBorders>
            <w:shd w:val="clear" w:color="000000" w:fill="FFFFFF"/>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258" w:type="dxa"/>
            <w:tcBorders>
              <w:top w:val="nil"/>
              <w:left w:val="nil"/>
              <w:bottom w:val="nil"/>
              <w:right w:val="nil"/>
            </w:tcBorders>
            <w:shd w:val="clear" w:color="000000" w:fill="FFFFFF"/>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5265" w:type="dxa"/>
            <w:gridSpan w:val="4"/>
            <w:tcBorders>
              <w:top w:val="nil"/>
              <w:left w:val="nil"/>
              <w:bottom w:val="nil"/>
              <w:right w:val="nil"/>
            </w:tcBorders>
            <w:shd w:val="clear" w:color="000000" w:fill="FFFFFF"/>
            <w:noWrap/>
            <w:vAlign w:val="center"/>
          </w:tcPr>
          <w:p>
            <w:pPr>
              <w:widowControl/>
              <w:ind w:right="400" w:firstLine="2600" w:firstLineChars="1300"/>
              <w:rPr>
                <w:rFonts w:ascii="宋体" w:cs="宋体"/>
                <w:color w:val="000000"/>
                <w:kern w:val="0"/>
                <w:sz w:val="20"/>
                <w:szCs w:val="20"/>
              </w:rPr>
            </w:pPr>
            <w:r>
              <w:rPr>
                <w:rFonts w:hint="eastAsia" w:ascii="宋体" w:hAnsi="宋体" w:cs="宋体"/>
                <w:color w:val="000000"/>
                <w:kern w:val="0"/>
                <w:sz w:val="20"/>
                <w:szCs w:val="20"/>
              </w:rPr>
              <w:t>公开</w:t>
            </w:r>
            <w:r>
              <w:rPr>
                <w:rFonts w:ascii="宋体" w:hAnsi="宋体" w:cs="宋体"/>
                <w:color w:val="000000"/>
                <w:kern w:val="0"/>
                <w:sz w:val="20"/>
                <w:szCs w:val="20"/>
              </w:rPr>
              <w:t>09</w:t>
            </w:r>
            <w:r>
              <w:rPr>
                <w:rFonts w:hint="eastAsia" w:ascii="宋体" w:hAnsi="宋体" w:cs="宋体"/>
                <w:color w:val="000000"/>
                <w:kern w:val="0"/>
                <w:sz w:val="20"/>
                <w:szCs w:val="20"/>
              </w:rPr>
              <w:t>表</w:t>
            </w:r>
          </w:p>
          <w:p>
            <w:pPr>
              <w:widowControl/>
              <w:jc w:val="right"/>
              <w:rPr>
                <w:rFonts w:ascii="宋体" w:cs="宋体"/>
                <w:color w:val="000000"/>
                <w:kern w:val="0"/>
                <w:sz w:val="20"/>
                <w:szCs w:val="20"/>
              </w:rPr>
            </w:pPr>
          </w:p>
        </w:tc>
      </w:tr>
      <w:tr>
        <w:tblPrEx>
          <w:tblCellMar>
            <w:top w:w="0" w:type="dxa"/>
            <w:left w:w="108" w:type="dxa"/>
            <w:bottom w:w="0" w:type="dxa"/>
            <w:right w:w="108" w:type="dxa"/>
          </w:tblCellMar>
        </w:tblPrEx>
        <w:trPr>
          <w:gridAfter w:val="2"/>
          <w:wAfter w:w="670" w:type="dxa"/>
          <w:trHeight w:val="357" w:hRule="atLeast"/>
        </w:trPr>
        <w:tc>
          <w:tcPr>
            <w:tcW w:w="6224" w:type="dxa"/>
            <w:gridSpan w:val="3"/>
            <w:tcBorders>
              <w:top w:val="nil"/>
              <w:left w:val="nil"/>
              <w:bottom w:val="nil"/>
              <w:right w:val="nil"/>
            </w:tcBorders>
            <w:noWrap/>
            <w:vAlign w:val="bottom"/>
          </w:tcPr>
          <w:p>
            <w:pPr>
              <w:widowControl/>
              <w:jc w:val="left"/>
              <w:rPr>
                <w:rFonts w:ascii="宋体" w:cs="Arial"/>
                <w:color w:val="000000"/>
                <w:kern w:val="0"/>
                <w:sz w:val="20"/>
                <w:szCs w:val="20"/>
              </w:rPr>
            </w:pPr>
            <w:r>
              <w:rPr>
                <w:rFonts w:hint="eastAsia" w:ascii="宋体" w:hAnsi="宋体" w:cs="Arial"/>
                <w:color w:val="000000"/>
                <w:kern w:val="0"/>
                <w:sz w:val="20"/>
                <w:szCs w:val="20"/>
              </w:rPr>
              <w:t>部门：岳阳市建设工程质量安全监督站</w:t>
            </w:r>
          </w:p>
        </w:tc>
        <w:tc>
          <w:tcPr>
            <w:tcW w:w="2379" w:type="dxa"/>
            <w:gridSpan w:val="3"/>
            <w:tcBorders>
              <w:top w:val="nil"/>
              <w:left w:val="nil"/>
              <w:bottom w:val="nil"/>
              <w:right w:val="nil"/>
            </w:tcBorders>
            <w:noWrap/>
            <w:vAlign w:val="bottom"/>
          </w:tcPr>
          <w:p>
            <w:pPr>
              <w:widowControl/>
              <w:jc w:val="left"/>
              <w:rPr>
                <w:rFonts w:ascii="宋体" w:cs="Arial"/>
                <w:color w:val="000000"/>
                <w:kern w:val="0"/>
                <w:sz w:val="20"/>
                <w:szCs w:val="20"/>
              </w:rPr>
            </w:pPr>
          </w:p>
        </w:tc>
        <w:tc>
          <w:tcPr>
            <w:tcW w:w="2077" w:type="dxa"/>
            <w:gridSpan w:val="4"/>
            <w:tcBorders>
              <w:top w:val="nil"/>
              <w:left w:val="nil"/>
              <w:bottom w:val="nil"/>
              <w:right w:val="nil"/>
            </w:tcBorders>
            <w:noWrap/>
            <w:vAlign w:val="bottom"/>
          </w:tcPr>
          <w:p>
            <w:pPr>
              <w:widowControl/>
              <w:jc w:val="left"/>
              <w:rPr>
                <w:rFonts w:ascii="Times New Roman" w:hAnsi="Times New Roman"/>
                <w:kern w:val="0"/>
                <w:sz w:val="20"/>
                <w:szCs w:val="20"/>
              </w:rPr>
            </w:pPr>
          </w:p>
        </w:tc>
        <w:tc>
          <w:tcPr>
            <w:tcW w:w="3553" w:type="dxa"/>
            <w:tcBorders>
              <w:top w:val="nil"/>
              <w:left w:val="nil"/>
              <w:bottom w:val="nil"/>
              <w:right w:val="nil"/>
            </w:tcBorders>
            <w:noWrap/>
            <w:vAlign w:val="bottom"/>
          </w:tcPr>
          <w:p>
            <w:pPr>
              <w:widowControl/>
              <w:jc w:val="right"/>
              <w:rPr>
                <w:rFonts w:asci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gridAfter w:val="2"/>
          <w:wAfter w:w="670" w:type="dxa"/>
          <w:trHeight w:val="357" w:hRule="atLeast"/>
        </w:trPr>
        <w:tc>
          <w:tcPr>
            <w:tcW w:w="6224"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项目</w:t>
            </w:r>
          </w:p>
        </w:tc>
        <w:tc>
          <w:tcPr>
            <w:tcW w:w="8009" w:type="dxa"/>
            <w:gridSpan w:val="8"/>
            <w:tcBorders>
              <w:top w:val="single" w:color="000000" w:sz="4" w:space="0"/>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本年支出</w:t>
            </w:r>
          </w:p>
        </w:tc>
      </w:tr>
      <w:tr>
        <w:tblPrEx>
          <w:tblCellMar>
            <w:top w:w="0" w:type="dxa"/>
            <w:left w:w="108" w:type="dxa"/>
            <w:bottom w:w="0" w:type="dxa"/>
            <w:right w:w="108" w:type="dxa"/>
          </w:tblCellMar>
        </w:tblPrEx>
        <w:trPr>
          <w:gridAfter w:val="2"/>
          <w:wAfter w:w="670" w:type="dxa"/>
          <w:trHeight w:val="357" w:hRule="atLeast"/>
        </w:trPr>
        <w:tc>
          <w:tcPr>
            <w:tcW w:w="435" w:type="dxa"/>
            <w:vMerge w:val="restart"/>
            <w:tcBorders>
              <w:top w:val="nil"/>
              <w:left w:val="single" w:color="000000" w:sz="4" w:space="0"/>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功能分类科目编码</w:t>
            </w:r>
          </w:p>
        </w:tc>
        <w:tc>
          <w:tcPr>
            <w:tcW w:w="5789" w:type="dxa"/>
            <w:gridSpan w:val="2"/>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科目名称</w:t>
            </w:r>
          </w:p>
        </w:tc>
        <w:tc>
          <w:tcPr>
            <w:tcW w:w="2379" w:type="dxa"/>
            <w:gridSpan w:val="3"/>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2077" w:type="dxa"/>
            <w:gridSpan w:val="4"/>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基本支出</w:t>
            </w:r>
          </w:p>
        </w:tc>
        <w:tc>
          <w:tcPr>
            <w:tcW w:w="3553" w:type="dxa"/>
            <w:vMerge w:val="restart"/>
            <w:tcBorders>
              <w:top w:val="nil"/>
              <w:left w:val="nil"/>
              <w:bottom w:val="single" w:color="000000" w:sz="4" w:space="0"/>
              <w:right w:val="single" w:color="000000" w:sz="4" w:space="0"/>
            </w:tcBorders>
            <w:shd w:val="clear" w:color="FFFFFF" w:fill="C0C0C0"/>
            <w:vAlign w:val="center"/>
          </w:tcPr>
          <w:p>
            <w:pPr>
              <w:widowControl/>
              <w:jc w:val="center"/>
              <w:rPr>
                <w:rFonts w:ascii="宋体" w:cs="Arial"/>
                <w:color w:val="000000"/>
                <w:kern w:val="0"/>
                <w:sz w:val="22"/>
              </w:rPr>
            </w:pPr>
            <w:r>
              <w:rPr>
                <w:rFonts w:hint="eastAsia" w:ascii="宋体" w:hAnsi="宋体" w:cs="Arial"/>
                <w:color w:val="000000"/>
                <w:kern w:val="0"/>
                <w:sz w:val="22"/>
              </w:rPr>
              <w:t>项目支出</w:t>
            </w:r>
          </w:p>
        </w:tc>
      </w:tr>
      <w:tr>
        <w:tblPrEx>
          <w:tblCellMar>
            <w:top w:w="0" w:type="dxa"/>
            <w:left w:w="108" w:type="dxa"/>
            <w:bottom w:w="0" w:type="dxa"/>
            <w:right w:w="108" w:type="dxa"/>
          </w:tblCellMar>
        </w:tblPrEx>
        <w:trPr>
          <w:gridAfter w:val="1"/>
          <w:wAfter w:w="434" w:type="dxa"/>
          <w:trHeight w:val="357" w:hRule="atLeast"/>
        </w:trPr>
        <w:tc>
          <w:tcPr>
            <w:tcW w:w="43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5789"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79" w:type="dxa"/>
            <w:gridSpan w:val="3"/>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077" w:type="dxa"/>
            <w:gridSpan w:val="4"/>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3553"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 w:type="dxa"/>
            <w:tcBorders>
              <w:top w:val="nil"/>
              <w:left w:val="nil"/>
              <w:bottom w:val="nil"/>
              <w:right w:val="nil"/>
            </w:tcBorders>
            <w:noWrap/>
            <w:vAlign w:val="bottom"/>
          </w:tcPr>
          <w:p>
            <w:pPr>
              <w:widowControl/>
              <w:jc w:val="center"/>
              <w:rPr>
                <w:rFonts w:ascii="宋体" w:cs="Arial"/>
                <w:color w:val="000000"/>
                <w:kern w:val="0"/>
                <w:sz w:val="22"/>
              </w:rPr>
            </w:pPr>
          </w:p>
        </w:tc>
      </w:tr>
      <w:tr>
        <w:tblPrEx>
          <w:tblCellMar>
            <w:top w:w="0" w:type="dxa"/>
            <w:left w:w="108" w:type="dxa"/>
            <w:bottom w:w="0" w:type="dxa"/>
            <w:right w:w="108" w:type="dxa"/>
          </w:tblCellMar>
        </w:tblPrEx>
        <w:trPr>
          <w:gridAfter w:val="1"/>
          <w:wAfter w:w="434" w:type="dxa"/>
          <w:trHeight w:val="1509" w:hRule="atLeast"/>
        </w:trPr>
        <w:tc>
          <w:tcPr>
            <w:tcW w:w="43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s="Arial"/>
                <w:color w:val="000000"/>
                <w:kern w:val="0"/>
                <w:sz w:val="22"/>
              </w:rPr>
            </w:pPr>
          </w:p>
        </w:tc>
        <w:tc>
          <w:tcPr>
            <w:tcW w:w="5789" w:type="dxa"/>
            <w:gridSpan w:val="2"/>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79" w:type="dxa"/>
            <w:gridSpan w:val="3"/>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077" w:type="dxa"/>
            <w:gridSpan w:val="4"/>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3553" w:type="dxa"/>
            <w:vMerge w:val="continue"/>
            <w:tcBorders>
              <w:top w:val="nil"/>
              <w:left w:val="nil"/>
              <w:bottom w:val="single" w:color="000000" w:sz="4" w:space="0"/>
              <w:right w:val="single" w:color="000000" w:sz="4" w:space="0"/>
            </w:tcBorders>
            <w:vAlign w:val="center"/>
          </w:tcPr>
          <w:p>
            <w:pPr>
              <w:widowControl/>
              <w:jc w:val="left"/>
              <w:rPr>
                <w:rFonts w:ascii="宋体" w:cs="Arial"/>
                <w:color w:val="000000"/>
                <w:kern w:val="0"/>
                <w:sz w:val="22"/>
              </w:rPr>
            </w:pPr>
          </w:p>
        </w:tc>
        <w:tc>
          <w:tcPr>
            <w:tcW w:w="236" w:type="dxa"/>
            <w:tcBorders>
              <w:top w:val="nil"/>
              <w:left w:val="nil"/>
              <w:bottom w:val="nil"/>
              <w:right w:val="nil"/>
            </w:tcBorders>
            <w:noWrap/>
            <w:vAlign w:val="bottom"/>
          </w:tcPr>
          <w:p>
            <w:pPr>
              <w:widowControl/>
              <w:jc w:val="left"/>
              <w:rPr>
                <w:rFonts w:ascii="Times New Roman" w:hAnsi="Times New Roman"/>
                <w:kern w:val="0"/>
                <w:sz w:val="20"/>
                <w:szCs w:val="20"/>
              </w:rPr>
            </w:pPr>
          </w:p>
        </w:tc>
      </w:tr>
      <w:tr>
        <w:trPr>
          <w:gridAfter w:val="1"/>
          <w:wAfter w:w="434" w:type="dxa"/>
          <w:trHeight w:val="357" w:hRule="atLeast"/>
        </w:trPr>
        <w:tc>
          <w:tcPr>
            <w:tcW w:w="6224"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栏次</w:t>
            </w:r>
          </w:p>
        </w:tc>
        <w:tc>
          <w:tcPr>
            <w:tcW w:w="2379" w:type="dxa"/>
            <w:gridSpan w:val="3"/>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1</w:t>
            </w:r>
          </w:p>
        </w:tc>
        <w:tc>
          <w:tcPr>
            <w:tcW w:w="2077" w:type="dxa"/>
            <w:gridSpan w:val="4"/>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2</w:t>
            </w:r>
          </w:p>
        </w:tc>
        <w:tc>
          <w:tcPr>
            <w:tcW w:w="3553"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ascii="宋体" w:hAnsi="宋体" w:cs="Arial"/>
                <w:color w:val="000000"/>
                <w:kern w:val="0"/>
                <w:sz w:val="22"/>
              </w:rPr>
              <w:t>3</w:t>
            </w:r>
          </w:p>
        </w:tc>
        <w:tc>
          <w:tcPr>
            <w:tcW w:w="236" w:type="dxa"/>
            <w:vAlign w:val="center"/>
          </w:tcPr>
          <w:p>
            <w:pPr>
              <w:widowControl/>
              <w:jc w:val="left"/>
              <w:rPr>
                <w:rFonts w:ascii="Times New Roman" w:hAnsi="Times New Roman"/>
                <w:kern w:val="0"/>
                <w:sz w:val="20"/>
                <w:szCs w:val="20"/>
              </w:rPr>
            </w:pPr>
          </w:p>
        </w:tc>
      </w:tr>
      <w:tr>
        <w:trPr>
          <w:gridAfter w:val="1"/>
          <w:wAfter w:w="434" w:type="dxa"/>
          <w:trHeight w:val="357" w:hRule="atLeast"/>
        </w:trPr>
        <w:tc>
          <w:tcPr>
            <w:tcW w:w="6224"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cs="Arial"/>
                <w:color w:val="000000"/>
                <w:kern w:val="0"/>
                <w:sz w:val="22"/>
              </w:rPr>
            </w:pPr>
            <w:r>
              <w:rPr>
                <w:rFonts w:hint="eastAsia" w:ascii="宋体" w:hAnsi="宋体" w:cs="Arial"/>
                <w:color w:val="000000"/>
                <w:kern w:val="0"/>
                <w:sz w:val="22"/>
              </w:rPr>
              <w:t>合计</w:t>
            </w:r>
          </w:p>
        </w:tc>
        <w:tc>
          <w:tcPr>
            <w:tcW w:w="2379" w:type="dxa"/>
            <w:gridSpan w:val="3"/>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hint="eastAsia" w:ascii="宋体" w:hAnsi="宋体" w:cs="Arial"/>
                <w:b/>
                <w:bCs/>
                <w:color w:val="000000"/>
                <w:kern w:val="0"/>
                <w:sz w:val="22"/>
              </w:rPr>
              <w:t>　</w:t>
            </w:r>
          </w:p>
        </w:tc>
        <w:tc>
          <w:tcPr>
            <w:tcW w:w="2077" w:type="dxa"/>
            <w:gridSpan w:val="4"/>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hint="eastAsia" w:ascii="宋体" w:hAnsi="宋体" w:cs="Arial"/>
                <w:b/>
                <w:bCs/>
                <w:color w:val="000000"/>
                <w:kern w:val="0"/>
                <w:sz w:val="22"/>
              </w:rPr>
              <w:t>　</w:t>
            </w:r>
          </w:p>
        </w:tc>
        <w:tc>
          <w:tcPr>
            <w:tcW w:w="3553" w:type="dxa"/>
            <w:tcBorders>
              <w:top w:val="nil"/>
              <w:left w:val="nil"/>
              <w:bottom w:val="single" w:color="000000" w:sz="4" w:space="0"/>
              <w:right w:val="single" w:color="000000" w:sz="4" w:space="0"/>
            </w:tcBorders>
            <w:noWrap/>
            <w:vAlign w:val="center"/>
          </w:tcPr>
          <w:p>
            <w:pPr>
              <w:widowControl/>
              <w:jc w:val="right"/>
              <w:rPr>
                <w:rFonts w:ascii="宋体" w:cs="Arial"/>
                <w:b/>
                <w:bCs/>
                <w:color w:val="000000"/>
                <w:kern w:val="0"/>
                <w:sz w:val="22"/>
              </w:rPr>
            </w:pPr>
            <w:r>
              <w:rPr>
                <w:rFonts w:hint="eastAsia" w:ascii="宋体" w:hAnsi="宋体" w:cs="Arial"/>
                <w:b/>
                <w:bCs/>
                <w:color w:val="000000"/>
                <w:kern w:val="0"/>
                <w:sz w:val="22"/>
              </w:rPr>
              <w:t>　</w:t>
            </w:r>
          </w:p>
        </w:tc>
        <w:tc>
          <w:tcPr>
            <w:tcW w:w="236" w:type="dxa"/>
            <w:vAlign w:val="center"/>
          </w:tcPr>
          <w:p>
            <w:pPr>
              <w:widowControl/>
              <w:jc w:val="left"/>
              <w:rPr>
                <w:rFonts w:ascii="Times New Roman" w:hAnsi="Times New Roman"/>
                <w:kern w:val="0"/>
                <w:sz w:val="20"/>
                <w:szCs w:val="20"/>
              </w:rPr>
            </w:pPr>
          </w:p>
        </w:tc>
      </w:tr>
      <w:tr>
        <w:trPr>
          <w:gridAfter w:val="1"/>
          <w:wAfter w:w="434" w:type="dxa"/>
          <w:trHeight w:val="357" w:hRule="atLeast"/>
        </w:trPr>
        <w:tc>
          <w:tcPr>
            <w:tcW w:w="435"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789"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本部门没有使用国有资本经营预算安排的支出，故本表无数据</w:t>
            </w:r>
          </w:p>
        </w:tc>
        <w:tc>
          <w:tcPr>
            <w:tcW w:w="237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77" w:type="dxa"/>
            <w:gridSpan w:val="4"/>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55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gridAfter w:val="1"/>
          <w:wAfter w:w="434" w:type="dxa"/>
          <w:trHeight w:val="357" w:hRule="atLeast"/>
        </w:trPr>
        <w:tc>
          <w:tcPr>
            <w:tcW w:w="435"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789"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37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77" w:type="dxa"/>
            <w:gridSpan w:val="4"/>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55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gridAfter w:val="1"/>
          <w:wAfter w:w="434" w:type="dxa"/>
          <w:trHeight w:val="357" w:hRule="atLeast"/>
        </w:trPr>
        <w:tc>
          <w:tcPr>
            <w:tcW w:w="435"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789"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37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77" w:type="dxa"/>
            <w:gridSpan w:val="4"/>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55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gridAfter w:val="1"/>
          <w:wAfter w:w="434" w:type="dxa"/>
          <w:trHeight w:val="357" w:hRule="atLeast"/>
        </w:trPr>
        <w:tc>
          <w:tcPr>
            <w:tcW w:w="435"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789"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37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77" w:type="dxa"/>
            <w:gridSpan w:val="4"/>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55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gridAfter w:val="1"/>
          <w:wAfter w:w="434" w:type="dxa"/>
          <w:trHeight w:val="357" w:hRule="atLeast"/>
        </w:trPr>
        <w:tc>
          <w:tcPr>
            <w:tcW w:w="435"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789"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37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77" w:type="dxa"/>
            <w:gridSpan w:val="4"/>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55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gridAfter w:val="1"/>
          <w:wAfter w:w="434" w:type="dxa"/>
          <w:trHeight w:val="357" w:hRule="atLeast"/>
        </w:trPr>
        <w:tc>
          <w:tcPr>
            <w:tcW w:w="435" w:type="dxa"/>
            <w:tcBorders>
              <w:top w:val="nil"/>
              <w:left w:val="single" w:color="000000" w:sz="4" w:space="0"/>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5789" w:type="dxa"/>
            <w:gridSpan w:val="2"/>
            <w:tcBorders>
              <w:top w:val="nil"/>
              <w:left w:val="nil"/>
              <w:bottom w:val="single" w:color="000000" w:sz="4" w:space="0"/>
              <w:right w:val="single" w:color="000000" w:sz="4" w:space="0"/>
            </w:tcBorders>
            <w:noWrap/>
            <w:vAlign w:val="center"/>
          </w:tcPr>
          <w:p>
            <w:pPr>
              <w:widowControl/>
              <w:jc w:val="left"/>
              <w:rPr>
                <w:rFonts w:ascii="宋体" w:cs="Arial"/>
                <w:color w:val="000000"/>
                <w:kern w:val="0"/>
                <w:sz w:val="22"/>
              </w:rPr>
            </w:pPr>
            <w:r>
              <w:rPr>
                <w:rFonts w:hint="eastAsia" w:ascii="宋体" w:hAnsi="宋体" w:cs="Arial"/>
                <w:color w:val="000000"/>
                <w:kern w:val="0"/>
                <w:sz w:val="22"/>
              </w:rPr>
              <w:t>　</w:t>
            </w:r>
          </w:p>
        </w:tc>
        <w:tc>
          <w:tcPr>
            <w:tcW w:w="2379" w:type="dxa"/>
            <w:gridSpan w:val="3"/>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077" w:type="dxa"/>
            <w:gridSpan w:val="4"/>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3553" w:type="dxa"/>
            <w:tcBorders>
              <w:top w:val="nil"/>
              <w:left w:val="nil"/>
              <w:bottom w:val="single" w:color="000000" w:sz="4" w:space="0"/>
              <w:right w:val="single" w:color="000000" w:sz="4" w:space="0"/>
            </w:tcBorders>
            <w:noWrap/>
            <w:vAlign w:val="center"/>
          </w:tcPr>
          <w:p>
            <w:pPr>
              <w:widowControl/>
              <w:jc w:val="right"/>
              <w:rPr>
                <w:rFonts w:ascii="宋体" w:cs="Arial"/>
                <w:color w:val="000000"/>
                <w:kern w:val="0"/>
                <w:sz w:val="22"/>
              </w:rPr>
            </w:pPr>
            <w:r>
              <w:rPr>
                <w:rFonts w:hint="eastAsia" w:ascii="宋体" w:hAnsi="宋体" w:cs="Arial"/>
                <w:color w:val="000000"/>
                <w:kern w:val="0"/>
                <w:sz w:val="22"/>
              </w:rPr>
              <w:t>　</w:t>
            </w:r>
          </w:p>
        </w:tc>
        <w:tc>
          <w:tcPr>
            <w:tcW w:w="236" w:type="dxa"/>
            <w:vAlign w:val="center"/>
          </w:tcPr>
          <w:p>
            <w:pPr>
              <w:widowControl/>
              <w:jc w:val="left"/>
              <w:rPr>
                <w:rFonts w:ascii="Times New Roman" w:hAnsi="Times New Roman"/>
                <w:kern w:val="0"/>
                <w:sz w:val="20"/>
                <w:szCs w:val="20"/>
              </w:rPr>
            </w:pPr>
          </w:p>
        </w:tc>
      </w:tr>
      <w:tr>
        <w:trPr>
          <w:gridAfter w:val="1"/>
          <w:wAfter w:w="434" w:type="dxa"/>
          <w:trHeight w:val="269" w:hRule="atLeast"/>
        </w:trPr>
        <w:tc>
          <w:tcPr>
            <w:tcW w:w="14233" w:type="dxa"/>
            <w:gridSpan w:val="11"/>
            <w:tcBorders>
              <w:top w:val="nil"/>
              <w:left w:val="nil"/>
              <w:bottom w:val="nil"/>
              <w:right w:val="nil"/>
            </w:tcBorders>
            <w:noWrap/>
            <w:vAlign w:val="center"/>
          </w:tcPr>
          <w:p>
            <w:pPr>
              <w:widowControl/>
              <w:jc w:val="left"/>
              <w:rPr>
                <w:rFonts w:ascii="宋体" w:cs="Arial"/>
                <w:color w:val="000000"/>
                <w:kern w:val="0"/>
                <w:sz w:val="22"/>
              </w:rPr>
            </w:pPr>
            <w:r>
              <w:rPr>
                <w:rFonts w:hint="eastAsia" w:ascii="宋体" w:hAnsi="宋体" w:cs="Arial"/>
                <w:color w:val="000000"/>
                <w:kern w:val="0"/>
                <w:sz w:val="22"/>
              </w:rPr>
              <w:t>注：本表反映部门本年度国有资本经营预算财政拨款支出情况。</w:t>
            </w:r>
          </w:p>
        </w:tc>
        <w:tc>
          <w:tcPr>
            <w:tcW w:w="236" w:type="dxa"/>
            <w:vAlign w:val="center"/>
          </w:tcPr>
          <w:p>
            <w:pPr>
              <w:widowControl/>
              <w:jc w:val="left"/>
              <w:rPr>
                <w:rFonts w:ascii="Times New Roman" w:hAnsi="Times New Roman"/>
                <w:kern w:val="0"/>
                <w:sz w:val="20"/>
                <w:szCs w:val="20"/>
              </w:rPr>
            </w:pPr>
          </w:p>
        </w:tc>
      </w:tr>
    </w:tbl>
    <w:p>
      <w:pPr>
        <w:pStyle w:val="10"/>
        <w:rPr>
          <w:sz w:val="72"/>
          <w:szCs w:val="72"/>
        </w:rPr>
        <w:sectPr>
          <w:pgSz w:w="16838" w:h="11906" w:orient="landscape"/>
          <w:pgMar w:top="720" w:right="624" w:bottom="720" w:left="624" w:header="851" w:footer="992" w:gutter="0"/>
          <w:cols w:space="425" w:num="1"/>
          <w:docGrid w:type="lines" w:linePitch="312" w:charSpace="0"/>
        </w:sect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2020</w:t>
      </w:r>
      <w:r>
        <w:rPr>
          <w:rFonts w:hint="eastAsia"/>
          <w:sz w:val="70"/>
          <w:szCs w:val="70"/>
        </w:rPr>
        <w:t>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hAnsi="黑体"/>
          <w:b/>
          <w:sz w:val="32"/>
          <w:szCs w:val="32"/>
        </w:rPr>
      </w:pPr>
      <w:r>
        <w:rPr>
          <w:rFonts w:hint="eastAsia" w:hAnsi="黑体"/>
          <w:b/>
          <w:sz w:val="32"/>
          <w:szCs w:val="32"/>
        </w:rPr>
        <w:t>一、收入支出决算总体情况说明</w:t>
      </w:r>
    </w:p>
    <w:p>
      <w:pPr>
        <w:pStyle w:val="10"/>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年度收入总计</w:t>
      </w:r>
      <w:r>
        <w:rPr>
          <w:rFonts w:hint="eastAsia" w:ascii="宋体" w:hAnsi="宋体"/>
          <w:kern w:val="0"/>
          <w:sz w:val="32"/>
          <w:szCs w:val="32"/>
        </w:rPr>
        <w:t>1267.39</w:t>
      </w:r>
      <w:r>
        <w:rPr>
          <w:rFonts w:hint="eastAsia" w:ascii="宋体" w:hAnsi="宋体" w:eastAsia="宋体"/>
          <w:sz w:val="32"/>
          <w:szCs w:val="32"/>
        </w:rPr>
        <w:t>万元，与上年相比，增加</w:t>
      </w:r>
      <w:r>
        <w:rPr>
          <w:rFonts w:hint="eastAsia" w:ascii="宋体" w:hAnsi="宋体" w:eastAsia="宋体" w:cs="宋体"/>
          <w:i w:val="0"/>
          <w:iCs w:val="0"/>
          <w:caps w:val="0"/>
          <w:color w:val="555555"/>
          <w:spacing w:val="0"/>
          <w:sz w:val="32"/>
          <w:szCs w:val="32"/>
          <w:shd w:val="clear" w:fill="FFFFFF"/>
          <w:lang w:val="en-US" w:eastAsia="zh-CN"/>
        </w:rPr>
        <w:t>310.45</w:t>
      </w:r>
      <w:r>
        <w:rPr>
          <w:rFonts w:hint="eastAsia" w:ascii="宋体" w:hAnsi="宋体" w:eastAsia="宋体"/>
          <w:sz w:val="32"/>
          <w:szCs w:val="32"/>
        </w:rPr>
        <w:t>万元，增长</w:t>
      </w:r>
      <w:r>
        <w:rPr>
          <w:rFonts w:hint="eastAsia" w:ascii="宋体" w:hAnsi="宋体" w:eastAsia="宋体" w:cs="宋体"/>
          <w:i w:val="0"/>
          <w:iCs w:val="0"/>
          <w:caps w:val="0"/>
          <w:color w:val="555555"/>
          <w:spacing w:val="0"/>
          <w:sz w:val="32"/>
          <w:szCs w:val="32"/>
          <w:shd w:val="clear" w:fill="FFFFFF"/>
        </w:rPr>
        <w:t>32</w:t>
      </w:r>
      <w:r>
        <w:rPr>
          <w:rFonts w:hint="eastAsia" w:ascii="宋体" w:hAnsi="宋体" w:eastAsia="宋体" w:cs="宋体"/>
          <w:i w:val="0"/>
          <w:iCs w:val="0"/>
          <w:caps w:val="0"/>
          <w:color w:val="555555"/>
          <w:spacing w:val="0"/>
          <w:sz w:val="32"/>
          <w:szCs w:val="32"/>
          <w:shd w:val="clear" w:fill="FFFFFF"/>
          <w:lang w:val="en-US" w:eastAsia="zh-CN"/>
        </w:rPr>
        <w:t>.4</w:t>
      </w:r>
      <w:r>
        <w:rPr>
          <w:rFonts w:hint="eastAsia" w:ascii="宋体" w:hAnsi="宋体" w:eastAsia="宋体" w:cs="宋体"/>
          <w:sz w:val="32"/>
          <w:szCs w:val="32"/>
        </w:rPr>
        <w:t>%</w:t>
      </w:r>
      <w:r>
        <w:rPr>
          <w:rFonts w:hint="eastAsia" w:ascii="宋体" w:hAnsi="宋体" w:eastAsia="宋体"/>
          <w:sz w:val="32"/>
          <w:szCs w:val="32"/>
        </w:rPr>
        <w:t>；支出总计</w:t>
      </w:r>
      <w:r>
        <w:rPr>
          <w:rFonts w:hint="eastAsia" w:ascii="宋体" w:hAnsi="宋体"/>
          <w:kern w:val="0"/>
          <w:sz w:val="32"/>
          <w:szCs w:val="32"/>
        </w:rPr>
        <w:t>1267.39</w:t>
      </w:r>
      <w:r>
        <w:rPr>
          <w:rFonts w:hint="eastAsia" w:ascii="宋体" w:hAnsi="宋体" w:eastAsia="宋体"/>
          <w:sz w:val="32"/>
          <w:szCs w:val="32"/>
        </w:rPr>
        <w:t>万元，与上年相比，增加</w:t>
      </w:r>
      <w:r>
        <w:rPr>
          <w:rFonts w:hint="eastAsia" w:ascii="宋体" w:hAnsi="宋体" w:eastAsia="宋体" w:cs="宋体"/>
          <w:i w:val="0"/>
          <w:iCs w:val="0"/>
          <w:caps w:val="0"/>
          <w:color w:val="555555"/>
          <w:spacing w:val="0"/>
          <w:sz w:val="32"/>
          <w:szCs w:val="32"/>
          <w:shd w:val="clear" w:fill="FFFFFF"/>
          <w:lang w:val="en-US" w:eastAsia="zh-CN"/>
        </w:rPr>
        <w:t>310.45</w:t>
      </w:r>
      <w:r>
        <w:rPr>
          <w:rFonts w:hint="eastAsia" w:ascii="宋体" w:hAnsi="宋体" w:eastAsia="宋体" w:cs="宋体"/>
          <w:sz w:val="32"/>
          <w:szCs w:val="32"/>
        </w:rPr>
        <w:t>万元，增长</w:t>
      </w:r>
      <w:r>
        <w:rPr>
          <w:rFonts w:hint="eastAsia" w:ascii="宋体" w:hAnsi="宋体" w:eastAsia="宋体" w:cs="宋体"/>
          <w:i w:val="0"/>
          <w:iCs w:val="0"/>
          <w:caps w:val="0"/>
          <w:color w:val="555555"/>
          <w:spacing w:val="0"/>
          <w:sz w:val="32"/>
          <w:szCs w:val="32"/>
          <w:shd w:val="clear" w:fill="FFFFFF"/>
        </w:rPr>
        <w:t>32</w:t>
      </w:r>
      <w:r>
        <w:rPr>
          <w:rFonts w:hint="eastAsia" w:ascii="宋体" w:hAnsi="宋体" w:eastAsia="宋体" w:cs="宋体"/>
          <w:i w:val="0"/>
          <w:iCs w:val="0"/>
          <w:caps w:val="0"/>
          <w:color w:val="555555"/>
          <w:spacing w:val="0"/>
          <w:sz w:val="32"/>
          <w:szCs w:val="32"/>
          <w:shd w:val="clear" w:fill="FFFFFF"/>
          <w:lang w:val="en-US" w:eastAsia="zh-CN"/>
        </w:rPr>
        <w:t>.4</w:t>
      </w:r>
      <w:r>
        <w:rPr>
          <w:rFonts w:hint="eastAsia" w:ascii="宋体" w:hAnsi="宋体" w:eastAsia="宋体" w:cs="宋体"/>
          <w:sz w:val="32"/>
          <w:szCs w:val="32"/>
        </w:rPr>
        <w:t>%，</w:t>
      </w:r>
      <w:r>
        <w:rPr>
          <w:rFonts w:hint="eastAsia" w:ascii="宋体" w:hAnsi="宋体" w:eastAsia="宋体"/>
          <w:sz w:val="32"/>
          <w:szCs w:val="32"/>
        </w:rPr>
        <w:t>主要是因为机构合并人员增加导致费用增加。</w:t>
      </w:r>
    </w:p>
    <w:p>
      <w:pPr>
        <w:pStyle w:val="10"/>
        <w:rPr>
          <w:rFonts w:hAnsi="黑体"/>
          <w:b/>
          <w:sz w:val="32"/>
          <w:szCs w:val="32"/>
        </w:rPr>
      </w:pPr>
      <w:r>
        <w:rPr>
          <w:rFonts w:hint="eastAsia" w:hAnsi="黑体"/>
          <w:b/>
          <w:sz w:val="32"/>
          <w:szCs w:val="32"/>
        </w:rPr>
        <w:t>二、收入决算情况说明</w:t>
      </w:r>
    </w:p>
    <w:p>
      <w:pPr>
        <w:pStyle w:val="10"/>
        <w:ind w:firstLine="640" w:firstLineChars="200"/>
        <w:rPr>
          <w:rFonts w:ascii="宋体" w:hAnsi="宋体" w:eastAsia="宋体"/>
          <w:sz w:val="32"/>
          <w:szCs w:val="32"/>
        </w:rPr>
      </w:pPr>
      <w:r>
        <w:rPr>
          <w:rFonts w:hint="eastAsia" w:ascii="宋体" w:hAnsi="宋体" w:eastAsia="宋体"/>
          <w:sz w:val="32"/>
          <w:szCs w:val="32"/>
        </w:rPr>
        <w:t>本年收入合计</w:t>
      </w:r>
      <w:r>
        <w:rPr>
          <w:rFonts w:ascii="宋体" w:hAnsi="宋体" w:eastAsia="宋体"/>
          <w:sz w:val="32"/>
          <w:szCs w:val="32"/>
        </w:rPr>
        <w:t>1150.59</w:t>
      </w:r>
      <w:r>
        <w:rPr>
          <w:rFonts w:hint="eastAsia" w:ascii="宋体" w:hAnsi="宋体" w:eastAsia="宋体"/>
          <w:sz w:val="32"/>
          <w:szCs w:val="32"/>
        </w:rPr>
        <w:t>万元，其中：财政拨款收入</w:t>
      </w:r>
      <w:r>
        <w:rPr>
          <w:rFonts w:ascii="宋体" w:hAnsi="宋体" w:eastAsia="宋体"/>
          <w:sz w:val="32"/>
          <w:szCs w:val="32"/>
        </w:rPr>
        <w:t>755.59</w:t>
      </w:r>
      <w:r>
        <w:rPr>
          <w:rFonts w:hint="eastAsia" w:ascii="宋体" w:hAnsi="宋体" w:eastAsia="宋体"/>
          <w:sz w:val="32"/>
          <w:szCs w:val="32"/>
        </w:rPr>
        <w:t>万元，占</w:t>
      </w:r>
      <w:r>
        <w:rPr>
          <w:rFonts w:ascii="宋体" w:hAnsi="宋体" w:eastAsia="宋体"/>
          <w:sz w:val="32"/>
          <w:szCs w:val="32"/>
        </w:rPr>
        <w:t>65%</w:t>
      </w:r>
      <w:r>
        <w:rPr>
          <w:rFonts w:hint="eastAsia" w:ascii="宋体" w:hAnsi="宋体" w:eastAsia="宋体"/>
          <w:sz w:val="32"/>
          <w:szCs w:val="32"/>
        </w:rPr>
        <w:t>；上级补助收入</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；事业收入</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；经营收入</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；附属单位上缴收入</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；其他收入</w:t>
      </w:r>
      <w:r>
        <w:rPr>
          <w:rFonts w:ascii="宋体" w:hAnsi="宋体" w:eastAsia="宋体"/>
          <w:sz w:val="32"/>
          <w:szCs w:val="32"/>
        </w:rPr>
        <w:t>395</w:t>
      </w:r>
      <w:r>
        <w:rPr>
          <w:rFonts w:hint="eastAsia" w:ascii="宋体" w:hAnsi="宋体" w:eastAsia="宋体"/>
          <w:sz w:val="32"/>
          <w:szCs w:val="32"/>
        </w:rPr>
        <w:t>万元，占</w:t>
      </w:r>
      <w:r>
        <w:rPr>
          <w:rFonts w:ascii="宋体" w:hAnsi="宋体" w:eastAsia="宋体"/>
          <w:sz w:val="32"/>
          <w:szCs w:val="32"/>
        </w:rPr>
        <w:t>35%</w:t>
      </w:r>
      <w:r>
        <w:rPr>
          <w:rFonts w:hint="eastAsia" w:ascii="宋体" w:hAnsi="宋体" w:eastAsia="宋体"/>
          <w:sz w:val="32"/>
          <w:szCs w:val="32"/>
        </w:rPr>
        <w:t>。</w:t>
      </w:r>
    </w:p>
    <w:p>
      <w:pPr>
        <w:pStyle w:val="10"/>
        <w:rPr>
          <w:rFonts w:hAnsi="黑体"/>
          <w:b/>
          <w:sz w:val="32"/>
          <w:szCs w:val="32"/>
        </w:rPr>
      </w:pPr>
      <w:r>
        <w:rPr>
          <w:rFonts w:hint="eastAsia" w:hAnsi="黑体"/>
          <w:b/>
          <w:sz w:val="32"/>
          <w:szCs w:val="32"/>
        </w:rPr>
        <w:t>三、支出决算情况说明</w:t>
      </w:r>
    </w:p>
    <w:p>
      <w:pPr>
        <w:pStyle w:val="10"/>
        <w:ind w:firstLine="640" w:firstLineChars="200"/>
        <w:rPr>
          <w:rFonts w:ascii="宋体" w:hAnsi="宋体" w:eastAsia="宋体"/>
          <w:sz w:val="32"/>
          <w:szCs w:val="32"/>
        </w:rPr>
      </w:pPr>
      <w:r>
        <w:rPr>
          <w:rFonts w:hint="eastAsia" w:ascii="宋体" w:hAnsi="宋体" w:eastAsia="宋体"/>
          <w:sz w:val="32"/>
          <w:szCs w:val="32"/>
        </w:rPr>
        <w:t>本年支出合计</w:t>
      </w:r>
      <w:r>
        <w:rPr>
          <w:rFonts w:ascii="宋体" w:hAnsi="宋体" w:eastAsia="宋体"/>
          <w:sz w:val="32"/>
          <w:szCs w:val="32"/>
        </w:rPr>
        <w:t>1116.03</w:t>
      </w:r>
      <w:r>
        <w:rPr>
          <w:rFonts w:hint="eastAsia" w:ascii="宋体" w:hAnsi="宋体" w:eastAsia="宋体"/>
          <w:sz w:val="32"/>
          <w:szCs w:val="32"/>
        </w:rPr>
        <w:t>万元，其中：基本支出</w:t>
      </w:r>
      <w:r>
        <w:rPr>
          <w:rFonts w:ascii="宋体" w:hAnsi="宋体" w:eastAsia="宋体"/>
          <w:sz w:val="32"/>
          <w:szCs w:val="32"/>
        </w:rPr>
        <w:t>820.73</w:t>
      </w:r>
      <w:r>
        <w:rPr>
          <w:rFonts w:hint="eastAsia" w:ascii="宋体" w:hAnsi="宋体" w:eastAsia="宋体"/>
          <w:sz w:val="32"/>
          <w:szCs w:val="32"/>
        </w:rPr>
        <w:t>万元，占</w:t>
      </w:r>
      <w:r>
        <w:rPr>
          <w:rFonts w:ascii="宋体" w:hAnsi="宋体" w:eastAsia="宋体"/>
          <w:sz w:val="32"/>
          <w:szCs w:val="32"/>
        </w:rPr>
        <w:t>74%</w:t>
      </w:r>
      <w:r>
        <w:rPr>
          <w:rFonts w:hint="eastAsia" w:ascii="宋体" w:hAnsi="宋体" w:eastAsia="宋体"/>
          <w:sz w:val="32"/>
          <w:szCs w:val="32"/>
        </w:rPr>
        <w:t>；项目支出</w:t>
      </w:r>
      <w:r>
        <w:rPr>
          <w:rFonts w:ascii="宋体" w:hAnsi="宋体" w:eastAsia="宋体"/>
          <w:sz w:val="32"/>
          <w:szCs w:val="32"/>
        </w:rPr>
        <w:t>295.3</w:t>
      </w:r>
      <w:r>
        <w:rPr>
          <w:rFonts w:hint="eastAsia" w:ascii="宋体" w:hAnsi="宋体" w:eastAsia="宋体"/>
          <w:sz w:val="32"/>
          <w:szCs w:val="32"/>
        </w:rPr>
        <w:t>万元，占</w:t>
      </w:r>
      <w:r>
        <w:rPr>
          <w:rFonts w:ascii="宋体" w:hAnsi="宋体" w:eastAsia="宋体"/>
          <w:sz w:val="32"/>
          <w:szCs w:val="32"/>
        </w:rPr>
        <w:t>26%</w:t>
      </w:r>
      <w:r>
        <w:rPr>
          <w:rFonts w:hint="eastAsia" w:ascii="宋体" w:hAnsi="宋体" w:eastAsia="宋体"/>
          <w:sz w:val="32"/>
          <w:szCs w:val="32"/>
        </w:rPr>
        <w:t>；上缴上级支出</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；经营支出</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；对附属单位补助支出</w:t>
      </w:r>
      <w:r>
        <w:rPr>
          <w:rFonts w:ascii="宋体" w:hAnsi="宋体" w:eastAsia="宋体"/>
          <w:sz w:val="32"/>
          <w:szCs w:val="32"/>
        </w:rPr>
        <w:t>0</w:t>
      </w:r>
      <w:r>
        <w:rPr>
          <w:rFonts w:hint="eastAsia" w:ascii="宋体" w:hAnsi="宋体" w:eastAsia="宋体"/>
          <w:sz w:val="32"/>
          <w:szCs w:val="32"/>
        </w:rPr>
        <w:t>万元，占</w:t>
      </w:r>
      <w:r>
        <w:rPr>
          <w:rFonts w:ascii="宋体" w:hAnsi="宋体" w:eastAsia="宋体"/>
          <w:sz w:val="32"/>
          <w:szCs w:val="32"/>
        </w:rPr>
        <w:t>0%</w:t>
      </w:r>
      <w:r>
        <w:rPr>
          <w:rFonts w:hint="eastAsia" w:ascii="宋体" w:hAnsi="宋体" w:eastAsia="宋体"/>
          <w:sz w:val="32"/>
          <w:szCs w:val="32"/>
        </w:rPr>
        <w:t>。</w:t>
      </w:r>
    </w:p>
    <w:p>
      <w:pPr>
        <w:pStyle w:val="10"/>
        <w:rPr>
          <w:rFonts w:hAnsi="黑体"/>
          <w:b/>
          <w:sz w:val="32"/>
          <w:szCs w:val="32"/>
        </w:rPr>
      </w:pPr>
      <w:r>
        <w:rPr>
          <w:rFonts w:hint="eastAsia" w:hAnsi="黑体"/>
          <w:b/>
          <w:sz w:val="32"/>
          <w:szCs w:val="32"/>
        </w:rPr>
        <w:t>四、财政拨款收入支出决算总体情况说明</w:t>
      </w:r>
    </w:p>
    <w:p>
      <w:pPr>
        <w:pStyle w:val="10"/>
        <w:rPr>
          <w:rFonts w:hint="eastAsia" w:ascii="宋体" w:hAnsi="宋体" w:eastAsia="宋体" w:cs="宋体"/>
          <w:sz w:val="32"/>
          <w:szCs w:val="32"/>
        </w:rPr>
      </w:pPr>
      <w:r>
        <w:rPr>
          <w:rFonts w:ascii="宋体" w:hAnsi="宋体" w:eastAsia="宋体"/>
          <w:sz w:val="32"/>
          <w:szCs w:val="32"/>
        </w:rPr>
        <w:t xml:space="preserve">    </w:t>
      </w:r>
      <w:r>
        <w:rPr>
          <w:rFonts w:hint="eastAsia" w:ascii="宋体" w:hAnsi="宋体" w:eastAsia="宋体" w:cs="宋体"/>
          <w:sz w:val="32"/>
          <w:szCs w:val="32"/>
        </w:rPr>
        <w:t>2020年度财政拨款收入总计</w:t>
      </w:r>
      <w:r>
        <w:rPr>
          <w:rFonts w:hint="eastAsia" w:ascii="宋体" w:hAnsi="宋体" w:eastAsia="宋体" w:cs="宋体"/>
          <w:kern w:val="0"/>
          <w:sz w:val="32"/>
          <w:szCs w:val="32"/>
        </w:rPr>
        <w:t>872.39</w:t>
      </w:r>
      <w:r>
        <w:rPr>
          <w:rFonts w:hint="eastAsia" w:ascii="宋体" w:hAnsi="宋体" w:eastAsia="宋体" w:cs="宋体"/>
          <w:sz w:val="32"/>
          <w:szCs w:val="32"/>
        </w:rPr>
        <w:t>万元，与上年相比，减少</w:t>
      </w:r>
      <w:r>
        <w:rPr>
          <w:rFonts w:hint="eastAsia" w:ascii="宋体" w:hAnsi="宋体" w:eastAsia="宋体" w:cs="宋体"/>
          <w:i w:val="0"/>
          <w:iCs w:val="0"/>
          <w:caps w:val="0"/>
          <w:color w:val="555555"/>
          <w:spacing w:val="0"/>
          <w:sz w:val="32"/>
          <w:szCs w:val="32"/>
          <w:shd w:val="clear" w:fill="FFFFFF"/>
          <w:lang w:val="en-US" w:eastAsia="zh-CN"/>
        </w:rPr>
        <w:t>74.89</w:t>
      </w:r>
      <w:r>
        <w:rPr>
          <w:rFonts w:hint="eastAsia" w:ascii="宋体" w:hAnsi="宋体" w:eastAsia="宋体" w:cs="宋体"/>
          <w:sz w:val="32"/>
          <w:szCs w:val="32"/>
        </w:rPr>
        <w:t>万元，减少</w:t>
      </w:r>
      <w:r>
        <w:rPr>
          <w:rFonts w:hint="eastAsia" w:ascii="宋体" w:hAnsi="宋体" w:eastAsia="宋体" w:cs="宋体"/>
          <w:i w:val="0"/>
          <w:iCs w:val="0"/>
          <w:caps w:val="0"/>
          <w:color w:val="555555"/>
          <w:spacing w:val="0"/>
          <w:sz w:val="32"/>
          <w:szCs w:val="32"/>
          <w:shd w:val="clear" w:fill="FFFFFF"/>
          <w:lang w:val="en-US" w:eastAsia="zh-CN"/>
        </w:rPr>
        <w:t>7.9</w:t>
      </w:r>
      <w:r>
        <w:rPr>
          <w:rFonts w:hint="eastAsia" w:ascii="宋体" w:hAnsi="宋体" w:eastAsia="宋体" w:cs="宋体"/>
          <w:sz w:val="32"/>
          <w:szCs w:val="32"/>
        </w:rPr>
        <w:t>%，主要是因为财政拨款收入减少以及罚没款减少；支出总计</w:t>
      </w:r>
      <w:r>
        <w:rPr>
          <w:rFonts w:hint="eastAsia" w:ascii="宋体" w:hAnsi="宋体" w:eastAsia="宋体" w:cs="宋体"/>
          <w:i w:val="0"/>
          <w:iCs w:val="0"/>
          <w:caps w:val="0"/>
          <w:color w:val="555555"/>
          <w:spacing w:val="0"/>
          <w:sz w:val="32"/>
          <w:szCs w:val="32"/>
          <w:shd w:val="clear" w:fill="FFFFFF"/>
          <w:lang w:val="en-US" w:eastAsia="zh-CN"/>
        </w:rPr>
        <w:t>872.39</w:t>
      </w:r>
      <w:r>
        <w:rPr>
          <w:rFonts w:hint="eastAsia" w:ascii="宋体" w:hAnsi="宋体" w:eastAsia="宋体" w:cs="宋体"/>
          <w:sz w:val="32"/>
          <w:szCs w:val="32"/>
        </w:rPr>
        <w:t>万元，与上年相比，减少</w:t>
      </w:r>
      <w:r>
        <w:rPr>
          <w:rFonts w:hint="eastAsia" w:ascii="宋体" w:hAnsi="宋体" w:eastAsia="宋体" w:cs="宋体"/>
          <w:i w:val="0"/>
          <w:iCs w:val="0"/>
          <w:caps w:val="0"/>
          <w:color w:val="555555"/>
          <w:spacing w:val="0"/>
          <w:sz w:val="32"/>
          <w:szCs w:val="32"/>
          <w:shd w:val="clear" w:fill="FFFFFF"/>
          <w:lang w:val="en-US" w:eastAsia="zh-CN"/>
        </w:rPr>
        <w:t>74.89</w:t>
      </w:r>
      <w:r>
        <w:rPr>
          <w:rFonts w:hint="eastAsia" w:ascii="宋体" w:hAnsi="宋体" w:eastAsia="宋体" w:cs="宋体"/>
          <w:sz w:val="32"/>
          <w:szCs w:val="32"/>
        </w:rPr>
        <w:t>万元,减少</w:t>
      </w:r>
      <w:r>
        <w:rPr>
          <w:rFonts w:hint="eastAsia" w:ascii="宋体" w:hAnsi="宋体" w:eastAsia="宋体" w:cs="宋体"/>
          <w:i w:val="0"/>
          <w:iCs w:val="0"/>
          <w:caps w:val="0"/>
          <w:color w:val="555555"/>
          <w:spacing w:val="0"/>
          <w:sz w:val="32"/>
          <w:szCs w:val="32"/>
          <w:shd w:val="clear" w:fill="FFFFFF"/>
          <w:lang w:val="en-US" w:eastAsia="zh-CN"/>
        </w:rPr>
        <w:t>7.9</w:t>
      </w:r>
      <w:r>
        <w:rPr>
          <w:rFonts w:hint="eastAsia" w:ascii="宋体" w:hAnsi="宋体" w:eastAsia="宋体" w:cs="宋体"/>
          <w:sz w:val="32"/>
          <w:szCs w:val="32"/>
        </w:rPr>
        <w:t>%，主要是因为节约公用支出以及公车改革处置3台汽车减少汽车开支。</w:t>
      </w:r>
    </w:p>
    <w:p>
      <w:pPr>
        <w:pStyle w:val="1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宋体" w:hAnsi="宋体" w:eastAsia="宋体"/>
          <w:b/>
          <w:sz w:val="32"/>
          <w:szCs w:val="32"/>
        </w:rPr>
      </w:pPr>
      <w:r>
        <w:rPr>
          <w:rFonts w:hint="eastAsia" w:ascii="宋体" w:hAnsi="宋体" w:eastAsia="宋体"/>
          <w:b/>
          <w:sz w:val="32"/>
          <w:szCs w:val="32"/>
        </w:rPr>
        <w:t>（一）财政拨款支出决算总体情况</w:t>
      </w:r>
    </w:p>
    <w:p>
      <w:pPr>
        <w:pStyle w:val="1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年度财政拨款支出</w:t>
      </w:r>
      <w:r>
        <w:rPr>
          <w:rFonts w:ascii="宋体" w:hAnsi="宋体" w:eastAsia="宋体"/>
          <w:sz w:val="32"/>
          <w:szCs w:val="32"/>
        </w:rPr>
        <w:t>773</w:t>
      </w:r>
      <w:r>
        <w:rPr>
          <w:rFonts w:hint="eastAsia" w:ascii="宋体" w:hAnsi="宋体" w:eastAsia="宋体"/>
          <w:sz w:val="32"/>
          <w:szCs w:val="32"/>
        </w:rPr>
        <w:t>万元，占本年支出合计的</w:t>
      </w:r>
      <w:r>
        <w:rPr>
          <w:rFonts w:ascii="宋体" w:hAnsi="宋体" w:eastAsia="宋体"/>
          <w:sz w:val="32"/>
          <w:szCs w:val="32"/>
        </w:rPr>
        <w:t>70%</w:t>
      </w:r>
      <w:r>
        <w:rPr>
          <w:rFonts w:hint="eastAsia" w:ascii="宋体" w:hAnsi="宋体" w:eastAsia="宋体"/>
          <w:sz w:val="32"/>
          <w:szCs w:val="32"/>
        </w:rPr>
        <w:t>，与上年相比，财政拨款支出减少</w:t>
      </w:r>
      <w:r>
        <w:rPr>
          <w:rFonts w:ascii="宋体" w:hAnsi="宋体" w:eastAsia="宋体"/>
          <w:sz w:val="32"/>
          <w:szCs w:val="32"/>
        </w:rPr>
        <w:t>51.68</w:t>
      </w:r>
      <w:r>
        <w:rPr>
          <w:rFonts w:hint="eastAsia" w:ascii="宋体" w:hAnsi="宋体" w:eastAsia="宋体"/>
          <w:sz w:val="32"/>
          <w:szCs w:val="32"/>
        </w:rPr>
        <w:t>万元，减少</w:t>
      </w:r>
      <w:r>
        <w:rPr>
          <w:rFonts w:ascii="宋体" w:hAnsi="宋体" w:eastAsia="宋体"/>
          <w:sz w:val="32"/>
          <w:szCs w:val="32"/>
        </w:rPr>
        <w:t>7%</w:t>
      </w:r>
      <w:r>
        <w:rPr>
          <w:rFonts w:hint="eastAsia" w:ascii="宋体" w:hAnsi="宋体" w:eastAsia="宋体"/>
          <w:sz w:val="32"/>
          <w:szCs w:val="32"/>
        </w:rPr>
        <w:t>，主要是因为因为节约公用支出，取消装饰装修检测的非税收入执收成本，公车改革处置</w:t>
      </w:r>
      <w:r>
        <w:rPr>
          <w:rFonts w:ascii="宋体" w:hAnsi="宋体" w:eastAsia="宋体"/>
          <w:sz w:val="32"/>
          <w:szCs w:val="32"/>
        </w:rPr>
        <w:t>3</w:t>
      </w:r>
      <w:r>
        <w:rPr>
          <w:rFonts w:hint="eastAsia" w:ascii="宋体" w:hAnsi="宋体" w:eastAsia="宋体"/>
          <w:sz w:val="32"/>
          <w:szCs w:val="32"/>
        </w:rPr>
        <w:t>台汽车减少公务车运行维护经费。</w:t>
      </w:r>
    </w:p>
    <w:p>
      <w:pPr>
        <w:pStyle w:val="10"/>
        <w:rPr>
          <w:rFonts w:ascii="宋体" w:hAnsi="宋体" w:eastAsia="宋体"/>
          <w:sz w:val="32"/>
          <w:szCs w:val="32"/>
        </w:rPr>
      </w:pPr>
    </w:p>
    <w:p>
      <w:pPr>
        <w:pStyle w:val="10"/>
        <w:ind w:firstLine="480" w:firstLineChars="150"/>
        <w:rPr>
          <w:rFonts w:ascii="宋体" w:hAnsi="宋体" w:eastAsia="宋体"/>
          <w:b/>
          <w:sz w:val="32"/>
          <w:szCs w:val="32"/>
        </w:rPr>
      </w:pPr>
      <w:r>
        <w:rPr>
          <w:rFonts w:hint="eastAsia" w:ascii="宋体" w:hAnsi="宋体" w:eastAsia="宋体"/>
          <w:b/>
          <w:sz w:val="32"/>
          <w:szCs w:val="32"/>
        </w:rPr>
        <w:t>（二）财政拨款支出决算结构情况</w:t>
      </w:r>
    </w:p>
    <w:p>
      <w:pPr>
        <w:pStyle w:val="10"/>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年度财政拨款支出</w:t>
      </w:r>
      <w:r>
        <w:rPr>
          <w:rFonts w:ascii="宋体" w:hAnsi="宋体" w:eastAsia="宋体"/>
          <w:sz w:val="32"/>
          <w:szCs w:val="32"/>
        </w:rPr>
        <w:t>773</w:t>
      </w:r>
      <w:r>
        <w:rPr>
          <w:rFonts w:hint="eastAsia" w:ascii="宋体" w:hAnsi="宋体" w:eastAsia="宋体"/>
          <w:sz w:val="32"/>
          <w:szCs w:val="32"/>
        </w:rPr>
        <w:t>万元，主要用于以下方面：社会保障和就业支出</w:t>
      </w:r>
      <w:r>
        <w:rPr>
          <w:rFonts w:ascii="宋体" w:hAnsi="宋体" w:eastAsia="宋体"/>
          <w:sz w:val="32"/>
          <w:szCs w:val="32"/>
        </w:rPr>
        <w:t>60.83</w:t>
      </w:r>
      <w:r>
        <w:rPr>
          <w:rFonts w:hint="eastAsia" w:ascii="宋体" w:hAnsi="宋体" w:eastAsia="宋体"/>
          <w:sz w:val="32"/>
          <w:szCs w:val="32"/>
        </w:rPr>
        <w:t>万元，占</w:t>
      </w:r>
      <w:r>
        <w:rPr>
          <w:rFonts w:ascii="宋体" w:hAnsi="宋体" w:eastAsia="宋体"/>
          <w:sz w:val="32"/>
          <w:szCs w:val="32"/>
        </w:rPr>
        <w:t>8%</w:t>
      </w:r>
      <w:r>
        <w:rPr>
          <w:rFonts w:hint="eastAsia" w:ascii="宋体" w:hAnsi="宋体" w:eastAsia="宋体"/>
          <w:sz w:val="32"/>
          <w:szCs w:val="32"/>
        </w:rPr>
        <w:t>；卫生健康支出</w:t>
      </w:r>
      <w:r>
        <w:rPr>
          <w:rFonts w:ascii="宋体" w:hAnsi="宋体" w:eastAsia="宋体"/>
          <w:sz w:val="32"/>
          <w:szCs w:val="32"/>
        </w:rPr>
        <w:t>26.16</w:t>
      </w:r>
      <w:r>
        <w:rPr>
          <w:rFonts w:hint="eastAsia" w:ascii="宋体" w:hAnsi="宋体" w:eastAsia="宋体"/>
          <w:sz w:val="32"/>
          <w:szCs w:val="32"/>
        </w:rPr>
        <w:t>万元，占</w:t>
      </w:r>
      <w:r>
        <w:rPr>
          <w:rFonts w:ascii="宋体" w:hAnsi="宋体" w:eastAsia="宋体"/>
          <w:sz w:val="32"/>
          <w:szCs w:val="32"/>
        </w:rPr>
        <w:t>4%;</w:t>
      </w:r>
      <w:r>
        <w:rPr>
          <w:rFonts w:hint="eastAsia" w:ascii="宋体" w:hAnsi="宋体" w:eastAsia="宋体"/>
          <w:sz w:val="32"/>
          <w:szCs w:val="32"/>
        </w:rPr>
        <w:t>城乡社区支出</w:t>
      </w:r>
      <w:r>
        <w:rPr>
          <w:rFonts w:ascii="宋体" w:hAnsi="宋体" w:eastAsia="宋体"/>
          <w:sz w:val="32"/>
          <w:szCs w:val="32"/>
        </w:rPr>
        <w:t>235.03</w:t>
      </w:r>
      <w:r>
        <w:rPr>
          <w:rFonts w:hint="eastAsia" w:ascii="宋体" w:hAnsi="宋体" w:eastAsia="宋体"/>
          <w:sz w:val="32"/>
          <w:szCs w:val="32"/>
        </w:rPr>
        <w:t>万元，占</w:t>
      </w:r>
      <w:r>
        <w:rPr>
          <w:rFonts w:ascii="宋体" w:hAnsi="宋体" w:eastAsia="宋体"/>
          <w:sz w:val="32"/>
          <w:szCs w:val="32"/>
        </w:rPr>
        <w:t>31%</w:t>
      </w:r>
      <w:r>
        <w:rPr>
          <w:rFonts w:hint="eastAsia" w:ascii="宋体" w:hAnsi="宋体" w:eastAsia="宋体"/>
          <w:sz w:val="32"/>
          <w:szCs w:val="32"/>
        </w:rPr>
        <w:t>；资源勘探工业信息等支出</w:t>
      </w:r>
      <w:r>
        <w:rPr>
          <w:rFonts w:ascii="宋体" w:hAnsi="宋体" w:eastAsia="宋体"/>
          <w:sz w:val="32"/>
          <w:szCs w:val="32"/>
        </w:rPr>
        <w:t>450.98</w:t>
      </w:r>
      <w:r>
        <w:rPr>
          <w:rFonts w:hint="eastAsia" w:ascii="宋体" w:hAnsi="宋体" w:eastAsia="宋体"/>
          <w:sz w:val="32"/>
          <w:szCs w:val="32"/>
        </w:rPr>
        <w:t>万元，占</w:t>
      </w:r>
      <w:r>
        <w:rPr>
          <w:rFonts w:ascii="宋体" w:hAnsi="宋体" w:eastAsia="宋体"/>
          <w:sz w:val="32"/>
          <w:szCs w:val="32"/>
        </w:rPr>
        <w:t>59%</w:t>
      </w:r>
      <w:r>
        <w:rPr>
          <w:rFonts w:hint="eastAsia" w:ascii="宋体" w:hAnsi="宋体" w:eastAsia="宋体"/>
          <w:sz w:val="32"/>
          <w:szCs w:val="32"/>
        </w:rPr>
        <w:t>。</w:t>
      </w:r>
    </w:p>
    <w:p>
      <w:pPr>
        <w:pStyle w:val="10"/>
        <w:ind w:firstLine="800" w:firstLineChars="250"/>
        <w:rPr>
          <w:rFonts w:ascii="宋体" w:hAnsi="宋体" w:eastAsia="宋体"/>
          <w:b/>
          <w:sz w:val="32"/>
          <w:szCs w:val="32"/>
        </w:rPr>
      </w:pPr>
      <w:r>
        <w:rPr>
          <w:rFonts w:hint="eastAsia" w:ascii="宋体" w:hAnsi="宋体" w:eastAsia="宋体"/>
          <w:b/>
          <w:sz w:val="32"/>
          <w:szCs w:val="32"/>
        </w:rPr>
        <w:t>（三）财政拨款支出决算具体情况</w:t>
      </w:r>
    </w:p>
    <w:p>
      <w:pPr>
        <w:pStyle w:val="10"/>
        <w:ind w:firstLine="800" w:firstLineChars="25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年度财政拨款支出年初预算数为</w:t>
      </w:r>
      <w:r>
        <w:rPr>
          <w:rFonts w:ascii="宋体" w:hAnsi="宋体" w:eastAsia="宋体"/>
          <w:sz w:val="32"/>
          <w:szCs w:val="32"/>
        </w:rPr>
        <w:t>656.38</w:t>
      </w:r>
      <w:r>
        <w:rPr>
          <w:rFonts w:hint="eastAsia" w:ascii="宋体" w:hAnsi="宋体" w:eastAsia="宋体"/>
          <w:sz w:val="32"/>
          <w:szCs w:val="32"/>
        </w:rPr>
        <w:t>万元，支出决算数为</w:t>
      </w:r>
      <w:r>
        <w:rPr>
          <w:rFonts w:ascii="宋体" w:hAnsi="宋体" w:eastAsia="宋体"/>
          <w:sz w:val="32"/>
          <w:szCs w:val="32"/>
        </w:rPr>
        <w:t>773</w:t>
      </w:r>
      <w:r>
        <w:rPr>
          <w:rFonts w:hint="eastAsia" w:ascii="宋体" w:hAnsi="宋体" w:eastAsia="宋体"/>
          <w:sz w:val="32"/>
          <w:szCs w:val="32"/>
        </w:rPr>
        <w:t>万元，完成年初预算的</w:t>
      </w:r>
      <w:r>
        <w:rPr>
          <w:rFonts w:ascii="宋体" w:hAnsi="宋体" w:eastAsia="宋体"/>
          <w:sz w:val="32"/>
          <w:szCs w:val="32"/>
        </w:rPr>
        <w:t>118%</w:t>
      </w:r>
      <w:r>
        <w:rPr>
          <w:rFonts w:hint="eastAsia" w:ascii="宋体" w:hAnsi="宋体" w:eastAsia="宋体"/>
          <w:sz w:val="32"/>
          <w:szCs w:val="32"/>
        </w:rPr>
        <w:t>，其中：</w:t>
      </w:r>
    </w:p>
    <w:p>
      <w:pPr>
        <w:pStyle w:val="10"/>
        <w:ind w:left="800"/>
        <w:rPr>
          <w:rFonts w:ascii="宋体" w:hAnsi="宋体" w:eastAsia="宋体"/>
          <w:sz w:val="32"/>
          <w:szCs w:val="32"/>
        </w:rPr>
      </w:pPr>
      <w:r>
        <w:rPr>
          <w:rFonts w:ascii="宋体" w:hAnsi="宋体" w:eastAsia="宋体"/>
          <w:sz w:val="32"/>
          <w:szCs w:val="32"/>
        </w:rPr>
        <w:t>1</w:t>
      </w:r>
      <w:r>
        <w:rPr>
          <w:rFonts w:hint="eastAsia" w:ascii="宋体" w:hAnsi="宋体" w:eastAsia="宋体"/>
          <w:sz w:val="32"/>
          <w:szCs w:val="32"/>
        </w:rPr>
        <w:t>、社会保障和就业支出行政事业单位养老支出机关事业单位养老保险缴费支出年初预算为</w:t>
      </w:r>
      <w:r>
        <w:rPr>
          <w:rFonts w:ascii="宋体" w:hAnsi="宋体" w:eastAsia="宋体"/>
          <w:sz w:val="32"/>
          <w:szCs w:val="32"/>
        </w:rPr>
        <w:t>56.55</w:t>
      </w:r>
      <w:r>
        <w:rPr>
          <w:rFonts w:hint="eastAsia" w:ascii="宋体" w:hAnsi="宋体" w:eastAsia="宋体"/>
          <w:sz w:val="32"/>
          <w:szCs w:val="32"/>
        </w:rPr>
        <w:t>万元，支出决算为</w:t>
      </w:r>
      <w:r>
        <w:rPr>
          <w:rFonts w:ascii="宋体" w:hAnsi="宋体" w:eastAsia="宋体"/>
          <w:sz w:val="32"/>
          <w:szCs w:val="32"/>
        </w:rPr>
        <w:t>56.55</w:t>
      </w:r>
      <w:r>
        <w:rPr>
          <w:rFonts w:hint="eastAsia" w:ascii="宋体" w:hAnsi="宋体" w:eastAsia="宋体"/>
          <w:sz w:val="32"/>
          <w:szCs w:val="32"/>
        </w:rPr>
        <w:t>万元，完成年初预算的</w:t>
      </w:r>
      <w:r>
        <w:rPr>
          <w:rFonts w:ascii="宋体" w:hAnsi="宋体" w:eastAsia="宋体"/>
          <w:sz w:val="32"/>
          <w:szCs w:val="32"/>
        </w:rPr>
        <w:t>100%</w:t>
      </w:r>
      <w:r>
        <w:rPr>
          <w:rFonts w:hint="eastAsia" w:ascii="宋体" w:hAnsi="宋体" w:eastAsia="宋体"/>
          <w:sz w:val="32"/>
          <w:szCs w:val="32"/>
        </w:rPr>
        <w:t>。</w:t>
      </w:r>
    </w:p>
    <w:p>
      <w:pPr>
        <w:pStyle w:val="10"/>
        <w:ind w:left="840" w:leftChars="400"/>
        <w:rPr>
          <w:rFonts w:ascii="宋体" w:hAnsi="宋体" w:eastAsia="宋体"/>
          <w:sz w:val="32"/>
          <w:szCs w:val="32"/>
        </w:rPr>
      </w:pPr>
      <w:r>
        <w:rPr>
          <w:rFonts w:ascii="宋体" w:hAnsi="宋体" w:eastAsia="宋体"/>
          <w:sz w:val="32"/>
          <w:szCs w:val="32"/>
        </w:rPr>
        <w:t>2</w:t>
      </w:r>
      <w:r>
        <w:rPr>
          <w:rFonts w:hint="eastAsia" w:ascii="宋体" w:hAnsi="宋体" w:eastAsia="宋体"/>
          <w:sz w:val="32"/>
          <w:szCs w:val="32"/>
        </w:rPr>
        <w:t>、社会保障和就业支出残疾人事业其他残疾人事业支出年初预算为</w:t>
      </w:r>
      <w:r>
        <w:rPr>
          <w:rFonts w:ascii="宋体" w:hAnsi="宋体" w:eastAsia="宋体"/>
          <w:sz w:val="32"/>
          <w:szCs w:val="32"/>
        </w:rPr>
        <w:t>4.28</w:t>
      </w:r>
      <w:r>
        <w:rPr>
          <w:rFonts w:hint="eastAsia" w:ascii="宋体" w:hAnsi="宋体" w:eastAsia="宋体"/>
          <w:sz w:val="32"/>
          <w:szCs w:val="32"/>
        </w:rPr>
        <w:t>万元，支出决算为</w:t>
      </w:r>
      <w:r>
        <w:rPr>
          <w:rFonts w:ascii="宋体" w:hAnsi="宋体" w:eastAsia="宋体"/>
          <w:sz w:val="32"/>
          <w:szCs w:val="32"/>
        </w:rPr>
        <w:t>4.28</w:t>
      </w:r>
      <w:r>
        <w:rPr>
          <w:rFonts w:hint="eastAsia" w:ascii="宋体" w:hAnsi="宋体" w:eastAsia="宋体"/>
          <w:sz w:val="32"/>
          <w:szCs w:val="32"/>
        </w:rPr>
        <w:t>万元，完成年初预算的</w:t>
      </w:r>
      <w:r>
        <w:rPr>
          <w:rFonts w:ascii="宋体" w:hAnsi="宋体" w:eastAsia="宋体"/>
          <w:sz w:val="32"/>
          <w:szCs w:val="32"/>
        </w:rPr>
        <w:t>100%</w:t>
      </w:r>
      <w:r>
        <w:rPr>
          <w:rFonts w:hint="eastAsia" w:ascii="宋体" w:hAnsi="宋体" w:eastAsia="宋体"/>
          <w:sz w:val="32"/>
          <w:szCs w:val="32"/>
        </w:rPr>
        <w:t>。</w:t>
      </w:r>
    </w:p>
    <w:p>
      <w:pPr>
        <w:pStyle w:val="10"/>
        <w:ind w:left="735" w:leftChars="350"/>
        <w:rPr>
          <w:rFonts w:ascii="宋体" w:hAnsi="宋体" w:eastAsia="宋体"/>
          <w:sz w:val="32"/>
          <w:szCs w:val="32"/>
        </w:rPr>
      </w:pPr>
      <w:r>
        <w:rPr>
          <w:rFonts w:ascii="宋体" w:hAnsi="宋体" w:eastAsia="宋体"/>
          <w:sz w:val="32"/>
          <w:szCs w:val="32"/>
        </w:rPr>
        <w:t>3</w:t>
      </w:r>
      <w:r>
        <w:rPr>
          <w:rFonts w:hint="eastAsia" w:ascii="宋体" w:hAnsi="宋体" w:eastAsia="宋体"/>
          <w:sz w:val="32"/>
          <w:szCs w:val="32"/>
        </w:rPr>
        <w:t>、社会保障和就业支出工伤险预算</w:t>
      </w:r>
      <w:r>
        <w:rPr>
          <w:rFonts w:ascii="宋体" w:hAnsi="宋体" w:eastAsia="宋体"/>
          <w:sz w:val="32"/>
          <w:szCs w:val="32"/>
        </w:rPr>
        <w:t>2.85</w:t>
      </w:r>
      <w:r>
        <w:rPr>
          <w:rFonts w:hint="eastAsia" w:ascii="宋体" w:hAnsi="宋体" w:eastAsia="宋体"/>
          <w:sz w:val="32"/>
          <w:szCs w:val="32"/>
        </w:rPr>
        <w:t>万元，支出决算为</w:t>
      </w:r>
      <w:r>
        <w:rPr>
          <w:rFonts w:ascii="宋体" w:hAnsi="宋体" w:eastAsia="宋体"/>
          <w:sz w:val="32"/>
          <w:szCs w:val="32"/>
        </w:rPr>
        <w:t>3.15</w:t>
      </w:r>
      <w:r>
        <w:rPr>
          <w:rFonts w:hint="eastAsia" w:ascii="宋体" w:hAnsi="宋体" w:eastAsia="宋体"/>
          <w:sz w:val="32"/>
          <w:szCs w:val="32"/>
        </w:rPr>
        <w:t>万元，完成预算的</w:t>
      </w:r>
      <w:r>
        <w:rPr>
          <w:rFonts w:ascii="宋体" w:hAnsi="宋体" w:eastAsia="宋体"/>
          <w:sz w:val="32"/>
          <w:szCs w:val="32"/>
        </w:rPr>
        <w:t>111%</w:t>
      </w:r>
      <w:r>
        <w:rPr>
          <w:rFonts w:hint="eastAsia" w:ascii="宋体" w:hAnsi="宋体" w:eastAsia="宋体"/>
          <w:sz w:val="32"/>
          <w:szCs w:val="32"/>
        </w:rPr>
        <w:t>，决算大于年初预算数的原因是自收自支人员的工伤险一同支付造成决算数大于预算数。</w:t>
      </w:r>
    </w:p>
    <w:p>
      <w:pPr>
        <w:pStyle w:val="10"/>
        <w:ind w:left="735" w:leftChars="350"/>
        <w:rPr>
          <w:rFonts w:ascii="宋体" w:hAnsi="宋体" w:eastAsia="宋体"/>
          <w:sz w:val="32"/>
          <w:szCs w:val="32"/>
        </w:rPr>
      </w:pPr>
      <w:r>
        <w:rPr>
          <w:rFonts w:ascii="宋体" w:hAnsi="宋体" w:eastAsia="宋体"/>
          <w:sz w:val="32"/>
          <w:szCs w:val="32"/>
        </w:rPr>
        <w:t>4</w:t>
      </w:r>
      <w:r>
        <w:rPr>
          <w:rFonts w:hint="eastAsia" w:ascii="宋体" w:hAnsi="宋体" w:eastAsia="宋体"/>
          <w:sz w:val="32"/>
          <w:szCs w:val="32"/>
        </w:rPr>
        <w:t>、社会保障和就业支出住房公积金预算</w:t>
      </w:r>
      <w:r>
        <w:rPr>
          <w:rFonts w:ascii="宋体" w:hAnsi="宋体" w:eastAsia="宋体"/>
          <w:sz w:val="32"/>
          <w:szCs w:val="32"/>
        </w:rPr>
        <w:t>42.41</w:t>
      </w:r>
      <w:r>
        <w:rPr>
          <w:rFonts w:hint="eastAsia" w:ascii="宋体" w:hAnsi="宋体" w:eastAsia="宋体"/>
          <w:sz w:val="32"/>
          <w:szCs w:val="32"/>
        </w:rPr>
        <w:t>万元，支出决算</w:t>
      </w:r>
      <w:r>
        <w:rPr>
          <w:rFonts w:ascii="宋体" w:hAnsi="宋体" w:eastAsia="宋体"/>
          <w:sz w:val="32"/>
          <w:szCs w:val="32"/>
        </w:rPr>
        <w:t>19.44</w:t>
      </w:r>
      <w:r>
        <w:rPr>
          <w:rFonts w:hint="eastAsia" w:ascii="宋体" w:hAnsi="宋体" w:eastAsia="宋体"/>
          <w:sz w:val="32"/>
          <w:szCs w:val="32"/>
        </w:rPr>
        <w:t>万元，完成决算数的</w:t>
      </w:r>
      <w:r>
        <w:rPr>
          <w:rFonts w:ascii="宋体" w:hAnsi="宋体" w:eastAsia="宋体"/>
          <w:sz w:val="32"/>
          <w:szCs w:val="32"/>
        </w:rPr>
        <w:t>46%</w:t>
      </w:r>
      <w:r>
        <w:rPr>
          <w:rFonts w:hint="eastAsia" w:ascii="宋体" w:hAnsi="宋体" w:eastAsia="宋体"/>
          <w:sz w:val="32"/>
          <w:szCs w:val="32"/>
        </w:rPr>
        <w:t>，决算数小于年初预算数的原因是部分公积金用其他资金支付。</w:t>
      </w:r>
    </w:p>
    <w:p>
      <w:pPr>
        <w:pStyle w:val="10"/>
        <w:ind w:firstLine="800" w:firstLineChars="250"/>
        <w:rPr>
          <w:rFonts w:ascii="宋体" w:hAnsi="宋体" w:eastAsia="宋体"/>
          <w:sz w:val="32"/>
          <w:szCs w:val="32"/>
        </w:rPr>
      </w:pPr>
      <w:r>
        <w:rPr>
          <w:rFonts w:ascii="宋体" w:hAnsi="宋体" w:eastAsia="宋体"/>
          <w:sz w:val="32"/>
          <w:szCs w:val="32"/>
        </w:rPr>
        <w:t>5</w:t>
      </w:r>
      <w:r>
        <w:rPr>
          <w:rFonts w:hint="eastAsia" w:ascii="宋体" w:hAnsi="宋体" w:eastAsia="宋体"/>
          <w:sz w:val="32"/>
          <w:szCs w:val="32"/>
        </w:rPr>
        <w:t>、卫生健康支出类行政事业单位医疗事业单位医疗</w:t>
      </w:r>
    </w:p>
    <w:p>
      <w:pPr>
        <w:pStyle w:val="10"/>
        <w:ind w:firstLine="800" w:firstLineChars="250"/>
        <w:rPr>
          <w:rFonts w:ascii="宋体" w:hAnsi="宋体" w:eastAsia="宋体"/>
          <w:sz w:val="32"/>
          <w:szCs w:val="32"/>
        </w:rPr>
      </w:pPr>
      <w:r>
        <w:rPr>
          <w:rFonts w:hint="eastAsia" w:ascii="宋体" w:hAnsi="宋体" w:eastAsia="宋体"/>
          <w:sz w:val="32"/>
          <w:szCs w:val="32"/>
        </w:rPr>
        <w:t>年初预算为</w:t>
      </w:r>
      <w:r>
        <w:rPr>
          <w:rFonts w:ascii="宋体" w:hAnsi="宋体" w:eastAsia="宋体"/>
          <w:sz w:val="32"/>
          <w:szCs w:val="32"/>
        </w:rPr>
        <w:t>26.16</w:t>
      </w:r>
      <w:r>
        <w:rPr>
          <w:rFonts w:hint="eastAsia" w:ascii="宋体" w:hAnsi="宋体" w:eastAsia="宋体"/>
          <w:sz w:val="32"/>
          <w:szCs w:val="32"/>
        </w:rPr>
        <w:t>万元，支出决算为</w:t>
      </w:r>
      <w:r>
        <w:rPr>
          <w:rFonts w:ascii="宋体" w:hAnsi="宋体" w:eastAsia="宋体"/>
          <w:sz w:val="32"/>
          <w:szCs w:val="32"/>
        </w:rPr>
        <w:t>26.16</w:t>
      </w:r>
      <w:r>
        <w:rPr>
          <w:rFonts w:hint="eastAsia" w:ascii="宋体" w:hAnsi="宋体" w:eastAsia="宋体"/>
          <w:sz w:val="32"/>
          <w:szCs w:val="32"/>
        </w:rPr>
        <w:t>万元，完成年初预算的</w:t>
      </w:r>
      <w:r>
        <w:rPr>
          <w:rFonts w:ascii="宋体" w:hAnsi="宋体" w:eastAsia="宋体"/>
          <w:sz w:val="32"/>
          <w:szCs w:val="32"/>
        </w:rPr>
        <w:t>100%</w:t>
      </w:r>
      <w:r>
        <w:rPr>
          <w:rFonts w:hint="eastAsia" w:ascii="宋体" w:hAnsi="宋体" w:eastAsia="宋体"/>
          <w:sz w:val="32"/>
          <w:szCs w:val="32"/>
        </w:rPr>
        <w:t>。</w:t>
      </w:r>
      <w:r>
        <w:rPr>
          <w:rFonts w:ascii="宋体" w:hAnsi="宋体" w:eastAsia="宋体"/>
          <w:sz w:val="32"/>
          <w:szCs w:val="32"/>
        </w:rPr>
        <w:t xml:space="preserve"> </w:t>
      </w:r>
    </w:p>
    <w:p>
      <w:pPr>
        <w:pStyle w:val="10"/>
        <w:ind w:firstLine="800" w:firstLineChars="250"/>
        <w:rPr>
          <w:rFonts w:ascii="宋体" w:hAnsi="宋体" w:eastAsia="宋体"/>
          <w:sz w:val="32"/>
          <w:szCs w:val="32"/>
        </w:rPr>
      </w:pPr>
      <w:r>
        <w:rPr>
          <w:rFonts w:ascii="宋体" w:hAnsi="宋体" w:eastAsia="宋体"/>
          <w:sz w:val="32"/>
          <w:szCs w:val="32"/>
        </w:rPr>
        <w:t>6</w:t>
      </w:r>
      <w:r>
        <w:rPr>
          <w:rFonts w:hint="eastAsia" w:ascii="宋体" w:hAnsi="宋体" w:eastAsia="宋体"/>
          <w:sz w:val="32"/>
          <w:szCs w:val="32"/>
        </w:rPr>
        <w:t>、城乡社区支出类城乡社区规划与管理</w:t>
      </w:r>
    </w:p>
    <w:p>
      <w:pPr>
        <w:pStyle w:val="10"/>
        <w:ind w:firstLine="800" w:firstLineChars="250"/>
        <w:rPr>
          <w:rFonts w:ascii="宋体" w:hAnsi="宋体" w:eastAsia="宋体"/>
          <w:sz w:val="32"/>
          <w:szCs w:val="32"/>
        </w:rPr>
      </w:pPr>
      <w:r>
        <w:rPr>
          <w:rFonts w:hint="eastAsia" w:ascii="宋体" w:hAnsi="宋体" w:eastAsia="宋体"/>
          <w:sz w:val="32"/>
          <w:szCs w:val="32"/>
        </w:rPr>
        <w:t>年初预算为</w:t>
      </w:r>
      <w:r>
        <w:rPr>
          <w:rFonts w:ascii="宋体" w:hAnsi="宋体" w:eastAsia="宋体"/>
          <w:sz w:val="32"/>
          <w:szCs w:val="32"/>
        </w:rPr>
        <w:t>57</w:t>
      </w:r>
      <w:r>
        <w:rPr>
          <w:rFonts w:hint="eastAsia" w:ascii="宋体" w:hAnsi="宋体" w:eastAsia="宋体"/>
          <w:sz w:val="32"/>
          <w:szCs w:val="32"/>
        </w:rPr>
        <w:t>万元，支出决算为</w:t>
      </w:r>
      <w:r>
        <w:rPr>
          <w:rFonts w:ascii="宋体" w:hAnsi="宋体" w:eastAsia="宋体"/>
          <w:sz w:val="32"/>
          <w:szCs w:val="32"/>
        </w:rPr>
        <w:t>235.03</w:t>
      </w:r>
      <w:r>
        <w:rPr>
          <w:rFonts w:hint="eastAsia" w:ascii="宋体" w:hAnsi="宋体" w:eastAsia="宋体"/>
          <w:sz w:val="32"/>
          <w:szCs w:val="32"/>
        </w:rPr>
        <w:t>万元，完成年初预算的</w:t>
      </w:r>
      <w:r>
        <w:rPr>
          <w:rFonts w:ascii="宋体" w:hAnsi="宋体" w:eastAsia="宋体"/>
          <w:sz w:val="32"/>
          <w:szCs w:val="32"/>
        </w:rPr>
        <w:t>413%</w:t>
      </w:r>
      <w:r>
        <w:rPr>
          <w:rFonts w:hint="eastAsia" w:ascii="宋体" w:hAnsi="宋体" w:eastAsia="宋体"/>
          <w:sz w:val="32"/>
          <w:szCs w:val="32"/>
        </w:rPr>
        <w:t>。</w:t>
      </w:r>
    </w:p>
    <w:p>
      <w:pPr>
        <w:pStyle w:val="10"/>
        <w:ind w:left="945" w:leftChars="450"/>
        <w:rPr>
          <w:rFonts w:ascii="宋体" w:hAnsi="宋体" w:eastAsia="宋体"/>
          <w:color w:val="FF0000"/>
          <w:sz w:val="32"/>
          <w:szCs w:val="32"/>
        </w:rPr>
      </w:pPr>
      <w:r>
        <w:rPr>
          <w:rFonts w:hint="eastAsia" w:ascii="宋体" w:hAnsi="宋体" w:eastAsia="宋体"/>
          <w:sz w:val="32"/>
          <w:szCs w:val="32"/>
        </w:rPr>
        <w:t>决算大于年初预算数的原因是取得其他城乡社区支出经费罚没款办案费、上年度办案费超收安排的支出。</w:t>
      </w:r>
    </w:p>
    <w:p>
      <w:pPr>
        <w:pStyle w:val="10"/>
        <w:ind w:left="950" w:leftChars="300" w:hanging="320" w:hangingChars="100"/>
        <w:rPr>
          <w:rFonts w:ascii="宋体" w:hAnsi="宋体" w:eastAsia="宋体"/>
          <w:sz w:val="32"/>
          <w:szCs w:val="32"/>
        </w:rPr>
      </w:pPr>
      <w:r>
        <w:rPr>
          <w:rFonts w:ascii="宋体" w:hAnsi="宋体" w:eastAsia="宋体"/>
          <w:sz w:val="32"/>
          <w:szCs w:val="32"/>
        </w:rPr>
        <w:t>7</w:t>
      </w:r>
      <w:r>
        <w:rPr>
          <w:rFonts w:hint="eastAsia" w:ascii="宋体" w:hAnsi="宋体" w:eastAsia="宋体"/>
          <w:sz w:val="32"/>
          <w:szCs w:val="32"/>
        </w:rPr>
        <w:t>、</w:t>
      </w:r>
      <w:bookmarkStart w:id="3" w:name="_Hlk82363458"/>
      <w:r>
        <w:rPr>
          <w:rFonts w:hint="eastAsia" w:ascii="宋体" w:hAnsi="宋体" w:eastAsia="宋体"/>
          <w:sz w:val="32"/>
          <w:szCs w:val="32"/>
        </w:rPr>
        <w:t>资源勘探工业信息等支出类建筑业</w:t>
      </w:r>
      <w:bookmarkEnd w:id="3"/>
      <w:r>
        <w:rPr>
          <w:rFonts w:hint="eastAsia" w:ascii="宋体" w:hAnsi="宋体" w:eastAsia="宋体"/>
          <w:sz w:val="32"/>
          <w:szCs w:val="32"/>
        </w:rPr>
        <w:t>行政运行和一般行政管理事务年初预算</w:t>
      </w:r>
      <w:r>
        <w:rPr>
          <w:rFonts w:ascii="宋体" w:hAnsi="宋体" w:eastAsia="宋体"/>
          <w:sz w:val="32"/>
          <w:szCs w:val="32"/>
        </w:rPr>
        <w:t>467.13</w:t>
      </w:r>
      <w:r>
        <w:rPr>
          <w:rFonts w:hint="eastAsia" w:ascii="宋体" w:hAnsi="宋体" w:eastAsia="宋体"/>
          <w:sz w:val="32"/>
          <w:szCs w:val="32"/>
        </w:rPr>
        <w:t>万元，支出决算为</w:t>
      </w:r>
      <w:r>
        <w:rPr>
          <w:rFonts w:ascii="宋体" w:hAnsi="宋体" w:eastAsia="宋体"/>
          <w:sz w:val="32"/>
          <w:szCs w:val="32"/>
        </w:rPr>
        <w:t>450.99</w:t>
      </w:r>
      <w:r>
        <w:rPr>
          <w:rFonts w:hint="eastAsia" w:ascii="宋体" w:hAnsi="宋体" w:eastAsia="宋体"/>
          <w:sz w:val="32"/>
          <w:szCs w:val="32"/>
        </w:rPr>
        <w:t>万元，完成年初预算的</w:t>
      </w:r>
      <w:r>
        <w:rPr>
          <w:rFonts w:ascii="宋体" w:hAnsi="宋体" w:eastAsia="宋体"/>
          <w:sz w:val="32"/>
          <w:szCs w:val="32"/>
        </w:rPr>
        <w:t>97%</w:t>
      </w:r>
      <w:r>
        <w:rPr>
          <w:rFonts w:hint="eastAsia" w:ascii="宋体" w:hAnsi="宋体" w:eastAsia="宋体"/>
          <w:sz w:val="32"/>
          <w:szCs w:val="32"/>
        </w:rPr>
        <w:t>。</w:t>
      </w:r>
    </w:p>
    <w:p>
      <w:pPr>
        <w:pStyle w:val="10"/>
        <w:ind w:left="840" w:leftChars="400"/>
        <w:rPr>
          <w:rFonts w:ascii="宋体" w:hAnsi="宋体" w:eastAsia="宋体"/>
          <w:sz w:val="32"/>
          <w:szCs w:val="32"/>
        </w:rPr>
      </w:pPr>
      <w:r>
        <w:rPr>
          <w:rFonts w:hint="eastAsia" w:ascii="宋体" w:hAnsi="宋体" w:eastAsia="宋体"/>
          <w:sz w:val="32"/>
          <w:szCs w:val="32"/>
        </w:rPr>
        <w:t>决算数小于年初预算数的原因是取消了装饰装修检测项目，减少了非税收入的征收成本。</w:t>
      </w:r>
    </w:p>
    <w:p>
      <w:pPr>
        <w:pStyle w:val="1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年度财政拨款基本支出</w:t>
      </w:r>
      <w:r>
        <w:rPr>
          <w:rFonts w:ascii="宋体" w:hAnsi="宋体" w:eastAsia="宋体"/>
          <w:sz w:val="32"/>
          <w:szCs w:val="32"/>
        </w:rPr>
        <w:t>678.73</w:t>
      </w:r>
      <w:r>
        <w:rPr>
          <w:rFonts w:hint="eastAsia" w:ascii="宋体" w:hAnsi="宋体" w:eastAsia="宋体"/>
          <w:sz w:val="32"/>
          <w:szCs w:val="32"/>
        </w:rPr>
        <w:t>万元，其中：人员经费</w:t>
      </w:r>
      <w:r>
        <w:rPr>
          <w:rFonts w:ascii="宋体" w:hAnsi="宋体" w:eastAsia="宋体"/>
          <w:sz w:val="32"/>
          <w:szCs w:val="32"/>
        </w:rPr>
        <w:t>675.49</w:t>
      </w:r>
      <w:r>
        <w:rPr>
          <w:rFonts w:hint="eastAsia" w:ascii="宋体" w:hAnsi="宋体" w:eastAsia="宋体"/>
          <w:sz w:val="32"/>
          <w:szCs w:val="32"/>
        </w:rPr>
        <w:t>万元，占基本支出的</w:t>
      </w:r>
      <w:r>
        <w:rPr>
          <w:rFonts w:ascii="宋体" w:hAnsi="宋体" w:eastAsia="宋体"/>
          <w:sz w:val="32"/>
          <w:szCs w:val="32"/>
        </w:rPr>
        <w:t>99.5%,</w:t>
      </w:r>
      <w:r>
        <w:rPr>
          <w:rFonts w:hint="eastAsia" w:ascii="宋体" w:hAnsi="宋体" w:eastAsia="宋体"/>
          <w:sz w:val="32"/>
          <w:szCs w:val="32"/>
        </w:rPr>
        <w:t>主要包括基本工资、奖金、伙食补助费、绩效工资、机关事业单位基本养老保险缴费、职工基本医疗保险缴费、其他社会保障缴费、住房公积金、医疗体检费、其他工资福利支出等；公用经费</w:t>
      </w:r>
      <w:r>
        <w:rPr>
          <w:rFonts w:ascii="宋体" w:hAnsi="宋体" w:eastAsia="宋体"/>
          <w:sz w:val="32"/>
          <w:szCs w:val="32"/>
        </w:rPr>
        <w:t>3.24</w:t>
      </w:r>
      <w:r>
        <w:rPr>
          <w:rFonts w:hint="eastAsia" w:ascii="宋体" w:hAnsi="宋体" w:eastAsia="宋体"/>
          <w:sz w:val="32"/>
          <w:szCs w:val="32"/>
        </w:rPr>
        <w:t>万元，占基本支出的</w:t>
      </w:r>
      <w:r>
        <w:rPr>
          <w:rFonts w:ascii="宋体" w:hAnsi="宋体" w:eastAsia="宋体"/>
          <w:sz w:val="32"/>
          <w:szCs w:val="32"/>
        </w:rPr>
        <w:t>0.5%</w:t>
      </w:r>
      <w:r>
        <w:rPr>
          <w:rFonts w:hint="eastAsia" w:ascii="宋体" w:hAnsi="宋体" w:eastAsia="宋体"/>
          <w:sz w:val="32"/>
          <w:szCs w:val="32"/>
        </w:rPr>
        <w:t>，主要包括办公费、电费、邮电费、差旅费、维修（护）、劳务费、公务车运行维护费、税金及附加费用、其他商品和服务支出。</w:t>
      </w:r>
    </w:p>
    <w:p>
      <w:pPr>
        <w:pStyle w:val="10"/>
        <w:rPr>
          <w:rFonts w:hAnsi="黑体"/>
          <w:b/>
          <w:sz w:val="32"/>
          <w:szCs w:val="32"/>
        </w:rPr>
      </w:pPr>
      <w:r>
        <w:rPr>
          <w:rFonts w:hint="eastAsia" w:hAnsi="黑体"/>
          <w:b/>
          <w:sz w:val="32"/>
          <w:szCs w:val="32"/>
        </w:rPr>
        <w:t>七、一般公共预算财政拨款三公经费支出决算情况说明</w:t>
      </w:r>
    </w:p>
    <w:p>
      <w:pPr>
        <w:pStyle w:val="10"/>
        <w:rPr>
          <w:rFonts w:ascii="宋体" w:hAnsi="宋体" w:eastAsia="宋体"/>
          <w:b/>
          <w:sz w:val="32"/>
          <w:szCs w:val="32"/>
        </w:rPr>
      </w:pPr>
      <w:r>
        <w:rPr>
          <w:rFonts w:hint="eastAsia" w:ascii="宋体" w:hAnsi="宋体" w:eastAsia="宋体"/>
          <w:b/>
          <w:sz w:val="32"/>
          <w:szCs w:val="32"/>
        </w:rPr>
        <w:t>（一）“三公”经费财政拨款支出决算总体情况说明</w:t>
      </w:r>
    </w:p>
    <w:p>
      <w:pPr>
        <w:pStyle w:val="10"/>
        <w:ind w:firstLine="800" w:firstLineChars="250"/>
        <w:rPr>
          <w:rFonts w:ascii="宋体" w:hAnsi="宋体" w:eastAsia="宋体"/>
          <w:sz w:val="32"/>
          <w:szCs w:val="32"/>
        </w:rPr>
      </w:pPr>
      <w:r>
        <w:rPr>
          <w:rFonts w:hint="eastAsia" w:ascii="宋体" w:hAnsi="宋体" w:eastAsia="宋体"/>
          <w:sz w:val="32"/>
          <w:szCs w:val="32"/>
        </w:rPr>
        <w:t>“三公”经费财政拨款支出预算为</w:t>
      </w:r>
      <w:r>
        <w:rPr>
          <w:rFonts w:ascii="宋体" w:hAnsi="宋体" w:eastAsia="宋体"/>
          <w:sz w:val="32"/>
          <w:szCs w:val="32"/>
        </w:rPr>
        <w:t>6</w:t>
      </w:r>
      <w:r>
        <w:rPr>
          <w:rFonts w:hint="eastAsia" w:ascii="宋体" w:hAnsi="宋体" w:eastAsia="宋体"/>
          <w:sz w:val="32"/>
          <w:szCs w:val="32"/>
        </w:rPr>
        <w:t>万元，支出决算为</w:t>
      </w:r>
      <w:r>
        <w:rPr>
          <w:rFonts w:ascii="宋体" w:hAnsi="宋体" w:eastAsia="宋体"/>
          <w:sz w:val="32"/>
          <w:szCs w:val="32"/>
        </w:rPr>
        <w:t>1.05</w:t>
      </w:r>
      <w:r>
        <w:rPr>
          <w:rFonts w:hint="eastAsia" w:ascii="宋体" w:hAnsi="宋体" w:eastAsia="宋体"/>
          <w:sz w:val="32"/>
          <w:szCs w:val="32"/>
        </w:rPr>
        <w:t>万元，完成预算的</w:t>
      </w:r>
      <w:r>
        <w:rPr>
          <w:rFonts w:ascii="宋体" w:hAnsi="宋体" w:eastAsia="宋体"/>
          <w:sz w:val="32"/>
          <w:szCs w:val="32"/>
        </w:rPr>
        <w:t>17.5%</w:t>
      </w:r>
      <w:r>
        <w:rPr>
          <w:rFonts w:hint="eastAsia" w:ascii="宋体" w:hAnsi="宋体" w:eastAsia="宋体"/>
          <w:sz w:val="32"/>
          <w:szCs w:val="32"/>
        </w:rPr>
        <w:t>，其中：</w:t>
      </w:r>
    </w:p>
    <w:p>
      <w:pPr>
        <w:pStyle w:val="10"/>
        <w:ind w:firstLine="1120" w:firstLineChars="350"/>
        <w:rPr>
          <w:rFonts w:hint="default" w:ascii="宋体" w:hAnsi="宋体" w:eastAsia="宋体"/>
          <w:sz w:val="32"/>
          <w:szCs w:val="32"/>
          <w:lang w:val="en-US"/>
        </w:rPr>
      </w:pPr>
      <w:r>
        <w:rPr>
          <w:rFonts w:hint="eastAsia" w:ascii="宋体" w:hAnsi="宋体" w:eastAsia="宋体"/>
          <w:sz w:val="32"/>
          <w:szCs w:val="32"/>
        </w:rPr>
        <w:t>因公出国（境）费支出预算为</w:t>
      </w:r>
      <w:r>
        <w:rPr>
          <w:rFonts w:ascii="宋体" w:hAnsi="宋体" w:eastAsia="宋体"/>
          <w:sz w:val="32"/>
          <w:szCs w:val="32"/>
        </w:rPr>
        <w:t>0</w:t>
      </w:r>
      <w:r>
        <w:rPr>
          <w:rFonts w:hint="eastAsia" w:ascii="宋体" w:hAnsi="宋体" w:eastAsia="宋体"/>
          <w:sz w:val="32"/>
          <w:szCs w:val="32"/>
        </w:rPr>
        <w:t>万元，支出决算为</w:t>
      </w:r>
      <w:r>
        <w:rPr>
          <w:rFonts w:ascii="宋体" w:hAnsi="宋体" w:eastAsia="宋体"/>
          <w:sz w:val="32"/>
          <w:szCs w:val="32"/>
        </w:rPr>
        <w:t>0</w:t>
      </w:r>
      <w:r>
        <w:rPr>
          <w:rFonts w:hint="eastAsia" w:ascii="宋体" w:hAnsi="宋体" w:eastAsia="宋体"/>
          <w:sz w:val="32"/>
          <w:szCs w:val="32"/>
        </w:rPr>
        <w:t>万元</w:t>
      </w:r>
      <w:r>
        <w:rPr>
          <w:rFonts w:hint="eastAsia" w:ascii="宋体" w:hAnsi="宋体" w:eastAsia="宋体"/>
          <w:sz w:val="32"/>
          <w:szCs w:val="32"/>
          <w:lang w:eastAsia="zh-CN"/>
        </w:rPr>
        <w:t>，完成预算的</w:t>
      </w:r>
      <w:r>
        <w:rPr>
          <w:rFonts w:hint="eastAsia" w:ascii="宋体" w:hAnsi="宋体" w:eastAsia="宋体"/>
          <w:sz w:val="32"/>
          <w:szCs w:val="32"/>
          <w:lang w:val="en-US" w:eastAsia="zh-CN"/>
        </w:rPr>
        <w:t>0%，决算与年初预算一致。上年预算与决算也均为0，与上年相比无增减变化。</w:t>
      </w:r>
    </w:p>
    <w:p>
      <w:pPr>
        <w:pStyle w:val="10"/>
        <w:ind w:firstLine="1120" w:firstLineChars="350"/>
        <w:rPr>
          <w:rFonts w:ascii="宋体" w:hAnsi="宋体" w:eastAsia="宋体"/>
          <w:sz w:val="32"/>
          <w:szCs w:val="32"/>
        </w:rPr>
      </w:pPr>
      <w:r>
        <w:rPr>
          <w:rFonts w:hint="eastAsia" w:ascii="宋体" w:hAnsi="宋体" w:eastAsia="宋体"/>
          <w:sz w:val="32"/>
          <w:szCs w:val="32"/>
        </w:rPr>
        <w:t>公务接待费支出预算为</w:t>
      </w:r>
      <w:r>
        <w:rPr>
          <w:rFonts w:ascii="宋体" w:hAnsi="宋体" w:eastAsia="宋体"/>
          <w:sz w:val="32"/>
          <w:szCs w:val="32"/>
        </w:rPr>
        <w:t>0</w:t>
      </w:r>
      <w:r>
        <w:rPr>
          <w:rFonts w:hint="eastAsia" w:ascii="宋体" w:hAnsi="宋体" w:eastAsia="宋体"/>
          <w:sz w:val="32"/>
          <w:szCs w:val="32"/>
        </w:rPr>
        <w:t>万元，支出决算为</w:t>
      </w:r>
      <w:r>
        <w:rPr>
          <w:rFonts w:ascii="宋体" w:hAnsi="宋体" w:eastAsia="宋体"/>
          <w:sz w:val="32"/>
          <w:szCs w:val="32"/>
        </w:rPr>
        <w:t>0</w:t>
      </w:r>
      <w:r>
        <w:rPr>
          <w:rFonts w:hint="eastAsia" w:ascii="宋体" w:hAnsi="宋体" w:eastAsia="宋体"/>
          <w:sz w:val="32"/>
          <w:szCs w:val="32"/>
        </w:rPr>
        <w:t>万元</w:t>
      </w:r>
      <w:r>
        <w:rPr>
          <w:rFonts w:hint="eastAsia" w:ascii="宋体" w:hAnsi="宋体" w:eastAsia="宋体"/>
          <w:sz w:val="32"/>
          <w:szCs w:val="32"/>
          <w:lang w:eastAsia="zh-CN"/>
        </w:rPr>
        <w:t>，完成预算的</w:t>
      </w:r>
      <w:bookmarkStart w:id="5" w:name="_GoBack"/>
      <w:bookmarkEnd w:id="5"/>
      <w:r>
        <w:rPr>
          <w:rFonts w:hint="eastAsia" w:ascii="宋体" w:hAnsi="宋体" w:eastAsia="宋体"/>
          <w:sz w:val="32"/>
          <w:szCs w:val="32"/>
          <w:lang w:val="en-US" w:eastAsia="zh-CN"/>
        </w:rPr>
        <w:t>0%，决算与年初预算一致。上年预算与决算也均为0，与上年相比无增减变化</w:t>
      </w:r>
      <w:r>
        <w:rPr>
          <w:rFonts w:hint="eastAsia" w:ascii="宋体" w:hAnsi="宋体" w:eastAsia="宋体"/>
          <w:sz w:val="32"/>
          <w:szCs w:val="32"/>
        </w:rPr>
        <w:t>。</w:t>
      </w:r>
    </w:p>
    <w:p>
      <w:pPr>
        <w:pStyle w:val="10"/>
        <w:ind w:firstLine="960" w:firstLineChars="300"/>
        <w:rPr>
          <w:rFonts w:ascii="宋体" w:hAnsi="宋体" w:eastAsia="宋体"/>
          <w:sz w:val="32"/>
          <w:szCs w:val="32"/>
        </w:rPr>
      </w:pPr>
      <w:r>
        <w:rPr>
          <w:rFonts w:hint="eastAsia" w:ascii="宋体" w:hAnsi="宋体" w:eastAsia="宋体"/>
          <w:sz w:val="32"/>
          <w:szCs w:val="32"/>
        </w:rPr>
        <w:t>公务用车购置费及运行维护费支出预算为</w:t>
      </w:r>
      <w:r>
        <w:rPr>
          <w:rFonts w:ascii="宋体" w:hAnsi="宋体" w:eastAsia="宋体"/>
          <w:sz w:val="32"/>
          <w:szCs w:val="32"/>
        </w:rPr>
        <w:t>6</w:t>
      </w:r>
      <w:r>
        <w:rPr>
          <w:rFonts w:hint="eastAsia" w:ascii="宋体" w:hAnsi="宋体" w:eastAsia="宋体"/>
          <w:sz w:val="32"/>
          <w:szCs w:val="32"/>
        </w:rPr>
        <w:t>万元，支出决算为</w:t>
      </w:r>
      <w:r>
        <w:rPr>
          <w:rFonts w:ascii="宋体" w:hAnsi="宋体" w:eastAsia="宋体"/>
          <w:sz w:val="32"/>
          <w:szCs w:val="32"/>
        </w:rPr>
        <w:t>1.05</w:t>
      </w:r>
      <w:r>
        <w:rPr>
          <w:rFonts w:hint="eastAsia" w:ascii="宋体" w:hAnsi="宋体" w:eastAsia="宋体"/>
          <w:sz w:val="32"/>
          <w:szCs w:val="32"/>
        </w:rPr>
        <w:t>万元，完成预算的</w:t>
      </w:r>
      <w:r>
        <w:rPr>
          <w:rFonts w:ascii="宋体" w:hAnsi="宋体" w:eastAsia="宋体"/>
          <w:sz w:val="32"/>
          <w:szCs w:val="32"/>
        </w:rPr>
        <w:t>17.5%</w:t>
      </w:r>
      <w:r>
        <w:rPr>
          <w:rFonts w:hint="eastAsia" w:ascii="宋体" w:hAnsi="宋体" w:eastAsia="宋体"/>
          <w:sz w:val="32"/>
          <w:szCs w:val="32"/>
        </w:rPr>
        <w:t>，决算数小于预算数的主要原因是节约公务车开支，与上年相比减少</w:t>
      </w:r>
      <w:r>
        <w:rPr>
          <w:rFonts w:ascii="宋体" w:hAnsi="宋体" w:eastAsia="宋体"/>
          <w:sz w:val="32"/>
          <w:szCs w:val="32"/>
        </w:rPr>
        <w:t>1.3</w:t>
      </w:r>
      <w:r>
        <w:rPr>
          <w:rFonts w:hint="eastAsia" w:ascii="宋体" w:hAnsi="宋体" w:eastAsia="宋体"/>
          <w:sz w:val="32"/>
          <w:szCs w:val="32"/>
        </w:rPr>
        <w:t>万元，减少</w:t>
      </w:r>
      <w:r>
        <w:rPr>
          <w:rFonts w:ascii="宋体" w:hAnsi="宋体" w:eastAsia="宋体"/>
          <w:sz w:val="32"/>
          <w:szCs w:val="32"/>
        </w:rPr>
        <w:t>55%,</w:t>
      </w:r>
      <w:r>
        <w:rPr>
          <w:rFonts w:hint="eastAsia" w:ascii="宋体" w:hAnsi="宋体" w:eastAsia="宋体"/>
          <w:sz w:val="32"/>
          <w:szCs w:val="32"/>
        </w:rPr>
        <w:t>减少的主要原因是</w:t>
      </w:r>
      <w:r>
        <w:rPr>
          <w:rFonts w:ascii="宋体" w:hAnsi="宋体" w:eastAsia="宋体"/>
          <w:sz w:val="32"/>
          <w:szCs w:val="32"/>
        </w:rPr>
        <w:t>2019</w:t>
      </w:r>
      <w:r>
        <w:rPr>
          <w:rFonts w:hint="eastAsia" w:ascii="宋体" w:hAnsi="宋体" w:eastAsia="宋体"/>
          <w:sz w:val="32"/>
          <w:szCs w:val="32"/>
        </w:rPr>
        <w:t>年年中期公务车改革由住建局处理掉</w:t>
      </w:r>
      <w:r>
        <w:rPr>
          <w:rFonts w:ascii="宋体" w:hAnsi="宋体" w:eastAsia="宋体"/>
          <w:sz w:val="32"/>
          <w:szCs w:val="32"/>
        </w:rPr>
        <w:t>3</w:t>
      </w:r>
      <w:r>
        <w:rPr>
          <w:rFonts w:hint="eastAsia" w:ascii="宋体" w:hAnsi="宋体" w:eastAsia="宋体"/>
          <w:sz w:val="32"/>
          <w:szCs w:val="32"/>
        </w:rPr>
        <w:t>台公务车，</w:t>
      </w:r>
      <w:r>
        <w:rPr>
          <w:rFonts w:ascii="宋体" w:hAnsi="宋体" w:eastAsia="宋体"/>
          <w:sz w:val="32"/>
          <w:szCs w:val="32"/>
        </w:rPr>
        <w:t>2020</w:t>
      </w:r>
      <w:r>
        <w:rPr>
          <w:rFonts w:hint="eastAsia" w:ascii="宋体" w:hAnsi="宋体" w:eastAsia="宋体"/>
          <w:sz w:val="32"/>
          <w:szCs w:val="32"/>
        </w:rPr>
        <w:t>年实有公务车</w:t>
      </w:r>
      <w:r>
        <w:rPr>
          <w:rFonts w:ascii="宋体" w:hAnsi="宋体" w:eastAsia="宋体"/>
          <w:sz w:val="32"/>
          <w:szCs w:val="32"/>
        </w:rPr>
        <w:t>2</w:t>
      </w:r>
      <w:r>
        <w:rPr>
          <w:rFonts w:hint="eastAsia" w:ascii="宋体" w:hAnsi="宋体" w:eastAsia="宋体"/>
          <w:sz w:val="32"/>
          <w:szCs w:val="32"/>
        </w:rPr>
        <w:t>台。</w:t>
      </w:r>
    </w:p>
    <w:p>
      <w:pPr>
        <w:pStyle w:val="10"/>
        <w:rPr>
          <w:rFonts w:ascii="宋体" w:hAnsi="宋体" w:eastAsia="宋体"/>
          <w:b/>
          <w:sz w:val="32"/>
          <w:szCs w:val="32"/>
        </w:rPr>
      </w:pPr>
      <w:r>
        <w:rPr>
          <w:rFonts w:hint="eastAsia" w:ascii="宋体" w:hAnsi="宋体" w:eastAsia="宋体"/>
          <w:b/>
          <w:sz w:val="32"/>
          <w:szCs w:val="32"/>
        </w:rPr>
        <w:t>（二）“三公”经费财政拨款支出决算具体情况说明</w:t>
      </w:r>
    </w:p>
    <w:p>
      <w:pPr>
        <w:pStyle w:val="10"/>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年度“三公”经费财政拨款支出决算中，</w:t>
      </w:r>
      <w:bookmarkStart w:id="4" w:name="_Hlk82368943"/>
      <w:r>
        <w:rPr>
          <w:rFonts w:hint="eastAsia" w:ascii="宋体" w:hAnsi="宋体" w:eastAsia="宋体"/>
          <w:sz w:val="32"/>
          <w:szCs w:val="32"/>
        </w:rPr>
        <w:t>公务接待费支出决算</w:t>
      </w:r>
      <w:r>
        <w:rPr>
          <w:rFonts w:ascii="宋体" w:hAnsi="宋体" w:eastAsia="宋体"/>
          <w:sz w:val="32"/>
          <w:szCs w:val="32"/>
        </w:rPr>
        <w:t>0</w:t>
      </w:r>
      <w:r>
        <w:rPr>
          <w:rFonts w:hint="eastAsia" w:ascii="宋体" w:hAnsi="宋体" w:eastAsia="宋体"/>
          <w:sz w:val="32"/>
          <w:szCs w:val="32"/>
        </w:rPr>
        <w:t>万元</w:t>
      </w:r>
      <w:r>
        <w:rPr>
          <w:rFonts w:ascii="宋体" w:hAnsi="宋体" w:eastAsia="宋体"/>
          <w:sz w:val="32"/>
          <w:szCs w:val="32"/>
        </w:rPr>
        <w:t>,</w:t>
      </w:r>
      <w:r>
        <w:rPr>
          <w:rFonts w:hint="eastAsia" w:ascii="宋体" w:hAnsi="宋体" w:eastAsia="宋体"/>
          <w:sz w:val="32"/>
          <w:szCs w:val="32"/>
        </w:rPr>
        <w:t>因公出国（境）费支出决算</w:t>
      </w:r>
      <w:r>
        <w:rPr>
          <w:rFonts w:ascii="宋体" w:hAnsi="宋体" w:eastAsia="宋体"/>
          <w:sz w:val="32"/>
          <w:szCs w:val="32"/>
        </w:rPr>
        <w:t>0</w:t>
      </w:r>
      <w:r>
        <w:rPr>
          <w:rFonts w:hint="eastAsia" w:ascii="宋体" w:hAnsi="宋体" w:eastAsia="宋体"/>
          <w:sz w:val="32"/>
          <w:szCs w:val="32"/>
        </w:rPr>
        <w:t>万元</w:t>
      </w:r>
      <w:r>
        <w:rPr>
          <w:rFonts w:ascii="宋体" w:hAnsi="宋体" w:eastAsia="宋体"/>
          <w:sz w:val="32"/>
          <w:szCs w:val="32"/>
        </w:rPr>
        <w:t>,</w:t>
      </w:r>
      <w:r>
        <w:rPr>
          <w:rFonts w:hint="eastAsia" w:ascii="宋体" w:hAnsi="宋体" w:eastAsia="宋体"/>
          <w:sz w:val="32"/>
          <w:szCs w:val="32"/>
        </w:rPr>
        <w:t>公务用车购置费及运行维护费支出</w:t>
      </w:r>
      <w:bookmarkEnd w:id="4"/>
      <w:r>
        <w:rPr>
          <w:rFonts w:hint="eastAsia" w:ascii="宋体" w:hAnsi="宋体" w:eastAsia="宋体"/>
          <w:sz w:val="32"/>
          <w:szCs w:val="32"/>
        </w:rPr>
        <w:t>决算</w:t>
      </w:r>
      <w:r>
        <w:rPr>
          <w:rFonts w:ascii="宋体" w:hAnsi="宋体" w:eastAsia="宋体"/>
          <w:sz w:val="32"/>
          <w:szCs w:val="32"/>
        </w:rPr>
        <w:t>1.05</w:t>
      </w:r>
      <w:r>
        <w:rPr>
          <w:rFonts w:hint="eastAsia" w:ascii="宋体" w:hAnsi="宋体" w:eastAsia="宋体"/>
          <w:sz w:val="32"/>
          <w:szCs w:val="32"/>
        </w:rPr>
        <w:t>万元，占</w:t>
      </w:r>
      <w:r>
        <w:rPr>
          <w:rFonts w:ascii="宋体" w:hAnsi="宋体" w:eastAsia="宋体"/>
          <w:sz w:val="32"/>
          <w:szCs w:val="32"/>
        </w:rPr>
        <w:t>100%</w:t>
      </w:r>
      <w:r>
        <w:rPr>
          <w:rFonts w:hint="eastAsia" w:ascii="宋体" w:hAnsi="宋体" w:eastAsia="宋体"/>
          <w:sz w:val="32"/>
          <w:szCs w:val="32"/>
        </w:rPr>
        <w:t>。其中：</w:t>
      </w:r>
    </w:p>
    <w:p>
      <w:pPr>
        <w:pStyle w:val="10"/>
        <w:ind w:firstLine="640" w:firstLineChars="200"/>
        <w:rPr>
          <w:rFonts w:ascii="宋体" w:hAnsi="宋体" w:eastAsia="宋体"/>
          <w:b/>
          <w:sz w:val="32"/>
          <w:szCs w:val="32"/>
        </w:rPr>
      </w:pPr>
      <w:r>
        <w:rPr>
          <w:rFonts w:ascii="宋体" w:hAnsi="宋体" w:eastAsia="宋体"/>
          <w:sz w:val="32"/>
          <w:szCs w:val="32"/>
        </w:rPr>
        <w:t>1</w:t>
      </w:r>
      <w:r>
        <w:rPr>
          <w:rFonts w:hint="eastAsia" w:ascii="宋体" w:hAnsi="宋体" w:eastAsia="宋体"/>
          <w:sz w:val="32"/>
          <w:szCs w:val="32"/>
        </w:rPr>
        <w:t>、因公出国（境）费支出决算为</w:t>
      </w:r>
      <w:r>
        <w:rPr>
          <w:rFonts w:ascii="宋体" w:hAnsi="宋体" w:eastAsia="宋体"/>
          <w:sz w:val="32"/>
          <w:szCs w:val="32"/>
        </w:rPr>
        <w:t>0</w:t>
      </w:r>
      <w:r>
        <w:rPr>
          <w:rFonts w:hint="eastAsia" w:ascii="宋体" w:hAnsi="宋体" w:eastAsia="宋体"/>
          <w:sz w:val="32"/>
          <w:szCs w:val="32"/>
        </w:rPr>
        <w:t>万元，全年安排因公出国（境）团组</w:t>
      </w:r>
      <w:r>
        <w:rPr>
          <w:rFonts w:ascii="宋体" w:hAnsi="宋体" w:eastAsia="宋体"/>
          <w:sz w:val="32"/>
          <w:szCs w:val="32"/>
        </w:rPr>
        <w:t>0</w:t>
      </w:r>
      <w:r>
        <w:rPr>
          <w:rFonts w:hint="eastAsia" w:ascii="宋体" w:hAnsi="宋体" w:eastAsia="宋体"/>
          <w:sz w:val="32"/>
          <w:szCs w:val="32"/>
        </w:rPr>
        <w:t>个，累计</w:t>
      </w:r>
      <w:r>
        <w:rPr>
          <w:rFonts w:ascii="宋体" w:hAnsi="宋体" w:eastAsia="宋体"/>
          <w:sz w:val="32"/>
          <w:szCs w:val="32"/>
        </w:rPr>
        <w:t>0</w:t>
      </w:r>
      <w:r>
        <w:rPr>
          <w:rFonts w:hint="eastAsia" w:ascii="宋体" w:hAnsi="宋体" w:eastAsia="宋体"/>
          <w:sz w:val="32"/>
          <w:szCs w:val="32"/>
        </w:rPr>
        <w:t>人次；</w:t>
      </w:r>
    </w:p>
    <w:p>
      <w:pPr>
        <w:pStyle w:val="10"/>
        <w:ind w:firstLine="800" w:firstLineChars="250"/>
        <w:rPr>
          <w:rFonts w:ascii="宋体" w:hAnsi="宋体" w:eastAsia="宋体"/>
          <w:sz w:val="32"/>
          <w:szCs w:val="32"/>
        </w:rPr>
      </w:pPr>
      <w:r>
        <w:rPr>
          <w:rFonts w:ascii="宋体" w:hAnsi="宋体" w:eastAsia="宋体"/>
          <w:sz w:val="32"/>
          <w:szCs w:val="32"/>
        </w:rPr>
        <w:t>2</w:t>
      </w:r>
      <w:r>
        <w:rPr>
          <w:rFonts w:hint="eastAsia" w:ascii="宋体" w:hAnsi="宋体" w:eastAsia="宋体"/>
          <w:sz w:val="32"/>
          <w:szCs w:val="32"/>
        </w:rPr>
        <w:t>、公务接待费支出决算为</w:t>
      </w:r>
      <w:r>
        <w:rPr>
          <w:rFonts w:ascii="宋体" w:hAnsi="宋体" w:eastAsia="宋体"/>
          <w:sz w:val="32"/>
          <w:szCs w:val="32"/>
        </w:rPr>
        <w:t>0</w:t>
      </w:r>
      <w:r>
        <w:rPr>
          <w:rFonts w:hint="eastAsia" w:ascii="宋体" w:hAnsi="宋体" w:eastAsia="宋体"/>
          <w:sz w:val="32"/>
          <w:szCs w:val="32"/>
        </w:rPr>
        <w:t>万元，全年共接待来访团组</w:t>
      </w:r>
      <w:r>
        <w:rPr>
          <w:rFonts w:ascii="宋体" w:hAnsi="宋体" w:eastAsia="宋体"/>
          <w:sz w:val="32"/>
          <w:szCs w:val="32"/>
        </w:rPr>
        <w:t>0</w:t>
      </w:r>
      <w:r>
        <w:rPr>
          <w:rFonts w:hint="eastAsia" w:ascii="宋体" w:hAnsi="宋体" w:eastAsia="宋体"/>
          <w:sz w:val="32"/>
          <w:szCs w:val="32"/>
        </w:rPr>
        <w:t>个、来宾</w:t>
      </w:r>
      <w:r>
        <w:rPr>
          <w:rFonts w:ascii="宋体" w:hAnsi="宋体" w:eastAsia="宋体"/>
          <w:sz w:val="32"/>
          <w:szCs w:val="32"/>
        </w:rPr>
        <w:t>0</w:t>
      </w:r>
      <w:r>
        <w:rPr>
          <w:rFonts w:hint="eastAsia" w:ascii="宋体" w:hAnsi="宋体" w:eastAsia="宋体"/>
          <w:sz w:val="32"/>
          <w:szCs w:val="32"/>
        </w:rPr>
        <w:t>人次；</w:t>
      </w:r>
    </w:p>
    <w:p>
      <w:pPr>
        <w:ind w:firstLine="800" w:firstLineChars="250"/>
        <w:rPr>
          <w:rFonts w:hint="eastAsia" w:ascii="宋体" w:eastAsia="宋体" w:cs="黑体"/>
          <w:color w:val="000000"/>
          <w:kern w:val="0"/>
          <w:sz w:val="32"/>
          <w:szCs w:val="32"/>
          <w:lang w:eastAsia="zh-CN"/>
        </w:rPr>
      </w:pPr>
      <w:r>
        <w:rPr>
          <w:rFonts w:ascii="宋体" w:hAnsi="宋体"/>
          <w:sz w:val="32"/>
          <w:szCs w:val="32"/>
        </w:rPr>
        <w:t>3</w:t>
      </w:r>
      <w:r>
        <w:rPr>
          <w:rFonts w:hint="eastAsia" w:ascii="宋体" w:hAnsi="宋体"/>
          <w:sz w:val="32"/>
          <w:szCs w:val="32"/>
        </w:rPr>
        <w:t>、公务用车购置费及运行维护费支出决算为</w:t>
      </w:r>
      <w:r>
        <w:rPr>
          <w:rFonts w:ascii="宋体" w:hAnsi="宋体"/>
          <w:sz w:val="32"/>
          <w:szCs w:val="32"/>
        </w:rPr>
        <w:t>1.05</w:t>
      </w:r>
      <w:r>
        <w:rPr>
          <w:rFonts w:hint="eastAsia" w:ascii="宋体" w:hAnsi="宋体"/>
          <w:sz w:val="32"/>
          <w:szCs w:val="32"/>
        </w:rPr>
        <w:t>万元，其中：公务用车购置费</w:t>
      </w:r>
      <w:r>
        <w:rPr>
          <w:rFonts w:ascii="宋体"/>
          <w:sz w:val="32"/>
          <w:szCs w:val="32"/>
        </w:rPr>
        <w:t>0</w:t>
      </w:r>
      <w:r>
        <w:rPr>
          <w:rFonts w:hint="eastAsia" w:ascii="宋体" w:hAnsi="宋体"/>
          <w:sz w:val="32"/>
          <w:szCs w:val="32"/>
        </w:rPr>
        <w:t>万元，更新公务用车</w:t>
      </w:r>
      <w:r>
        <w:rPr>
          <w:rFonts w:ascii="宋体"/>
          <w:sz w:val="32"/>
          <w:szCs w:val="32"/>
        </w:rPr>
        <w:t>0</w:t>
      </w:r>
      <w:r>
        <w:rPr>
          <w:rFonts w:hint="eastAsia" w:ascii="宋体" w:hAnsi="宋体"/>
          <w:sz w:val="32"/>
          <w:szCs w:val="32"/>
        </w:rPr>
        <w:t>辆</w:t>
      </w:r>
      <w:r>
        <w:rPr>
          <w:rFonts w:hint="eastAsia" w:ascii="宋体" w:hAnsi="宋体"/>
          <w:color w:val="000000"/>
          <w:sz w:val="32"/>
          <w:szCs w:val="32"/>
        </w:rPr>
        <w:t>。</w:t>
      </w:r>
      <w:r>
        <w:rPr>
          <w:rFonts w:hint="eastAsia" w:ascii="宋体" w:hAnsi="宋体"/>
          <w:sz w:val="32"/>
          <w:szCs w:val="32"/>
        </w:rPr>
        <w:t>公务用车运行维护费</w:t>
      </w:r>
      <w:r>
        <w:rPr>
          <w:rFonts w:ascii="宋体" w:hAnsi="宋体"/>
          <w:sz w:val="32"/>
          <w:szCs w:val="32"/>
        </w:rPr>
        <w:t>1.05</w:t>
      </w:r>
      <w:r>
        <w:rPr>
          <w:rFonts w:hint="eastAsia" w:ascii="宋体" w:hAnsi="宋体"/>
          <w:sz w:val="32"/>
          <w:szCs w:val="32"/>
        </w:rPr>
        <w:t>万元，主要是油费、车辆年检、保险费和维修支出，截止</w:t>
      </w:r>
      <w:r>
        <w:rPr>
          <w:rFonts w:ascii="宋体" w:hAnsi="宋体"/>
          <w:sz w:val="32"/>
          <w:szCs w:val="32"/>
        </w:rPr>
        <w:t>2020</w:t>
      </w:r>
      <w:r>
        <w:rPr>
          <w:rFonts w:hint="eastAsia" w:ascii="宋体" w:hAnsi="宋体"/>
          <w:sz w:val="32"/>
          <w:szCs w:val="32"/>
        </w:rPr>
        <w:t>年</w:t>
      </w:r>
      <w:r>
        <w:rPr>
          <w:rFonts w:ascii="宋体" w:hAnsi="宋体"/>
          <w:sz w:val="32"/>
          <w:szCs w:val="32"/>
        </w:rPr>
        <w:t>12</w:t>
      </w:r>
      <w:r>
        <w:rPr>
          <w:rFonts w:hint="eastAsia" w:ascii="宋体" w:hAnsi="宋体"/>
          <w:sz w:val="32"/>
          <w:szCs w:val="32"/>
        </w:rPr>
        <w:t>月</w:t>
      </w:r>
      <w:r>
        <w:rPr>
          <w:rFonts w:ascii="宋体" w:hAnsi="宋体"/>
          <w:sz w:val="32"/>
          <w:szCs w:val="32"/>
        </w:rPr>
        <w:t>31</w:t>
      </w:r>
      <w:r>
        <w:rPr>
          <w:rFonts w:hint="eastAsia" w:ascii="宋体" w:hAnsi="宋体"/>
          <w:sz w:val="32"/>
          <w:szCs w:val="32"/>
        </w:rPr>
        <w:t>日，我单位开支财政拨款的公务用车保有量为</w:t>
      </w:r>
      <w:r>
        <w:rPr>
          <w:rFonts w:ascii="宋体" w:hAnsi="宋体"/>
          <w:sz w:val="32"/>
          <w:szCs w:val="32"/>
        </w:rPr>
        <w:t>2</w:t>
      </w:r>
      <w:r>
        <w:rPr>
          <w:rFonts w:hint="eastAsia" w:ascii="宋体" w:hAnsi="宋体"/>
          <w:sz w:val="32"/>
          <w:szCs w:val="32"/>
        </w:rPr>
        <w:t>辆。</w:t>
      </w:r>
      <w:r>
        <w:rPr>
          <w:rFonts w:hint="eastAsia" w:ascii="宋体" w:hAnsi="宋体"/>
          <w:sz w:val="32"/>
          <w:szCs w:val="32"/>
          <w:lang w:eastAsia="zh-CN"/>
        </w:rPr>
        <w:t>当年没有购置公务用车。</w:t>
      </w:r>
    </w:p>
    <w:p>
      <w:pPr>
        <w:pStyle w:val="10"/>
        <w:rPr>
          <w:rFonts w:hAnsi="黑体"/>
          <w:b/>
          <w:sz w:val="32"/>
          <w:szCs w:val="32"/>
        </w:rPr>
      </w:pPr>
      <w:r>
        <w:rPr>
          <w:rFonts w:hint="eastAsia" w:hAnsi="黑体"/>
          <w:b/>
          <w:sz w:val="32"/>
          <w:szCs w:val="32"/>
        </w:rPr>
        <w:t>八、政府性基金预算收入支出决算情况</w:t>
      </w:r>
    </w:p>
    <w:p>
      <w:pPr>
        <w:pStyle w:val="10"/>
        <w:rPr>
          <w:rFonts w:ascii="宋体" w:hAnsi="宋体" w:eastAsia="宋体"/>
          <w:i/>
          <w:color w:val="FF0000"/>
          <w:sz w:val="32"/>
          <w:szCs w:val="32"/>
        </w:rPr>
      </w:pPr>
      <w:r>
        <w:rPr>
          <w:rFonts w:ascii="宋体" w:hAnsi="宋体" w:eastAsia="宋体"/>
          <w:sz w:val="32"/>
          <w:szCs w:val="32"/>
        </w:rPr>
        <w:t xml:space="preserve">     2020</w:t>
      </w:r>
      <w:r>
        <w:rPr>
          <w:rFonts w:hint="eastAsia" w:ascii="宋体" w:hAnsi="宋体" w:eastAsia="宋体"/>
          <w:sz w:val="32"/>
          <w:szCs w:val="32"/>
        </w:rPr>
        <w:t>年度政府性基金预算财政拨款收入</w:t>
      </w:r>
      <w:r>
        <w:rPr>
          <w:rFonts w:ascii="宋体" w:hAnsi="宋体" w:eastAsia="宋体"/>
          <w:sz w:val="32"/>
          <w:szCs w:val="32"/>
        </w:rPr>
        <w:t>40</w:t>
      </w:r>
      <w:r>
        <w:rPr>
          <w:rFonts w:hint="eastAsia" w:ascii="宋体" w:hAnsi="宋体" w:eastAsia="宋体"/>
          <w:sz w:val="32"/>
          <w:szCs w:val="32"/>
        </w:rPr>
        <w:t>万元；年初结转和结余</w:t>
      </w:r>
      <w:r>
        <w:rPr>
          <w:rFonts w:ascii="宋体" w:hAnsi="宋体" w:eastAsia="宋体"/>
          <w:sz w:val="32"/>
          <w:szCs w:val="32"/>
        </w:rPr>
        <w:t>0</w:t>
      </w:r>
      <w:r>
        <w:rPr>
          <w:rFonts w:hint="eastAsia" w:ascii="宋体" w:hAnsi="宋体" w:eastAsia="宋体"/>
          <w:sz w:val="32"/>
          <w:szCs w:val="32"/>
        </w:rPr>
        <w:t>万元；支出</w:t>
      </w:r>
      <w:r>
        <w:rPr>
          <w:rFonts w:ascii="宋体" w:hAnsi="宋体" w:eastAsia="宋体"/>
          <w:sz w:val="32"/>
          <w:szCs w:val="32"/>
        </w:rPr>
        <w:t>40</w:t>
      </w:r>
      <w:r>
        <w:rPr>
          <w:rFonts w:hint="eastAsia" w:ascii="宋体" w:hAnsi="宋体" w:eastAsia="宋体"/>
          <w:sz w:val="32"/>
          <w:szCs w:val="32"/>
        </w:rPr>
        <w:t>万元，其中基本支出</w:t>
      </w:r>
      <w:r>
        <w:rPr>
          <w:rFonts w:ascii="宋体" w:hAnsi="宋体" w:eastAsia="宋体"/>
          <w:sz w:val="32"/>
          <w:szCs w:val="32"/>
        </w:rPr>
        <w:t>0</w:t>
      </w:r>
      <w:r>
        <w:rPr>
          <w:rFonts w:hint="eastAsia" w:ascii="宋体" w:hAnsi="宋体" w:eastAsia="宋体"/>
          <w:sz w:val="32"/>
          <w:szCs w:val="32"/>
        </w:rPr>
        <w:t>万元，项目支出</w:t>
      </w:r>
      <w:r>
        <w:rPr>
          <w:rFonts w:ascii="宋体" w:hAnsi="宋体" w:eastAsia="宋体"/>
          <w:sz w:val="32"/>
          <w:szCs w:val="32"/>
        </w:rPr>
        <w:t>40</w:t>
      </w:r>
      <w:r>
        <w:rPr>
          <w:rFonts w:hint="eastAsia" w:ascii="宋体" w:hAnsi="宋体" w:eastAsia="宋体"/>
          <w:sz w:val="32"/>
          <w:szCs w:val="32"/>
        </w:rPr>
        <w:t>万元；年末结转和结余</w:t>
      </w:r>
      <w:r>
        <w:rPr>
          <w:rFonts w:ascii="宋体" w:hAnsi="宋体" w:eastAsia="宋体"/>
          <w:sz w:val="32"/>
          <w:szCs w:val="32"/>
        </w:rPr>
        <w:t>0</w:t>
      </w:r>
      <w:r>
        <w:rPr>
          <w:rFonts w:hint="eastAsia" w:ascii="宋体" w:hAnsi="宋体" w:eastAsia="宋体"/>
          <w:sz w:val="32"/>
          <w:szCs w:val="32"/>
        </w:rPr>
        <w:t>万元。</w:t>
      </w:r>
    </w:p>
    <w:p>
      <w:pPr>
        <w:pStyle w:val="10"/>
        <w:rPr>
          <w:rFonts w:hAnsi="黑体"/>
          <w:b/>
          <w:sz w:val="32"/>
          <w:szCs w:val="32"/>
        </w:rPr>
      </w:pPr>
      <w:r>
        <w:rPr>
          <w:rFonts w:hint="eastAsia" w:hAnsi="黑体"/>
          <w:b/>
          <w:sz w:val="32"/>
          <w:szCs w:val="32"/>
        </w:rPr>
        <w:t>九、国有资本经营预算财政拨款支出决算情况</w:t>
      </w:r>
    </w:p>
    <w:p>
      <w:pPr>
        <w:pStyle w:val="10"/>
        <w:rPr>
          <w:rFonts w:hAnsi="黑体"/>
          <w:b/>
          <w:sz w:val="32"/>
          <w:szCs w:val="32"/>
        </w:rPr>
      </w:pPr>
      <w:r>
        <w:rPr>
          <w:rFonts w:ascii="宋体" w:hAnsi="宋体" w:eastAsia="宋体"/>
          <w:sz w:val="32"/>
          <w:szCs w:val="32"/>
        </w:rPr>
        <w:t xml:space="preserve">    </w:t>
      </w:r>
      <w:r>
        <w:rPr>
          <w:rFonts w:hint="eastAsia" w:ascii="宋体" w:hAnsi="宋体" w:eastAsia="宋体"/>
          <w:sz w:val="32"/>
          <w:szCs w:val="32"/>
        </w:rPr>
        <w:t>本单位无国有资本经营预算财政拨款支出。</w:t>
      </w:r>
    </w:p>
    <w:p>
      <w:pPr>
        <w:pStyle w:val="10"/>
        <w:rPr>
          <w:rFonts w:hAnsi="黑体"/>
          <w:b/>
          <w:sz w:val="32"/>
          <w:szCs w:val="32"/>
        </w:rPr>
      </w:pPr>
      <w:r>
        <w:rPr>
          <w:rFonts w:hint="eastAsia" w:hAnsi="黑体"/>
          <w:b/>
          <w:sz w:val="32"/>
          <w:szCs w:val="32"/>
        </w:rPr>
        <w:t>十、关于机关运行经费支出说明</w:t>
      </w:r>
    </w:p>
    <w:p>
      <w:pPr>
        <w:pStyle w:val="10"/>
        <w:ind w:firstLine="640" w:firstLineChars="200"/>
        <w:rPr>
          <w:rFonts w:ascii="宋体" w:hAnsi="宋体" w:eastAsia="宋体"/>
          <w:color w:val="auto"/>
          <w:sz w:val="32"/>
          <w:szCs w:val="32"/>
        </w:rPr>
      </w:pPr>
      <w:r>
        <w:rPr>
          <w:rFonts w:hint="eastAsia" w:ascii="宋体" w:hAnsi="宋体" w:eastAsia="宋体"/>
          <w:color w:val="auto"/>
          <w:sz w:val="32"/>
          <w:szCs w:val="32"/>
        </w:rPr>
        <w:t>本部门</w:t>
      </w:r>
      <w:r>
        <w:rPr>
          <w:rFonts w:ascii="宋体" w:hAnsi="宋体" w:eastAsia="宋体"/>
          <w:color w:val="auto"/>
          <w:sz w:val="32"/>
          <w:szCs w:val="32"/>
        </w:rPr>
        <w:t>2020</w:t>
      </w:r>
      <w:r>
        <w:rPr>
          <w:rFonts w:hint="eastAsia" w:ascii="宋体" w:hAnsi="宋体" w:eastAsia="宋体"/>
          <w:color w:val="auto"/>
          <w:sz w:val="32"/>
          <w:szCs w:val="32"/>
        </w:rPr>
        <w:t>年度机关运行经费支出</w:t>
      </w:r>
      <w:r>
        <w:rPr>
          <w:rFonts w:ascii="宋体" w:hAnsi="宋体" w:eastAsia="宋体"/>
          <w:color w:val="auto"/>
          <w:sz w:val="32"/>
          <w:szCs w:val="32"/>
        </w:rPr>
        <w:t>0</w:t>
      </w:r>
      <w:r>
        <w:rPr>
          <w:rFonts w:hint="eastAsia" w:ascii="宋体" w:hAnsi="宋体" w:eastAsia="宋体"/>
          <w:color w:val="auto"/>
          <w:sz w:val="32"/>
          <w:szCs w:val="32"/>
        </w:rPr>
        <w:t>万元，单位为公益一类事业单位。</w:t>
      </w:r>
    </w:p>
    <w:p>
      <w:pPr>
        <w:pStyle w:val="10"/>
        <w:rPr>
          <w:rFonts w:hAnsi="黑体"/>
          <w:b/>
          <w:sz w:val="32"/>
          <w:szCs w:val="32"/>
        </w:rPr>
      </w:pPr>
      <w:r>
        <w:rPr>
          <w:rFonts w:hint="eastAsia" w:hAnsi="黑体"/>
          <w:b/>
          <w:sz w:val="32"/>
          <w:szCs w:val="32"/>
        </w:rPr>
        <w:t>十一、一般性支出情况</w:t>
      </w:r>
    </w:p>
    <w:p>
      <w:pPr>
        <w:pStyle w:val="10"/>
        <w:ind w:firstLine="640" w:firstLineChars="200"/>
        <w:rPr>
          <w:rFonts w:ascii="宋体" w:hAnsi="宋体" w:eastAsia="宋体"/>
          <w:sz w:val="32"/>
          <w:szCs w:val="32"/>
        </w:rPr>
      </w:pPr>
      <w:r>
        <w:rPr>
          <w:rFonts w:ascii="宋体" w:hAnsi="宋体" w:eastAsia="宋体"/>
          <w:sz w:val="32"/>
          <w:szCs w:val="32"/>
        </w:rPr>
        <w:t>2020</w:t>
      </w:r>
      <w:r>
        <w:rPr>
          <w:rFonts w:hint="eastAsia" w:ascii="宋体" w:hAnsi="宋体" w:eastAsia="宋体"/>
          <w:sz w:val="32"/>
          <w:szCs w:val="32"/>
        </w:rPr>
        <w:t>年本部门开支会议费</w:t>
      </w:r>
      <w:r>
        <w:rPr>
          <w:rFonts w:ascii="宋体" w:hAnsi="宋体" w:eastAsia="宋体"/>
          <w:sz w:val="32"/>
          <w:szCs w:val="32"/>
        </w:rPr>
        <w:t>0</w:t>
      </w:r>
      <w:r>
        <w:rPr>
          <w:rFonts w:hint="eastAsia" w:ascii="宋体" w:hAnsi="宋体" w:eastAsia="宋体"/>
          <w:sz w:val="32"/>
          <w:szCs w:val="32"/>
        </w:rPr>
        <w:t>万元；开支培训费</w:t>
      </w:r>
      <w:r>
        <w:rPr>
          <w:rFonts w:ascii="宋体" w:hAnsi="宋体" w:eastAsia="宋体"/>
          <w:sz w:val="32"/>
          <w:szCs w:val="32"/>
        </w:rPr>
        <w:t>0</w:t>
      </w:r>
      <w:r>
        <w:rPr>
          <w:rFonts w:hint="eastAsia" w:ascii="宋体" w:hAnsi="宋体" w:eastAsia="宋体"/>
          <w:sz w:val="32"/>
          <w:szCs w:val="32"/>
        </w:rPr>
        <w:t>万元；举办各节庆、晚会、论坛、赛事活动开支</w:t>
      </w:r>
      <w:r>
        <w:rPr>
          <w:rFonts w:ascii="宋体" w:hAnsi="宋体" w:eastAsia="宋体"/>
          <w:sz w:val="32"/>
          <w:szCs w:val="32"/>
        </w:rPr>
        <w:t>0</w:t>
      </w:r>
      <w:r>
        <w:rPr>
          <w:rFonts w:hint="eastAsia" w:ascii="宋体" w:hAnsi="宋体" w:eastAsia="宋体"/>
          <w:sz w:val="32"/>
          <w:szCs w:val="32"/>
        </w:rPr>
        <w:t>万元。</w:t>
      </w:r>
      <w:r>
        <w:rPr>
          <w:rFonts w:ascii="宋体" w:hAnsi="宋体" w:eastAsia="宋体"/>
          <w:sz w:val="32"/>
          <w:szCs w:val="32"/>
        </w:rPr>
        <w:t xml:space="preserve"> </w:t>
      </w:r>
    </w:p>
    <w:p>
      <w:pPr>
        <w:pStyle w:val="10"/>
        <w:rPr>
          <w:rFonts w:hAnsi="黑体"/>
          <w:b/>
          <w:sz w:val="32"/>
          <w:szCs w:val="32"/>
        </w:rPr>
      </w:pPr>
      <w:r>
        <w:rPr>
          <w:rFonts w:hint="eastAsia" w:hAnsi="黑体"/>
          <w:b/>
          <w:sz w:val="32"/>
          <w:szCs w:val="32"/>
        </w:rPr>
        <w:t>十二、关于政府采购支出说明</w:t>
      </w:r>
    </w:p>
    <w:p>
      <w:pPr>
        <w:pStyle w:val="10"/>
        <w:ind w:firstLine="640" w:firstLineChars="200"/>
        <w:rPr>
          <w:rFonts w:ascii="宋体" w:hAnsi="宋体" w:eastAsia="宋体"/>
          <w:color w:val="auto"/>
          <w:sz w:val="32"/>
          <w:szCs w:val="32"/>
        </w:rPr>
      </w:pPr>
      <w:r>
        <w:rPr>
          <w:rFonts w:hint="eastAsia" w:ascii="宋体" w:hAnsi="宋体" w:eastAsia="宋体"/>
          <w:color w:val="auto"/>
          <w:sz w:val="32"/>
          <w:szCs w:val="32"/>
        </w:rPr>
        <w:t>本部门</w:t>
      </w:r>
      <w:r>
        <w:rPr>
          <w:rFonts w:ascii="宋体" w:hAnsi="宋体" w:eastAsia="宋体"/>
          <w:color w:val="auto"/>
          <w:sz w:val="32"/>
          <w:szCs w:val="32"/>
        </w:rPr>
        <w:t>2020</w:t>
      </w:r>
      <w:r>
        <w:rPr>
          <w:rFonts w:hint="eastAsia" w:ascii="宋体" w:hAnsi="宋体" w:eastAsia="宋体"/>
          <w:color w:val="auto"/>
          <w:sz w:val="32"/>
          <w:szCs w:val="32"/>
        </w:rPr>
        <w:t>年度政府采购支出总额</w:t>
      </w:r>
      <w:r>
        <w:rPr>
          <w:rFonts w:ascii="宋体" w:hAnsi="宋体" w:eastAsia="宋体"/>
          <w:color w:val="auto"/>
          <w:sz w:val="32"/>
          <w:szCs w:val="32"/>
        </w:rPr>
        <w:t>0</w:t>
      </w:r>
      <w:r>
        <w:rPr>
          <w:rFonts w:hint="eastAsia" w:ascii="宋体" w:hAnsi="宋体" w:eastAsia="宋体"/>
          <w:color w:val="auto"/>
          <w:sz w:val="32"/>
          <w:szCs w:val="32"/>
        </w:rPr>
        <w:t>万元，其中：政府采购货物支出</w:t>
      </w:r>
      <w:r>
        <w:rPr>
          <w:rFonts w:ascii="宋体" w:hAnsi="宋体" w:eastAsia="宋体"/>
          <w:color w:val="auto"/>
          <w:sz w:val="32"/>
          <w:szCs w:val="32"/>
        </w:rPr>
        <w:t>0</w:t>
      </w:r>
      <w:r>
        <w:rPr>
          <w:rFonts w:hint="eastAsia" w:ascii="宋体" w:hAnsi="宋体" w:eastAsia="宋体"/>
          <w:color w:val="auto"/>
          <w:sz w:val="32"/>
          <w:szCs w:val="32"/>
        </w:rPr>
        <w:t>万元、政府采购工程支出</w:t>
      </w:r>
      <w:r>
        <w:rPr>
          <w:rFonts w:ascii="宋体" w:hAnsi="宋体" w:eastAsia="宋体"/>
          <w:color w:val="auto"/>
          <w:sz w:val="32"/>
          <w:szCs w:val="32"/>
        </w:rPr>
        <w:t xml:space="preserve">0 </w:t>
      </w:r>
      <w:r>
        <w:rPr>
          <w:rFonts w:hint="eastAsia" w:ascii="宋体" w:hAnsi="宋体" w:eastAsia="宋体"/>
          <w:color w:val="auto"/>
          <w:sz w:val="32"/>
          <w:szCs w:val="32"/>
        </w:rPr>
        <w:t>万元、政府采购服务支出</w:t>
      </w:r>
      <w:r>
        <w:rPr>
          <w:rFonts w:ascii="宋体" w:hAnsi="宋体" w:eastAsia="宋体"/>
          <w:color w:val="auto"/>
          <w:sz w:val="32"/>
          <w:szCs w:val="32"/>
        </w:rPr>
        <w:t>0</w:t>
      </w:r>
      <w:r>
        <w:rPr>
          <w:rFonts w:hint="eastAsia" w:ascii="宋体" w:hAnsi="宋体" w:eastAsia="宋体"/>
          <w:color w:val="auto"/>
          <w:sz w:val="32"/>
          <w:szCs w:val="32"/>
        </w:rPr>
        <w:t>万元。授予中小企业合同金额</w:t>
      </w:r>
      <w:r>
        <w:rPr>
          <w:rFonts w:ascii="宋体" w:hAnsi="宋体" w:eastAsia="宋体"/>
          <w:color w:val="auto"/>
          <w:sz w:val="32"/>
          <w:szCs w:val="32"/>
        </w:rPr>
        <w:t>0</w:t>
      </w:r>
      <w:r>
        <w:rPr>
          <w:rFonts w:hint="eastAsia" w:ascii="宋体" w:hAnsi="宋体" w:eastAsia="宋体"/>
          <w:color w:val="auto"/>
          <w:sz w:val="32"/>
          <w:szCs w:val="32"/>
        </w:rPr>
        <w:t>万元，占政府采购支出总额的</w:t>
      </w:r>
      <w:r>
        <w:rPr>
          <w:rFonts w:ascii="宋体" w:hAnsi="宋体" w:eastAsia="宋体"/>
          <w:color w:val="auto"/>
          <w:sz w:val="32"/>
          <w:szCs w:val="32"/>
        </w:rPr>
        <w:t>0%</w:t>
      </w:r>
      <w:r>
        <w:rPr>
          <w:rFonts w:hint="eastAsia" w:ascii="宋体" w:hAnsi="宋体" w:eastAsia="宋体"/>
          <w:color w:val="auto"/>
          <w:sz w:val="32"/>
          <w:szCs w:val="32"/>
        </w:rPr>
        <w:t>，其中：授予小微企业合同金额</w:t>
      </w:r>
      <w:r>
        <w:rPr>
          <w:rFonts w:ascii="宋体" w:hAnsi="宋体" w:eastAsia="宋体"/>
          <w:color w:val="auto"/>
          <w:sz w:val="32"/>
          <w:szCs w:val="32"/>
        </w:rPr>
        <w:t>0</w:t>
      </w:r>
      <w:r>
        <w:rPr>
          <w:rFonts w:hint="eastAsia" w:ascii="宋体" w:hAnsi="宋体" w:eastAsia="宋体"/>
          <w:color w:val="auto"/>
          <w:sz w:val="32"/>
          <w:szCs w:val="32"/>
        </w:rPr>
        <w:t>万元，占政府采购支出总额的</w:t>
      </w:r>
      <w:r>
        <w:rPr>
          <w:rFonts w:ascii="宋体" w:hAnsi="宋体" w:eastAsia="宋体"/>
          <w:color w:val="auto"/>
          <w:sz w:val="32"/>
          <w:szCs w:val="32"/>
        </w:rPr>
        <w:t>0%</w:t>
      </w:r>
      <w:r>
        <w:rPr>
          <w:rFonts w:hint="eastAsia" w:ascii="宋体" w:hAnsi="宋体" w:eastAsia="宋体"/>
          <w:color w:val="auto"/>
          <w:sz w:val="32"/>
          <w:szCs w:val="32"/>
        </w:rPr>
        <w:t>。</w:t>
      </w:r>
    </w:p>
    <w:p>
      <w:pPr>
        <w:pStyle w:val="10"/>
        <w:rPr>
          <w:rFonts w:hAnsi="黑体"/>
          <w:b/>
          <w:sz w:val="32"/>
          <w:szCs w:val="32"/>
        </w:rPr>
      </w:pPr>
      <w:r>
        <w:rPr>
          <w:rFonts w:hint="eastAsia" w:hAnsi="黑体"/>
          <w:b/>
          <w:sz w:val="32"/>
          <w:szCs w:val="32"/>
        </w:rPr>
        <w:t>十三、关于国有资产占用情况说明</w:t>
      </w:r>
    </w:p>
    <w:p>
      <w:pPr>
        <w:pStyle w:val="10"/>
        <w:ind w:firstLine="640" w:firstLineChars="200"/>
        <w:rPr>
          <w:rFonts w:ascii="宋体" w:hAnsi="宋体" w:eastAsia="宋体"/>
          <w:sz w:val="32"/>
          <w:szCs w:val="32"/>
        </w:rPr>
      </w:pPr>
      <w:r>
        <w:rPr>
          <w:rFonts w:hint="eastAsia" w:ascii="宋体" w:hAnsi="宋体" w:eastAsia="宋体"/>
          <w:sz w:val="32"/>
          <w:szCs w:val="32"/>
        </w:rPr>
        <w:t>截至</w:t>
      </w:r>
      <w:r>
        <w:rPr>
          <w:rFonts w:ascii="宋体" w:hAnsi="宋体" w:eastAsia="宋体"/>
          <w:sz w:val="32"/>
          <w:szCs w:val="32"/>
        </w:rPr>
        <w:t>2020</w:t>
      </w:r>
      <w:r>
        <w:rPr>
          <w:rFonts w:hint="eastAsia" w:ascii="宋体" w:hAnsi="宋体" w:eastAsia="宋体"/>
          <w:sz w:val="32"/>
          <w:szCs w:val="32"/>
        </w:rPr>
        <w:t>年</w:t>
      </w:r>
      <w:r>
        <w:rPr>
          <w:rFonts w:ascii="宋体" w:hAnsi="宋体" w:eastAsia="宋体"/>
          <w:sz w:val="32"/>
          <w:szCs w:val="32"/>
        </w:rPr>
        <w:t>12</w:t>
      </w:r>
      <w:r>
        <w:rPr>
          <w:rFonts w:hint="eastAsia" w:ascii="宋体" w:hAnsi="宋体" w:eastAsia="宋体"/>
          <w:sz w:val="32"/>
          <w:szCs w:val="32"/>
        </w:rPr>
        <w:t>月</w:t>
      </w:r>
      <w:r>
        <w:rPr>
          <w:rFonts w:ascii="宋体" w:hAnsi="宋体" w:eastAsia="宋体"/>
          <w:sz w:val="32"/>
          <w:szCs w:val="32"/>
        </w:rPr>
        <w:t>31</w:t>
      </w:r>
      <w:r>
        <w:rPr>
          <w:rFonts w:hint="eastAsia" w:ascii="宋体" w:hAnsi="宋体" w:eastAsia="宋体"/>
          <w:sz w:val="32"/>
          <w:szCs w:val="32"/>
        </w:rPr>
        <w:t>日，本单位共有车辆</w:t>
      </w:r>
      <w:r>
        <w:rPr>
          <w:rFonts w:ascii="宋体" w:hAnsi="宋体" w:eastAsia="宋体"/>
          <w:sz w:val="32"/>
          <w:szCs w:val="32"/>
        </w:rPr>
        <w:t>2</w:t>
      </w:r>
      <w:r>
        <w:rPr>
          <w:rFonts w:hint="eastAsia" w:ascii="宋体" w:hAnsi="宋体" w:eastAsia="宋体"/>
          <w:sz w:val="32"/>
          <w:szCs w:val="32"/>
        </w:rPr>
        <w:t>辆，其中，主要领导干部用车</w:t>
      </w:r>
      <w:r>
        <w:rPr>
          <w:rFonts w:ascii="宋体" w:hAnsi="宋体" w:eastAsia="宋体"/>
          <w:sz w:val="32"/>
          <w:szCs w:val="32"/>
        </w:rPr>
        <w:t>0</w:t>
      </w:r>
      <w:r>
        <w:rPr>
          <w:rFonts w:hint="eastAsia" w:ascii="宋体" w:hAnsi="宋体" w:eastAsia="宋体"/>
          <w:sz w:val="32"/>
          <w:szCs w:val="32"/>
        </w:rPr>
        <w:t>辆，机要通信用车</w:t>
      </w:r>
      <w:r>
        <w:rPr>
          <w:rFonts w:ascii="宋体" w:hAnsi="宋体" w:eastAsia="宋体"/>
          <w:sz w:val="32"/>
          <w:szCs w:val="32"/>
        </w:rPr>
        <w:t>0</w:t>
      </w:r>
      <w:r>
        <w:rPr>
          <w:rFonts w:hint="eastAsia" w:ascii="宋体" w:hAnsi="宋体" w:eastAsia="宋体"/>
          <w:sz w:val="32"/>
          <w:szCs w:val="32"/>
        </w:rPr>
        <w:t>辆、应急保障用车</w:t>
      </w:r>
      <w:r>
        <w:rPr>
          <w:rFonts w:ascii="宋体" w:hAnsi="宋体" w:eastAsia="宋体"/>
          <w:sz w:val="32"/>
          <w:szCs w:val="32"/>
        </w:rPr>
        <w:t>0</w:t>
      </w:r>
      <w:r>
        <w:rPr>
          <w:rFonts w:hint="eastAsia" w:ascii="宋体" w:hAnsi="宋体" w:eastAsia="宋体"/>
          <w:sz w:val="32"/>
          <w:szCs w:val="32"/>
        </w:rPr>
        <w:t>辆、执法执勤用车</w:t>
      </w:r>
      <w:r>
        <w:rPr>
          <w:rFonts w:ascii="宋体" w:hAnsi="宋体" w:eastAsia="宋体"/>
          <w:sz w:val="32"/>
          <w:szCs w:val="32"/>
        </w:rPr>
        <w:t>2</w:t>
      </w:r>
      <w:r>
        <w:rPr>
          <w:rFonts w:hint="eastAsia" w:ascii="宋体" w:hAnsi="宋体" w:eastAsia="宋体"/>
          <w:sz w:val="32"/>
          <w:szCs w:val="32"/>
        </w:rPr>
        <w:t>辆、特种专业技术用车</w:t>
      </w:r>
      <w:r>
        <w:rPr>
          <w:rFonts w:ascii="宋体" w:hAnsi="宋体" w:eastAsia="宋体"/>
          <w:sz w:val="32"/>
          <w:szCs w:val="32"/>
        </w:rPr>
        <w:t>0</w:t>
      </w:r>
      <w:r>
        <w:rPr>
          <w:rFonts w:hint="eastAsia" w:ascii="宋体" w:hAnsi="宋体" w:eastAsia="宋体"/>
          <w:sz w:val="32"/>
          <w:szCs w:val="32"/>
        </w:rPr>
        <w:t>辆、其他用车</w:t>
      </w:r>
      <w:r>
        <w:rPr>
          <w:rFonts w:ascii="宋体" w:hAnsi="宋体" w:eastAsia="宋体"/>
          <w:sz w:val="32"/>
          <w:szCs w:val="32"/>
        </w:rPr>
        <w:t>0</w:t>
      </w:r>
      <w:r>
        <w:rPr>
          <w:rFonts w:hint="eastAsia" w:ascii="宋体" w:hAnsi="宋体" w:eastAsia="宋体"/>
          <w:sz w:val="32"/>
          <w:szCs w:val="32"/>
        </w:rPr>
        <w:t>辆；单位价值</w:t>
      </w:r>
      <w:r>
        <w:rPr>
          <w:rFonts w:ascii="宋体" w:hAnsi="宋体" w:eastAsia="宋体"/>
          <w:sz w:val="32"/>
          <w:szCs w:val="32"/>
        </w:rPr>
        <w:t>50</w:t>
      </w:r>
      <w:r>
        <w:rPr>
          <w:rFonts w:hint="eastAsia" w:ascii="宋体" w:hAnsi="宋体" w:eastAsia="宋体"/>
          <w:sz w:val="32"/>
          <w:szCs w:val="32"/>
        </w:rPr>
        <w:t>万元以上通用设备</w:t>
      </w:r>
      <w:r>
        <w:rPr>
          <w:rFonts w:ascii="宋体" w:hAnsi="宋体" w:eastAsia="宋体"/>
          <w:sz w:val="32"/>
          <w:szCs w:val="32"/>
        </w:rPr>
        <w:t>0</w:t>
      </w:r>
      <w:r>
        <w:rPr>
          <w:rFonts w:hint="eastAsia" w:ascii="宋体" w:hAnsi="宋体" w:eastAsia="宋体"/>
          <w:sz w:val="32"/>
          <w:szCs w:val="32"/>
        </w:rPr>
        <w:t>台（套）；单位价值</w:t>
      </w:r>
      <w:r>
        <w:rPr>
          <w:rFonts w:ascii="宋体" w:hAnsi="宋体" w:eastAsia="宋体"/>
          <w:sz w:val="32"/>
          <w:szCs w:val="32"/>
        </w:rPr>
        <w:t>100</w:t>
      </w:r>
      <w:r>
        <w:rPr>
          <w:rFonts w:hint="eastAsia" w:ascii="宋体" w:hAnsi="宋体" w:eastAsia="宋体"/>
          <w:sz w:val="32"/>
          <w:szCs w:val="32"/>
        </w:rPr>
        <w:t>万元以上专用设备</w:t>
      </w:r>
      <w:r>
        <w:rPr>
          <w:rFonts w:ascii="宋体" w:hAnsi="宋体" w:eastAsia="宋体"/>
          <w:sz w:val="32"/>
          <w:szCs w:val="32"/>
        </w:rPr>
        <w:t>0</w:t>
      </w:r>
      <w:r>
        <w:rPr>
          <w:rFonts w:hint="eastAsia" w:ascii="宋体" w:hAnsi="宋体" w:eastAsia="宋体"/>
          <w:sz w:val="32"/>
          <w:szCs w:val="32"/>
        </w:rPr>
        <w:t>台（套）。</w:t>
      </w:r>
    </w:p>
    <w:p>
      <w:pPr>
        <w:pStyle w:val="10"/>
        <w:rPr>
          <w:rFonts w:hAnsi="黑体"/>
          <w:b/>
          <w:sz w:val="32"/>
          <w:szCs w:val="32"/>
        </w:rPr>
      </w:pPr>
      <w:r>
        <w:rPr>
          <w:rFonts w:hint="eastAsia" w:hAnsi="黑体"/>
          <w:b/>
          <w:sz w:val="32"/>
          <w:szCs w:val="32"/>
        </w:rPr>
        <w:t>十四、关于</w:t>
      </w:r>
      <w:r>
        <w:rPr>
          <w:rFonts w:hAnsi="黑体"/>
          <w:b/>
          <w:sz w:val="32"/>
          <w:szCs w:val="32"/>
        </w:rPr>
        <w:t>2020</w:t>
      </w:r>
      <w:r>
        <w:rPr>
          <w:rFonts w:hint="eastAsia" w:hAnsi="黑体"/>
          <w:b/>
          <w:sz w:val="32"/>
          <w:szCs w:val="32"/>
        </w:rPr>
        <w:t>年度预算绩效情况的说明</w:t>
      </w:r>
    </w:p>
    <w:p>
      <w:pPr>
        <w:pStyle w:val="10"/>
        <w:ind w:firstLine="640" w:firstLineChars="200"/>
        <w:rPr>
          <w:rFonts w:ascii="宋体" w:hAnsi="宋体" w:eastAsia="宋体"/>
          <w:b/>
          <w:sz w:val="32"/>
          <w:szCs w:val="32"/>
        </w:rPr>
      </w:pPr>
      <w:r>
        <w:rPr>
          <w:rFonts w:hint="eastAsia" w:ascii="宋体" w:hAnsi="宋体" w:eastAsia="宋体"/>
          <w:bCs/>
          <w:sz w:val="32"/>
          <w:szCs w:val="32"/>
        </w:rPr>
        <w:t>本部门所有支出实行绩效目标管理。纳入</w:t>
      </w:r>
      <w:r>
        <w:rPr>
          <w:rFonts w:ascii="宋体" w:hAnsi="宋体" w:eastAsia="宋体"/>
          <w:bCs/>
          <w:sz w:val="32"/>
          <w:szCs w:val="32"/>
        </w:rPr>
        <w:t>2020</w:t>
      </w:r>
      <w:r>
        <w:rPr>
          <w:rFonts w:hint="eastAsia" w:ascii="宋体" w:hAnsi="宋体" w:eastAsia="宋体"/>
          <w:bCs/>
          <w:sz w:val="32"/>
          <w:szCs w:val="32"/>
        </w:rPr>
        <w:t>年部门整体预算支出绩效目标的金额为</w:t>
      </w:r>
      <w:r>
        <w:rPr>
          <w:rFonts w:ascii="宋体" w:hAnsi="宋体" w:eastAsia="宋体"/>
          <w:sz w:val="32"/>
          <w:szCs w:val="32"/>
        </w:rPr>
        <w:t>656.38</w:t>
      </w:r>
      <w:r>
        <w:rPr>
          <w:rFonts w:hint="eastAsia" w:ascii="宋体" w:hAnsi="宋体" w:eastAsia="宋体"/>
          <w:bCs/>
          <w:sz w:val="32"/>
          <w:szCs w:val="32"/>
        </w:rPr>
        <w:t>万元，其中，基本支出</w:t>
      </w:r>
      <w:r>
        <w:rPr>
          <w:rFonts w:ascii="宋体" w:hAnsi="宋体" w:eastAsia="宋体"/>
          <w:sz w:val="32"/>
          <w:szCs w:val="32"/>
        </w:rPr>
        <w:t>599.38</w:t>
      </w:r>
      <w:r>
        <w:rPr>
          <w:rFonts w:hint="eastAsia" w:ascii="宋体" w:hAnsi="宋体" w:eastAsia="宋体"/>
          <w:bCs/>
          <w:sz w:val="32"/>
          <w:szCs w:val="32"/>
        </w:rPr>
        <w:t>万元，项目支出</w:t>
      </w:r>
      <w:r>
        <w:rPr>
          <w:rFonts w:ascii="宋体" w:hAnsi="宋体" w:eastAsia="宋体"/>
          <w:sz w:val="32"/>
          <w:szCs w:val="32"/>
        </w:rPr>
        <w:t>57</w:t>
      </w:r>
      <w:r>
        <w:rPr>
          <w:rFonts w:hint="eastAsia" w:ascii="宋体" w:hAnsi="宋体" w:eastAsia="宋体"/>
          <w:bCs/>
          <w:sz w:val="32"/>
          <w:szCs w:val="32"/>
        </w:rPr>
        <w:t>万元，实际情况</w:t>
      </w:r>
      <w:r>
        <w:rPr>
          <w:rFonts w:hint="eastAsia" w:ascii="宋体" w:hAnsi="宋体" w:eastAsia="宋体" w:cs="仿宋_GB2312"/>
          <w:sz w:val="32"/>
          <w:szCs w:val="32"/>
        </w:rPr>
        <w:t>详见文尾附表中附件</w:t>
      </w:r>
      <w:r>
        <w:rPr>
          <w:rFonts w:ascii="宋体" w:hAnsi="宋体" w:eastAsia="宋体" w:cs="仿宋_GB2312"/>
          <w:sz w:val="32"/>
          <w:szCs w:val="32"/>
        </w:rPr>
        <w:t>1</w:t>
      </w:r>
      <w:r>
        <w:rPr>
          <w:rFonts w:hint="eastAsia" w:ascii="宋体" w:hAnsi="宋体" w:eastAsia="宋体" w:cs="仿宋_GB2312"/>
          <w:sz w:val="32"/>
          <w:szCs w:val="32"/>
        </w:rPr>
        <w:t>《岳阳市建设工程质量安全监督站</w:t>
      </w:r>
      <w:r>
        <w:rPr>
          <w:rFonts w:ascii="宋体" w:hAnsi="宋体" w:eastAsia="宋体" w:cs="仿宋_GB2312"/>
          <w:sz w:val="32"/>
          <w:szCs w:val="32"/>
        </w:rPr>
        <w:t>2020</w:t>
      </w:r>
      <w:r>
        <w:rPr>
          <w:rFonts w:hint="eastAsia" w:ascii="宋体" w:hAnsi="宋体" w:eastAsia="宋体" w:cs="仿宋_GB2312"/>
          <w:sz w:val="32"/>
          <w:szCs w:val="32"/>
        </w:rPr>
        <w:t>年度单位整体支出绩效情况表》、附件</w:t>
      </w:r>
      <w:r>
        <w:rPr>
          <w:rFonts w:ascii="宋体" w:hAnsi="宋体" w:eastAsia="宋体" w:cs="仿宋_GB2312"/>
          <w:sz w:val="32"/>
          <w:szCs w:val="32"/>
        </w:rPr>
        <w:t>2</w:t>
      </w:r>
      <w:r>
        <w:rPr>
          <w:rFonts w:hint="eastAsia" w:ascii="宋体" w:hAnsi="宋体" w:eastAsia="宋体" w:cs="仿宋_GB2312"/>
          <w:sz w:val="32"/>
          <w:szCs w:val="32"/>
        </w:rPr>
        <w:t>《质监站</w:t>
      </w:r>
      <w:r>
        <w:rPr>
          <w:rFonts w:ascii="宋体" w:hAnsi="宋体" w:eastAsia="宋体" w:cs="仿宋_GB2312"/>
          <w:sz w:val="32"/>
          <w:szCs w:val="32"/>
        </w:rPr>
        <w:t>2020</w:t>
      </w:r>
      <w:r>
        <w:rPr>
          <w:rFonts w:hint="eastAsia" w:ascii="宋体" w:hAnsi="宋体" w:eastAsia="宋体" w:cs="仿宋_GB2312"/>
          <w:sz w:val="32"/>
          <w:szCs w:val="32"/>
        </w:rPr>
        <w:t>年度单位项目支出绩效自评情况表》，以及附件</w:t>
      </w:r>
      <w:r>
        <w:rPr>
          <w:rFonts w:ascii="宋体" w:hAnsi="宋体" w:eastAsia="宋体" w:cs="仿宋_GB2312"/>
          <w:sz w:val="32"/>
          <w:szCs w:val="32"/>
        </w:rPr>
        <w:t>3</w:t>
      </w:r>
      <w:r>
        <w:rPr>
          <w:rFonts w:hint="eastAsia" w:ascii="宋体" w:hAnsi="宋体" w:eastAsia="宋体" w:cs="仿宋_GB2312"/>
          <w:sz w:val="32"/>
          <w:szCs w:val="32"/>
        </w:rPr>
        <w:t>《</w:t>
      </w:r>
      <w:r>
        <w:rPr>
          <w:rFonts w:ascii="宋体" w:hAnsi="宋体" w:eastAsia="宋体"/>
          <w:sz w:val="32"/>
          <w:szCs w:val="32"/>
        </w:rPr>
        <w:t>2020</w:t>
      </w:r>
      <w:r>
        <w:rPr>
          <w:rFonts w:hint="eastAsia" w:ascii="宋体" w:hAnsi="宋体" w:eastAsia="宋体"/>
          <w:sz w:val="32"/>
          <w:szCs w:val="32"/>
        </w:rPr>
        <w:t>年度绩效考核汇报材料</w:t>
      </w:r>
      <w:r>
        <w:rPr>
          <w:rFonts w:hint="eastAsia" w:ascii="宋体" w:hAnsi="宋体" w:eastAsia="宋体" w:cs="仿宋_GB2312"/>
          <w:sz w:val="32"/>
          <w:szCs w:val="32"/>
        </w:rPr>
        <w:t>》。</w:t>
      </w:r>
    </w:p>
    <w:p>
      <w:pPr>
        <w:pStyle w:val="10"/>
        <w:jc w:val="center"/>
        <w:rPr>
          <w:rFonts w:ascii="宋体" w:hAnsi="宋体" w:eastAsia="宋体"/>
          <w:sz w:val="32"/>
          <w:szCs w:val="3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ascii="宋体" w:cs="黑体"/>
          <w:color w:val="000000"/>
          <w:kern w:val="0"/>
          <w:sz w:val="32"/>
          <w:szCs w:val="32"/>
        </w:rPr>
      </w:pPr>
    </w:p>
    <w:p>
      <w:pPr>
        <w:widowControl/>
        <w:spacing w:line="600" w:lineRule="exact"/>
        <w:ind w:firstLine="640" w:firstLineChars="200"/>
        <w:rPr>
          <w:rFonts w:ascii="宋体"/>
          <w:kern w:val="0"/>
          <w:sz w:val="32"/>
          <w:szCs w:val="32"/>
        </w:rPr>
      </w:pPr>
      <w:r>
        <w:rPr>
          <w:rFonts w:hint="eastAsia" w:ascii="宋体" w:hAnsi="宋体"/>
          <w:kern w:val="0"/>
          <w:sz w:val="32"/>
          <w:szCs w:val="32"/>
        </w:rPr>
        <w:t>一、机关运行经费：是指各行政单位（含参照公务员法管理事业单位）运行用于购买货物和服务的各项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ascii="宋体"/>
          <w:kern w:val="0"/>
          <w:sz w:val="32"/>
          <w:szCs w:val="32"/>
        </w:rPr>
      </w:pPr>
      <w:r>
        <w:rPr>
          <w:rFonts w:hint="eastAsia" w:ascii="宋体" w:hAnsi="宋体"/>
          <w:kern w:val="0"/>
          <w:sz w:val="32"/>
          <w:szCs w:val="32"/>
        </w:rPr>
        <w:t>二、“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0"/>
        <w:jc w:val="center"/>
        <w:rPr>
          <w:rFonts w:ascii="宋体" w:hAnsi="宋体" w:eastAsia="宋体"/>
          <w:sz w:val="72"/>
          <w:szCs w:val="72"/>
        </w:rPr>
      </w:pPr>
    </w:p>
    <w:p>
      <w:pPr>
        <w:pStyle w:val="10"/>
        <w:rPr>
          <w:rFonts w:ascii="宋体" w:hAnsi="宋体" w:eastAsia="宋体"/>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rPr>
          <w:rFonts w:ascii="黑体" w:eastAsia="黑体" w:cs="黑体"/>
          <w:color w:val="000000"/>
          <w:kern w:val="0"/>
          <w:sz w:val="30"/>
          <w:szCs w:val="30"/>
        </w:rPr>
      </w:pPr>
      <w:r>
        <w:rPr>
          <w:rFonts w:hint="eastAsia" w:ascii="黑体" w:eastAsia="黑体" w:cs="黑体"/>
          <w:color w:val="000000"/>
          <w:kern w:val="0"/>
          <w:sz w:val="30"/>
          <w:szCs w:val="30"/>
        </w:rPr>
        <w:t>附件</w:t>
      </w:r>
      <w:r>
        <w:rPr>
          <w:rFonts w:ascii="黑体" w:eastAsia="黑体" w:cs="黑体"/>
          <w:color w:val="000000"/>
          <w:kern w:val="0"/>
          <w:sz w:val="30"/>
          <w:szCs w:val="30"/>
        </w:rPr>
        <w:t>1.</w:t>
      </w:r>
    </w:p>
    <w:p>
      <w:pPr>
        <w:ind w:firstLine="450" w:firstLineChars="150"/>
        <w:jc w:val="left"/>
        <w:rPr>
          <w:rFonts w:ascii="宋体" w:cs="黑体"/>
          <w:color w:val="000000"/>
          <w:kern w:val="0"/>
          <w:sz w:val="30"/>
          <w:szCs w:val="30"/>
        </w:rPr>
      </w:pPr>
      <w:r>
        <w:rPr>
          <w:rFonts w:hint="eastAsia" w:ascii="宋体" w:hAnsi="宋体" w:cs="仿宋_GB2312"/>
          <w:color w:val="000000"/>
          <w:sz w:val="30"/>
          <w:szCs w:val="30"/>
        </w:rPr>
        <w:t>岳阳阳市建设工程质量安全监督站</w:t>
      </w:r>
      <w:r>
        <w:rPr>
          <w:rFonts w:ascii="宋体" w:hAnsi="宋体" w:cs="仿宋_GB2312"/>
          <w:color w:val="000000"/>
          <w:sz w:val="30"/>
          <w:szCs w:val="30"/>
        </w:rPr>
        <w:t>2020</w:t>
      </w:r>
      <w:r>
        <w:rPr>
          <w:rFonts w:hint="eastAsia" w:ascii="宋体" w:hAnsi="宋体" w:cs="仿宋_GB2312"/>
          <w:color w:val="000000"/>
          <w:sz w:val="30"/>
          <w:szCs w:val="30"/>
        </w:rPr>
        <w:t>年度单位整体支出绩效情况表</w:t>
      </w:r>
    </w:p>
    <w:tbl>
      <w:tblPr>
        <w:tblStyle w:val="5"/>
        <w:tblW w:w="93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654"/>
        <w:gridCol w:w="46"/>
        <w:gridCol w:w="1410"/>
        <w:gridCol w:w="9"/>
        <w:gridCol w:w="83"/>
        <w:gridCol w:w="421"/>
        <w:gridCol w:w="742"/>
        <w:gridCol w:w="155"/>
        <w:gridCol w:w="230"/>
        <w:gridCol w:w="465"/>
        <w:gridCol w:w="331"/>
        <w:gridCol w:w="384"/>
        <w:gridCol w:w="368"/>
        <w:gridCol w:w="733"/>
        <w:gridCol w:w="312"/>
        <w:gridCol w:w="126"/>
        <w:gridCol w:w="377"/>
        <w:gridCol w:w="558"/>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394" w:type="dxa"/>
            <w:gridSpan w:val="19"/>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9" w:hRule="atLeast"/>
          <w:jc w:val="center"/>
        </w:trPr>
        <w:tc>
          <w:tcPr>
            <w:tcW w:w="1654"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9"/>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87</w:t>
            </w:r>
          </w:p>
        </w:tc>
        <w:tc>
          <w:tcPr>
            <w:tcW w:w="715"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46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562" w:hRule="atLeast"/>
          <w:jc w:val="center"/>
        </w:trPr>
        <w:tc>
          <w:tcPr>
            <w:tcW w:w="1654" w:type="dxa"/>
            <w:vAlign w:val="center"/>
          </w:tcPr>
          <w:p>
            <w:pPr>
              <w:autoSpaceDN w:val="0"/>
              <w:spacing w:line="320" w:lineRule="exact"/>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职能职责概述</w:t>
            </w: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职能职责概述</w:t>
            </w:r>
          </w:p>
          <w:p>
            <w:pPr>
              <w:autoSpaceDN w:val="0"/>
              <w:spacing w:line="320" w:lineRule="exact"/>
              <w:jc w:val="center"/>
              <w:textAlignment w:val="center"/>
              <w:rPr>
                <w:rFonts w:ascii="宋体" w:cs="仿宋_GB2312"/>
                <w:color w:val="000000"/>
                <w:sz w:val="28"/>
                <w:szCs w:val="28"/>
              </w:rPr>
            </w:pPr>
          </w:p>
        </w:tc>
        <w:tc>
          <w:tcPr>
            <w:tcW w:w="7740" w:type="dxa"/>
            <w:gridSpan w:val="18"/>
            <w:vAlign w:val="center"/>
          </w:tcPr>
          <w:p>
            <w:pPr>
              <w:snapToGrid w:val="0"/>
              <w:spacing w:line="52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．主要职能。</w:t>
            </w:r>
          </w:p>
          <w:p>
            <w:pPr>
              <w:widowControl/>
              <w:rPr>
                <w:rFonts w:ascii="宋体" w:cs="仿宋_GB2312"/>
                <w:color w:val="000000"/>
                <w:sz w:val="28"/>
                <w:szCs w:val="28"/>
              </w:rPr>
            </w:pPr>
            <w:r>
              <w:rPr>
                <w:rFonts w:hint="eastAsia" w:ascii="宋体" w:hAnsi="宋体" w:cs="仿宋_GB2312"/>
                <w:color w:val="000000"/>
                <w:sz w:val="28"/>
                <w:szCs w:val="28"/>
              </w:rPr>
              <w:t>（一）宣传贯彻执行国家、省、市有关建设工程质量和安全生产监督管理、房屋安全管理、装饰装修管理的法律、法规、规章、标准规范及政策性规定。</w:t>
            </w:r>
          </w:p>
          <w:p>
            <w:pPr>
              <w:widowControl/>
              <w:rPr>
                <w:rFonts w:ascii="宋体" w:cs="仿宋_GB2312"/>
                <w:color w:val="000000"/>
                <w:sz w:val="28"/>
                <w:szCs w:val="28"/>
              </w:rPr>
            </w:pPr>
            <w:r>
              <w:rPr>
                <w:rFonts w:hint="eastAsia" w:ascii="宋体" w:hAnsi="宋体" w:cs="仿宋_GB2312"/>
                <w:color w:val="000000"/>
                <w:sz w:val="28"/>
                <w:szCs w:val="28"/>
              </w:rPr>
              <w:t>（二）承担城区范围内已取得施工许可证或办理拆除工程备案的建设工程项目工程质量、施工安全、文明施工监督管理的事务性工作。</w:t>
            </w:r>
          </w:p>
          <w:p>
            <w:pPr>
              <w:widowControl/>
              <w:rPr>
                <w:rFonts w:ascii="宋体" w:cs="仿宋_GB2312"/>
                <w:color w:val="000000"/>
                <w:sz w:val="28"/>
                <w:szCs w:val="28"/>
              </w:rPr>
            </w:pPr>
            <w:r>
              <w:rPr>
                <w:rFonts w:ascii="宋体" w:hAnsi="宋体" w:cs="仿宋_GB2312"/>
                <w:color w:val="000000"/>
                <w:sz w:val="28"/>
                <w:szCs w:val="28"/>
              </w:rPr>
              <w:t>(</w:t>
            </w:r>
            <w:r>
              <w:rPr>
                <w:rFonts w:hint="eastAsia" w:ascii="宋体" w:hAnsi="宋体" w:cs="仿宋_GB2312"/>
                <w:color w:val="000000"/>
                <w:sz w:val="28"/>
                <w:szCs w:val="28"/>
              </w:rPr>
              <w:t>三）承担房屋安全鉴定管理和房屋安全监督管理的事务性工作。（四）承担混凝土预制构件、预拌混凝土、预拌砂浆质量监督管理的事务性工作。</w:t>
            </w:r>
          </w:p>
          <w:p>
            <w:pPr>
              <w:widowControl/>
              <w:rPr>
                <w:rFonts w:ascii="宋体" w:cs="仿宋_GB2312"/>
                <w:color w:val="000000"/>
                <w:sz w:val="28"/>
                <w:szCs w:val="28"/>
              </w:rPr>
            </w:pPr>
            <w:r>
              <w:rPr>
                <w:rFonts w:hint="eastAsia" w:ascii="宋体" w:hAnsi="宋体" w:cs="仿宋_GB2312"/>
                <w:color w:val="000000"/>
                <w:sz w:val="28"/>
                <w:szCs w:val="28"/>
              </w:rPr>
              <w:t>（五）承担施工现场安全防护用具及机械设备使用监督管理的事务性工作。</w:t>
            </w:r>
          </w:p>
          <w:p>
            <w:pPr>
              <w:widowControl/>
              <w:rPr>
                <w:rFonts w:ascii="宋体" w:cs="仿宋_GB2312"/>
                <w:color w:val="000000"/>
                <w:sz w:val="28"/>
                <w:szCs w:val="28"/>
              </w:rPr>
            </w:pPr>
            <w:r>
              <w:rPr>
                <w:rFonts w:hint="eastAsia" w:ascii="宋体" w:hAnsi="宋体" w:cs="仿宋_GB2312"/>
                <w:color w:val="000000"/>
                <w:sz w:val="28"/>
                <w:szCs w:val="28"/>
              </w:rPr>
              <w:t>（六）承担建设工程项目规划、土地、消防、人防、档案等竣工联合验收有关的综合协调工作；承担办理建设工程质量安全监督手续、拆除工程备案手续、工程竣工验收备案手续等事务性工作；对建设工程竣工验收进行监督并出具质量监督报告；负责所辖工程项目民用建筑节能和绿色建筑的日常监督以及竣工验收中有关建筑节能与绿色建筑内容的监督。</w:t>
            </w:r>
          </w:p>
          <w:p>
            <w:pPr>
              <w:widowControl/>
              <w:rPr>
                <w:rFonts w:ascii="宋体" w:cs="仿宋_GB2312"/>
                <w:color w:val="000000"/>
                <w:sz w:val="28"/>
                <w:szCs w:val="28"/>
              </w:rPr>
            </w:pPr>
            <w:r>
              <w:rPr>
                <w:rFonts w:hint="eastAsia" w:ascii="宋体" w:hAnsi="宋体" w:cs="仿宋_GB2312"/>
                <w:color w:val="000000"/>
                <w:sz w:val="28"/>
                <w:szCs w:val="28"/>
              </w:rPr>
              <w:t>（七）实施建筑施工项目质量和安全生产标准化考评，并抽查全市建筑施工项目质量和安全生产标准化考评开展情况</w:t>
            </w:r>
            <w:r>
              <w:rPr>
                <w:rFonts w:ascii="宋体" w:hAnsi="宋体" w:cs="仿宋_GB2312"/>
                <w:color w:val="000000"/>
                <w:sz w:val="28"/>
                <w:szCs w:val="28"/>
              </w:rPr>
              <w:t>;</w:t>
            </w:r>
            <w:r>
              <w:rPr>
                <w:rFonts w:hint="eastAsia" w:ascii="宋体" w:hAnsi="宋体" w:cs="仿宋_GB2312"/>
                <w:color w:val="000000"/>
                <w:sz w:val="28"/>
                <w:szCs w:val="28"/>
              </w:rPr>
              <w:t>评定市级建筑施工项目质量和安全生产标准化优良工地，对省级建筑施工项目质量和安全生产标准化优良工地进行初评。</w:t>
            </w:r>
          </w:p>
          <w:p>
            <w:pPr>
              <w:widowControl/>
              <w:rPr>
                <w:rFonts w:ascii="宋体" w:cs="仿宋_GB2312"/>
                <w:color w:val="000000"/>
                <w:sz w:val="28"/>
                <w:szCs w:val="28"/>
              </w:rPr>
            </w:pPr>
            <w:r>
              <w:rPr>
                <w:rFonts w:hint="eastAsia" w:ascii="宋体" w:hAnsi="宋体" w:cs="仿宋_GB2312"/>
                <w:color w:val="000000"/>
                <w:sz w:val="28"/>
                <w:szCs w:val="28"/>
              </w:rPr>
              <w:t>（八）依法处理工程质量安全投诉、举报；受理房屋安全鉴定的咨询及处理既有房屋安全相关的投诉、举报；参与工程质量安全事故的调查处理；定期对本地区建设工程质量状况进行统计分析；监督相关企业按规定购买工伤保险、安全生产责任险等必须购买的保险。</w:t>
            </w:r>
          </w:p>
          <w:p>
            <w:pPr>
              <w:widowControl/>
              <w:rPr>
                <w:rFonts w:ascii="宋体" w:cs="仿宋_GB2312"/>
                <w:color w:val="000000"/>
                <w:sz w:val="28"/>
                <w:szCs w:val="28"/>
              </w:rPr>
            </w:pPr>
            <w:r>
              <w:rPr>
                <w:rFonts w:hint="eastAsia" w:ascii="宋体" w:hAnsi="宋体" w:cs="仿宋_GB2312"/>
                <w:color w:val="000000"/>
                <w:sz w:val="28"/>
                <w:szCs w:val="28"/>
              </w:rPr>
              <w:t>（九）承担建设工程消防验收和备案抽查的辅助性、事务性工作</w:t>
            </w:r>
            <w:r>
              <w:rPr>
                <w:rFonts w:ascii="宋体" w:hAnsi="宋体" w:cs="仿宋_GB2312"/>
                <w:color w:val="000000"/>
                <w:sz w:val="28"/>
                <w:szCs w:val="28"/>
              </w:rPr>
              <w:t>;</w:t>
            </w:r>
            <w:r>
              <w:rPr>
                <w:rFonts w:hint="eastAsia" w:ascii="宋体" w:hAnsi="宋体" w:cs="仿宋_GB2312"/>
                <w:color w:val="000000"/>
                <w:sz w:val="28"/>
                <w:szCs w:val="28"/>
              </w:rPr>
              <w:t>协助市住房和城乡建设局对监理企业、检测机构进行专项检查；协助有关部门进行建设工程质量、安全技术服务和建设工程新设备、新材料、新技术、新工艺的鉴定、评审和推广应用。</w:t>
            </w:r>
          </w:p>
          <w:p>
            <w:pPr>
              <w:widowControl/>
              <w:rPr>
                <w:rFonts w:ascii="宋体" w:cs="仿宋_GB2312"/>
                <w:color w:val="000000"/>
                <w:sz w:val="28"/>
                <w:szCs w:val="28"/>
              </w:rPr>
            </w:pPr>
            <w:r>
              <w:rPr>
                <w:rFonts w:hint="eastAsia" w:ascii="宋体" w:hAnsi="宋体" w:cs="仿宋_GB2312"/>
                <w:color w:val="000000"/>
                <w:sz w:val="28"/>
                <w:szCs w:val="28"/>
              </w:rPr>
              <w:t>（十）城区范围内单独报建的房屋装饰装修工程、既有住房加装电梯工程质量安全监督管理。抽查所辖工程项目涉及工程主体结构安全和主要使用功能的工程实体质量及主要建筑材料、建筑构配件的质量；对所辖工程项目的建筑责任主体和质量安全监测等单位履行安全生产职责和法定质量责任和义务，执行法律、法规、规章、制度及工程建设性标准等情况实施监督，对违法违规行为提出处罚建议并参与调查取证和核实。</w:t>
            </w:r>
          </w:p>
          <w:p>
            <w:pPr>
              <w:snapToGrid w:val="0"/>
              <w:spacing w:line="520" w:lineRule="exact"/>
              <w:rPr>
                <w:rFonts w:ascii="宋体"/>
                <w:sz w:val="28"/>
                <w:szCs w:val="28"/>
              </w:rPr>
            </w:pPr>
            <w:r>
              <w:rPr>
                <w:rFonts w:hint="eastAsia" w:ascii="宋体" w:hAnsi="宋体" w:cs="仿宋_GB2312"/>
                <w:color w:val="000000"/>
                <w:sz w:val="28"/>
                <w:szCs w:val="28"/>
              </w:rPr>
              <w:t>（十）对县市区建设工程质量和安全监督机构进行业务指导。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171" w:hRule="atLeast"/>
          <w:jc w:val="center"/>
        </w:trPr>
        <w:tc>
          <w:tcPr>
            <w:tcW w:w="1654" w:type="dxa"/>
            <w:vAlign w:val="center"/>
          </w:tcPr>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年度主要</w:t>
            </w: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工作内容</w:t>
            </w: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年度主要</w:t>
            </w:r>
          </w:p>
          <w:p>
            <w:pPr>
              <w:autoSpaceDN w:val="0"/>
              <w:spacing w:line="320" w:lineRule="exact"/>
              <w:textAlignment w:val="center"/>
              <w:rPr>
                <w:rFonts w:ascii="宋体" w:cs="仿宋_GB2312"/>
                <w:color w:val="000000"/>
                <w:sz w:val="28"/>
                <w:szCs w:val="28"/>
              </w:rPr>
            </w:pPr>
            <w:r>
              <w:rPr>
                <w:rFonts w:hint="eastAsia" w:ascii="宋体" w:hAnsi="宋体" w:cs="仿宋_GB2312"/>
                <w:color w:val="000000"/>
                <w:sz w:val="28"/>
                <w:szCs w:val="28"/>
              </w:rPr>
              <w:t>工作内容</w:t>
            </w: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年度主要</w:t>
            </w: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工作内容</w:t>
            </w: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年度主要</w:t>
            </w: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工作内容</w:t>
            </w: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年度主要</w:t>
            </w: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工作内容</w:t>
            </w: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jc w:val="center"/>
              <w:textAlignment w:val="center"/>
              <w:rPr>
                <w:rFonts w:ascii="宋体" w:cs="仿宋_GB2312"/>
                <w:color w:val="000000"/>
                <w:sz w:val="28"/>
                <w:szCs w:val="28"/>
              </w:rPr>
            </w:pPr>
          </w:p>
          <w:p>
            <w:pPr>
              <w:autoSpaceDN w:val="0"/>
              <w:spacing w:line="320" w:lineRule="exact"/>
              <w:textAlignment w:val="center"/>
              <w:rPr>
                <w:rFonts w:ascii="宋体" w:cs="仿宋_GB2312"/>
                <w:color w:val="000000"/>
                <w:sz w:val="28"/>
                <w:szCs w:val="28"/>
              </w:rPr>
            </w:pPr>
          </w:p>
        </w:tc>
        <w:tc>
          <w:tcPr>
            <w:tcW w:w="7740" w:type="dxa"/>
            <w:gridSpan w:val="18"/>
            <w:vAlign w:val="center"/>
          </w:tcPr>
          <w:p>
            <w:pPr>
              <w:spacing w:line="630" w:lineRule="exact"/>
              <w:ind w:firstLine="280" w:firstLineChars="100"/>
              <w:textAlignment w:val="baseline"/>
              <w:rPr>
                <w:rFonts w:ascii="宋体" w:cs="仿宋"/>
                <w:b/>
                <w:color w:val="000000"/>
                <w:sz w:val="28"/>
                <w:szCs w:val="28"/>
              </w:rPr>
            </w:pPr>
            <w:r>
              <w:rPr>
                <w:rFonts w:hint="eastAsia" w:ascii="宋体" w:hAnsi="宋体" w:cs="仿宋"/>
                <w:b/>
                <w:color w:val="000000"/>
                <w:sz w:val="28"/>
                <w:szCs w:val="28"/>
              </w:rPr>
              <w:t>业务工作情况：</w:t>
            </w:r>
          </w:p>
          <w:p>
            <w:pPr>
              <w:spacing w:line="630" w:lineRule="exact"/>
              <w:ind w:firstLine="280" w:firstLineChars="100"/>
              <w:textAlignment w:val="baseline"/>
              <w:rPr>
                <w:rFonts w:ascii="宋体" w:cs="仿宋"/>
                <w:sz w:val="28"/>
                <w:szCs w:val="28"/>
              </w:rPr>
            </w:pPr>
            <w:r>
              <w:rPr>
                <w:rFonts w:hint="eastAsia" w:ascii="宋体" w:hAnsi="宋体" w:cs="仿宋"/>
                <w:color w:val="000000"/>
                <w:sz w:val="28"/>
                <w:szCs w:val="28"/>
              </w:rPr>
              <w:t>城区在建工程项目</w:t>
            </w:r>
            <w:r>
              <w:rPr>
                <w:rFonts w:ascii="宋体" w:hAnsi="宋体" w:cs="仿宋"/>
                <w:color w:val="000000"/>
                <w:sz w:val="28"/>
                <w:szCs w:val="28"/>
              </w:rPr>
              <w:t>237</w:t>
            </w:r>
            <w:r>
              <w:rPr>
                <w:rFonts w:hint="eastAsia" w:ascii="宋体" w:hAnsi="宋体" w:cs="仿宋"/>
                <w:color w:val="000000"/>
                <w:sz w:val="28"/>
                <w:szCs w:val="28"/>
              </w:rPr>
              <w:t>个，建筑面积</w:t>
            </w:r>
            <w:r>
              <w:rPr>
                <w:rFonts w:ascii="宋体" w:hAnsi="宋体" w:cs="仿宋"/>
                <w:color w:val="000000"/>
                <w:sz w:val="28"/>
                <w:szCs w:val="28"/>
              </w:rPr>
              <w:t>1258.72</w:t>
            </w:r>
            <w:r>
              <w:rPr>
                <w:rFonts w:hint="eastAsia" w:ascii="宋体" w:hAnsi="宋体" w:cs="仿宋"/>
                <w:color w:val="000000"/>
                <w:sz w:val="28"/>
                <w:szCs w:val="28"/>
              </w:rPr>
              <w:t>万㎡。全年新受监项目</w:t>
            </w:r>
            <w:r>
              <w:rPr>
                <w:rFonts w:ascii="宋体" w:hAnsi="宋体" w:cs="仿宋"/>
                <w:color w:val="000000"/>
                <w:sz w:val="28"/>
                <w:szCs w:val="28"/>
              </w:rPr>
              <w:t>58</w:t>
            </w:r>
            <w:r>
              <w:rPr>
                <w:rFonts w:hint="eastAsia" w:ascii="宋体" w:hAnsi="宋体" w:cs="仿宋"/>
                <w:color w:val="000000"/>
                <w:sz w:val="28"/>
                <w:szCs w:val="28"/>
              </w:rPr>
              <w:t>个，办理土石方施工监督手续</w:t>
            </w:r>
            <w:r>
              <w:rPr>
                <w:rFonts w:ascii="宋体" w:hAnsi="宋体" w:cs="仿宋"/>
                <w:color w:val="000000"/>
                <w:sz w:val="28"/>
                <w:szCs w:val="28"/>
              </w:rPr>
              <w:t>6</w:t>
            </w:r>
            <w:r>
              <w:rPr>
                <w:rFonts w:hint="eastAsia" w:ascii="宋体" w:hAnsi="宋体" w:cs="仿宋"/>
                <w:color w:val="000000"/>
                <w:sz w:val="28"/>
                <w:szCs w:val="28"/>
              </w:rPr>
              <w:t>个；新受监建筑面积约</w:t>
            </w:r>
            <w:r>
              <w:rPr>
                <w:rFonts w:ascii="宋体" w:hAnsi="宋体" w:cs="仿宋"/>
                <w:color w:val="000000"/>
                <w:sz w:val="28"/>
                <w:szCs w:val="28"/>
              </w:rPr>
              <w:t>205.74</w:t>
            </w:r>
            <w:r>
              <w:rPr>
                <w:rFonts w:hint="eastAsia" w:ascii="宋体" w:hAnsi="宋体" w:cs="仿宋"/>
                <w:color w:val="000000"/>
                <w:sz w:val="28"/>
                <w:szCs w:val="28"/>
              </w:rPr>
              <w:t>万㎡；新受监工程总造价约</w:t>
            </w:r>
            <w:r>
              <w:rPr>
                <w:rFonts w:ascii="宋体" w:hAnsi="宋体" w:cs="仿宋"/>
                <w:color w:val="000000"/>
                <w:sz w:val="28"/>
                <w:szCs w:val="28"/>
              </w:rPr>
              <w:t>82.94</w:t>
            </w:r>
            <w:r>
              <w:rPr>
                <w:rFonts w:hint="eastAsia" w:ascii="宋体" w:hAnsi="宋体" w:cs="仿宋"/>
                <w:color w:val="000000"/>
                <w:sz w:val="28"/>
                <w:szCs w:val="28"/>
              </w:rPr>
              <w:t>亿元。办理建筑起重机械产权备案</w:t>
            </w:r>
            <w:r>
              <w:rPr>
                <w:rFonts w:ascii="宋体" w:hAnsi="宋体" w:cs="仿宋"/>
                <w:color w:val="000000"/>
                <w:sz w:val="28"/>
                <w:szCs w:val="28"/>
              </w:rPr>
              <w:t>321</w:t>
            </w:r>
            <w:r>
              <w:rPr>
                <w:rFonts w:hint="eastAsia" w:ascii="宋体" w:hAnsi="宋体" w:cs="仿宋"/>
                <w:color w:val="000000"/>
                <w:sz w:val="28"/>
                <w:szCs w:val="28"/>
              </w:rPr>
              <w:t>台，办理起重机械使用登记</w:t>
            </w:r>
            <w:r>
              <w:rPr>
                <w:rFonts w:ascii="宋体" w:hAnsi="宋体" w:cs="仿宋"/>
                <w:color w:val="000000"/>
                <w:sz w:val="28"/>
                <w:szCs w:val="28"/>
              </w:rPr>
              <w:t>417</w:t>
            </w:r>
            <w:r>
              <w:rPr>
                <w:rFonts w:hint="eastAsia" w:ascii="宋体" w:hAnsi="宋体" w:cs="仿宋"/>
                <w:color w:val="000000"/>
                <w:sz w:val="28"/>
                <w:szCs w:val="28"/>
              </w:rPr>
              <w:t>份，新采集</w:t>
            </w:r>
            <w:r>
              <w:rPr>
                <w:rFonts w:ascii="宋体" w:hAnsi="宋体" w:cs="仿宋"/>
                <w:color w:val="000000"/>
                <w:sz w:val="28"/>
                <w:szCs w:val="28"/>
              </w:rPr>
              <w:t>6</w:t>
            </w:r>
            <w:r>
              <w:rPr>
                <w:rFonts w:hint="eastAsia" w:ascii="宋体" w:hAnsi="宋体" w:cs="仿宋"/>
                <w:color w:val="000000"/>
                <w:sz w:val="28"/>
                <w:szCs w:val="28"/>
              </w:rPr>
              <w:t>家建筑起重机械安装（拆卸）单位基本信息。监督竣工验收项目</w:t>
            </w:r>
            <w:r>
              <w:rPr>
                <w:rFonts w:ascii="宋体" w:hAnsi="宋体" w:cs="仿宋"/>
                <w:color w:val="000000"/>
                <w:sz w:val="28"/>
                <w:szCs w:val="28"/>
              </w:rPr>
              <w:t>47</w:t>
            </w:r>
            <w:r>
              <w:rPr>
                <w:rFonts w:hint="eastAsia" w:ascii="宋体" w:hAnsi="宋体" w:cs="仿宋"/>
                <w:color w:val="000000"/>
                <w:sz w:val="28"/>
                <w:szCs w:val="28"/>
              </w:rPr>
              <w:t>个，建筑面积</w:t>
            </w:r>
            <w:r>
              <w:rPr>
                <w:rFonts w:ascii="宋体" w:hAnsi="宋体" w:cs="仿宋"/>
                <w:color w:val="000000"/>
                <w:sz w:val="28"/>
                <w:szCs w:val="28"/>
              </w:rPr>
              <w:t>239.01</w:t>
            </w:r>
            <w:r>
              <w:rPr>
                <w:rFonts w:hint="eastAsia" w:ascii="宋体" w:hAnsi="宋体" w:cs="仿宋"/>
                <w:color w:val="000000"/>
                <w:sz w:val="28"/>
                <w:szCs w:val="28"/>
              </w:rPr>
              <w:t>万㎡；竣工验收备案</w:t>
            </w:r>
            <w:r>
              <w:rPr>
                <w:rFonts w:ascii="宋体" w:hAnsi="宋体" w:cs="仿宋"/>
                <w:color w:val="000000"/>
                <w:sz w:val="28"/>
                <w:szCs w:val="28"/>
              </w:rPr>
              <w:t>100</w:t>
            </w:r>
            <w:r>
              <w:rPr>
                <w:rFonts w:hint="eastAsia" w:ascii="宋体" w:hAnsi="宋体" w:cs="仿宋"/>
                <w:color w:val="000000"/>
                <w:sz w:val="28"/>
                <w:szCs w:val="28"/>
              </w:rPr>
              <w:t>个单位工程；</w:t>
            </w:r>
            <w:r>
              <w:rPr>
                <w:rFonts w:ascii="宋体" w:hAnsi="宋体" w:cs="仿宋"/>
                <w:sz w:val="28"/>
                <w:szCs w:val="28"/>
              </w:rPr>
              <w:t>200</w:t>
            </w:r>
            <w:r>
              <w:rPr>
                <w:rFonts w:hint="eastAsia" w:ascii="宋体" w:hAnsi="宋体" w:cs="仿宋"/>
                <w:sz w:val="28"/>
                <w:szCs w:val="28"/>
              </w:rPr>
              <w:t>余个项目参与工程质量管理和安全生产标准化考评，考评覆盖率</w:t>
            </w:r>
            <w:r>
              <w:rPr>
                <w:rFonts w:ascii="宋体" w:hAnsi="宋体" w:cs="仿宋"/>
                <w:sz w:val="28"/>
                <w:szCs w:val="28"/>
              </w:rPr>
              <w:t>100%</w:t>
            </w:r>
            <w:r>
              <w:rPr>
                <w:rFonts w:hint="eastAsia" w:ascii="宋体" w:hAnsi="宋体" w:cs="仿宋"/>
                <w:sz w:val="28"/>
                <w:szCs w:val="28"/>
              </w:rPr>
              <w:t>，单季度考评优良率</w:t>
            </w:r>
            <w:r>
              <w:rPr>
                <w:rFonts w:ascii="宋体" w:hAnsi="宋体" w:cs="仿宋"/>
                <w:sz w:val="28"/>
                <w:szCs w:val="28"/>
              </w:rPr>
              <w:t>20%</w:t>
            </w:r>
            <w:r>
              <w:rPr>
                <w:rFonts w:hint="eastAsia" w:ascii="宋体" w:hAnsi="宋体" w:cs="仿宋"/>
                <w:sz w:val="28"/>
                <w:szCs w:val="28"/>
              </w:rPr>
              <w:t>左右，合格率</w:t>
            </w:r>
            <w:r>
              <w:rPr>
                <w:rFonts w:ascii="宋体" w:hAnsi="宋体" w:cs="仿宋"/>
                <w:sz w:val="28"/>
                <w:szCs w:val="28"/>
              </w:rPr>
              <w:t>98%</w:t>
            </w:r>
            <w:r>
              <w:rPr>
                <w:rFonts w:hint="eastAsia" w:ascii="宋体" w:hAnsi="宋体" w:cs="仿宋"/>
                <w:sz w:val="28"/>
                <w:szCs w:val="28"/>
              </w:rPr>
              <w:t>以上。现场质量安全样板覆盖率</w:t>
            </w:r>
            <w:r>
              <w:rPr>
                <w:rFonts w:ascii="宋体" w:hAnsi="宋体" w:cs="仿宋"/>
                <w:sz w:val="28"/>
                <w:szCs w:val="28"/>
              </w:rPr>
              <w:t>100%</w:t>
            </w:r>
            <w:r>
              <w:rPr>
                <w:rFonts w:hint="eastAsia" w:ascii="宋体" w:hAnsi="宋体" w:cs="仿宋"/>
                <w:sz w:val="28"/>
                <w:szCs w:val="28"/>
              </w:rPr>
              <w:t>以上，中心城区有</w:t>
            </w:r>
            <w:r>
              <w:rPr>
                <w:rFonts w:ascii="宋体" w:hAnsi="宋体" w:cs="仿宋"/>
                <w:sz w:val="28"/>
                <w:szCs w:val="28"/>
              </w:rPr>
              <w:t>54</w:t>
            </w:r>
            <w:r>
              <w:rPr>
                <w:rFonts w:hint="eastAsia" w:ascii="宋体" w:hAnsi="宋体" w:cs="仿宋"/>
                <w:sz w:val="28"/>
                <w:szCs w:val="28"/>
              </w:rPr>
              <w:t>个项目获评</w:t>
            </w:r>
            <w:r>
              <w:rPr>
                <w:rFonts w:ascii="宋体" w:hAnsi="宋体" w:cs="仿宋"/>
                <w:sz w:val="28"/>
                <w:szCs w:val="28"/>
              </w:rPr>
              <w:t>2019</w:t>
            </w:r>
            <w:r>
              <w:rPr>
                <w:rFonts w:hint="eastAsia" w:ascii="宋体" w:hAnsi="宋体" w:cs="仿宋"/>
                <w:sz w:val="28"/>
                <w:szCs w:val="28"/>
              </w:rPr>
              <w:t>年省级安全生产标准化考评优良工地，</w:t>
            </w:r>
            <w:r>
              <w:rPr>
                <w:rFonts w:ascii="宋体" w:hAnsi="宋体" w:cs="仿宋"/>
                <w:sz w:val="28"/>
                <w:szCs w:val="28"/>
              </w:rPr>
              <w:t>47</w:t>
            </w:r>
            <w:r>
              <w:rPr>
                <w:rFonts w:hint="eastAsia" w:ascii="宋体" w:hAnsi="宋体" w:cs="仿宋"/>
                <w:sz w:val="28"/>
                <w:szCs w:val="28"/>
              </w:rPr>
              <w:t>个项目获评</w:t>
            </w:r>
            <w:r>
              <w:rPr>
                <w:rFonts w:ascii="宋体" w:hAnsi="宋体" w:cs="仿宋"/>
                <w:sz w:val="28"/>
                <w:szCs w:val="28"/>
              </w:rPr>
              <w:t>2019</w:t>
            </w:r>
            <w:r>
              <w:rPr>
                <w:rFonts w:hint="eastAsia" w:ascii="宋体" w:hAnsi="宋体" w:cs="仿宋"/>
                <w:sz w:val="28"/>
                <w:szCs w:val="28"/>
              </w:rPr>
              <w:t>年省级质量管理标准化考评优良工地，</w:t>
            </w:r>
            <w:r>
              <w:rPr>
                <w:rFonts w:ascii="宋体" w:hAnsi="宋体" w:cs="仿宋"/>
                <w:sz w:val="28"/>
                <w:szCs w:val="28"/>
              </w:rPr>
              <w:t>74</w:t>
            </w:r>
            <w:r>
              <w:rPr>
                <w:rFonts w:hint="eastAsia" w:ascii="宋体" w:hAnsi="宋体" w:cs="仿宋"/>
                <w:sz w:val="28"/>
                <w:szCs w:val="28"/>
              </w:rPr>
              <w:t>个项目获评</w:t>
            </w:r>
            <w:r>
              <w:rPr>
                <w:rFonts w:ascii="宋体" w:hAnsi="宋体" w:cs="仿宋"/>
                <w:sz w:val="28"/>
                <w:szCs w:val="28"/>
              </w:rPr>
              <w:t>2019</w:t>
            </w:r>
            <w:r>
              <w:rPr>
                <w:rFonts w:hint="eastAsia" w:ascii="宋体" w:hAnsi="宋体" w:cs="仿宋"/>
                <w:sz w:val="28"/>
                <w:szCs w:val="28"/>
              </w:rPr>
              <w:t>年市级质量管理标准化考评优良工地。上半年共受理质量安全投诉</w:t>
            </w:r>
            <w:r>
              <w:rPr>
                <w:rFonts w:ascii="宋体" w:hAnsi="宋体" w:cs="仿宋"/>
                <w:sz w:val="28"/>
                <w:szCs w:val="28"/>
              </w:rPr>
              <w:t xml:space="preserve"> 1233 </w:t>
            </w:r>
            <w:r>
              <w:rPr>
                <w:rFonts w:hint="eastAsia" w:ascii="宋体" w:hAnsi="宋体" w:cs="仿宋"/>
                <w:sz w:val="28"/>
                <w:szCs w:val="28"/>
              </w:rPr>
              <w:t>起，其中质量投诉</w:t>
            </w:r>
            <w:r>
              <w:rPr>
                <w:rFonts w:ascii="宋体" w:hAnsi="宋体" w:cs="仿宋"/>
                <w:sz w:val="28"/>
                <w:szCs w:val="28"/>
              </w:rPr>
              <w:t>88</w:t>
            </w:r>
            <w:r>
              <w:rPr>
                <w:rFonts w:hint="eastAsia" w:ascii="宋体" w:hAnsi="宋体" w:cs="仿宋"/>
                <w:sz w:val="28"/>
                <w:szCs w:val="28"/>
              </w:rPr>
              <w:t>起，噪音投诉</w:t>
            </w:r>
            <w:r>
              <w:rPr>
                <w:rFonts w:ascii="宋体" w:hAnsi="宋体" w:cs="仿宋"/>
                <w:sz w:val="28"/>
                <w:szCs w:val="28"/>
              </w:rPr>
              <w:t>634</w:t>
            </w:r>
            <w:r>
              <w:rPr>
                <w:rFonts w:hint="eastAsia" w:ascii="宋体" w:hAnsi="宋体" w:cs="仿宋"/>
                <w:sz w:val="28"/>
                <w:szCs w:val="28"/>
              </w:rPr>
              <w:t>余起，质量信访投诉</w:t>
            </w:r>
            <w:r>
              <w:rPr>
                <w:rFonts w:ascii="宋体" w:hAnsi="宋体" w:cs="仿宋"/>
                <w:sz w:val="28"/>
                <w:szCs w:val="28"/>
              </w:rPr>
              <w:t>25</w:t>
            </w:r>
            <w:r>
              <w:rPr>
                <w:rFonts w:hint="eastAsia" w:ascii="宋体" w:hAnsi="宋体" w:cs="仿宋"/>
                <w:sz w:val="28"/>
                <w:szCs w:val="28"/>
              </w:rPr>
              <w:t>起，处理率</w:t>
            </w:r>
            <w:r>
              <w:rPr>
                <w:rFonts w:ascii="宋体" w:hAnsi="宋体" w:cs="仿宋"/>
                <w:sz w:val="28"/>
                <w:szCs w:val="28"/>
              </w:rPr>
              <w:t>100%</w:t>
            </w:r>
            <w:r>
              <w:rPr>
                <w:rFonts w:hint="eastAsia" w:ascii="宋体" w:hAnsi="宋体" w:cs="仿宋"/>
                <w:sz w:val="28"/>
                <w:szCs w:val="28"/>
              </w:rPr>
              <w:t>、回复率</w:t>
            </w:r>
            <w:r>
              <w:rPr>
                <w:rFonts w:ascii="宋体" w:hAnsi="宋体" w:cs="仿宋"/>
                <w:sz w:val="28"/>
                <w:szCs w:val="28"/>
              </w:rPr>
              <w:t>100%</w:t>
            </w:r>
            <w:r>
              <w:rPr>
                <w:rFonts w:hint="eastAsia" w:ascii="宋体" w:hAnsi="宋体" w:cs="仿宋"/>
                <w:sz w:val="28"/>
                <w:szCs w:val="28"/>
              </w:rPr>
              <w:t>。</w:t>
            </w:r>
          </w:p>
          <w:p>
            <w:pPr>
              <w:spacing w:line="630" w:lineRule="exact"/>
              <w:ind w:firstLine="560" w:firstLineChars="200"/>
              <w:textAlignment w:val="baseline"/>
              <w:rPr>
                <w:rFonts w:ascii="宋体" w:cs="楷体"/>
                <w:b/>
                <w:bCs/>
                <w:color w:val="000000"/>
                <w:sz w:val="28"/>
                <w:szCs w:val="28"/>
              </w:rPr>
            </w:pPr>
            <w:r>
              <w:rPr>
                <w:rFonts w:hint="eastAsia" w:ascii="宋体" w:hAnsi="宋体" w:cs="楷体"/>
                <w:b/>
                <w:bCs/>
                <w:color w:val="000000"/>
                <w:sz w:val="28"/>
                <w:szCs w:val="28"/>
              </w:rPr>
              <w:t>（一）加强监督服务，确保质量安全</w:t>
            </w:r>
          </w:p>
          <w:p>
            <w:pPr>
              <w:spacing w:line="630" w:lineRule="exact"/>
              <w:ind w:firstLine="560" w:firstLineChars="200"/>
              <w:textAlignment w:val="baseline"/>
              <w:rPr>
                <w:rFonts w:ascii="宋体" w:cs="仿宋"/>
                <w:b/>
                <w:color w:val="000000"/>
                <w:sz w:val="28"/>
                <w:szCs w:val="28"/>
              </w:rPr>
            </w:pPr>
            <w:r>
              <w:rPr>
                <w:rFonts w:hint="eastAsia" w:ascii="宋体" w:hAnsi="宋体" w:cs="仿宋"/>
                <w:b/>
                <w:bCs/>
                <w:color w:val="000000"/>
                <w:sz w:val="28"/>
                <w:szCs w:val="28"/>
              </w:rPr>
              <w:t>一是工地疫情防控和复工复产“两手抓”。</w:t>
            </w:r>
            <w:r>
              <w:rPr>
                <w:rFonts w:hint="eastAsia" w:ascii="宋体" w:hAnsi="宋体" w:cs="仿宋"/>
                <w:color w:val="000000"/>
                <w:sz w:val="28"/>
                <w:szCs w:val="28"/>
              </w:rPr>
              <w:t>在新冠疫情最吃紧时期，我站派出多名骨干力量助力“君山人民医院新冠肺炎集中治疗点”、“岳阳县人民医院新冠肺炎后备集中治疗点”建设，对医院改造建设全过程进行质量安全驻点监督，协助市局按时、保质完成市委市政府交办的抢建任务。我站还派出多人参加中心城区联防联控工作组，冒着被感染风险，实行“白加黑”、“</w:t>
            </w:r>
            <w:r>
              <w:rPr>
                <w:rFonts w:ascii="宋体" w:hAnsi="宋体" w:cs="仿宋"/>
                <w:color w:val="000000"/>
                <w:sz w:val="28"/>
                <w:szCs w:val="28"/>
              </w:rPr>
              <w:t>5+2</w:t>
            </w:r>
            <w:r>
              <w:rPr>
                <w:rFonts w:hint="eastAsia" w:ascii="宋体" w:hAnsi="宋体" w:cs="仿宋"/>
                <w:color w:val="000000"/>
                <w:sz w:val="28"/>
                <w:szCs w:val="28"/>
              </w:rPr>
              <w:t>”联防联控，并与市委组织部成立</w:t>
            </w:r>
            <w:r>
              <w:rPr>
                <w:rFonts w:ascii="宋体" w:hAnsi="宋体" w:cs="仿宋"/>
                <w:color w:val="000000"/>
                <w:sz w:val="28"/>
                <w:szCs w:val="28"/>
              </w:rPr>
              <w:t>12</w:t>
            </w:r>
            <w:r>
              <w:rPr>
                <w:rFonts w:hint="eastAsia" w:ascii="宋体" w:hAnsi="宋体" w:cs="仿宋"/>
                <w:color w:val="000000"/>
                <w:sz w:val="28"/>
                <w:szCs w:val="28"/>
              </w:rPr>
              <w:t>个联点服务组，向企业赠送防疫物资和帮扶企业解决实际困难，最终实现复工率</w:t>
            </w:r>
            <w:r>
              <w:rPr>
                <w:rFonts w:ascii="宋体" w:hAnsi="宋体" w:cs="仿宋"/>
                <w:color w:val="000000"/>
                <w:sz w:val="28"/>
                <w:szCs w:val="28"/>
              </w:rPr>
              <w:t>100%</w:t>
            </w:r>
            <w:r>
              <w:rPr>
                <w:rFonts w:hint="eastAsia" w:ascii="宋体" w:hAnsi="宋体" w:cs="仿宋"/>
                <w:color w:val="000000"/>
                <w:sz w:val="28"/>
                <w:szCs w:val="28"/>
              </w:rPr>
              <w:t>的目标。</w:t>
            </w:r>
          </w:p>
          <w:p>
            <w:pPr>
              <w:spacing w:line="630" w:lineRule="exact"/>
              <w:ind w:firstLine="560" w:firstLineChars="200"/>
              <w:textAlignment w:val="baseline"/>
              <w:rPr>
                <w:rFonts w:ascii="宋体" w:cs="仿宋"/>
                <w:b/>
                <w:color w:val="000000"/>
                <w:sz w:val="28"/>
                <w:szCs w:val="28"/>
              </w:rPr>
            </w:pPr>
            <w:r>
              <w:rPr>
                <w:rFonts w:hint="eastAsia" w:ascii="宋体" w:hAnsi="宋体" w:cs="仿宋"/>
                <w:b/>
                <w:bCs/>
                <w:color w:val="000000"/>
                <w:sz w:val="28"/>
                <w:szCs w:val="28"/>
              </w:rPr>
              <w:t>二是加强建筑起重机械安全监督。</w:t>
            </w:r>
            <w:r>
              <w:rPr>
                <w:rFonts w:hint="eastAsia" w:ascii="宋体" w:hAnsi="宋体" w:cs="仿宋"/>
                <w:color w:val="000000"/>
                <w:sz w:val="28"/>
                <w:szCs w:val="28"/>
              </w:rPr>
              <w:t>深刻汲取华容“</w:t>
            </w:r>
            <w:r>
              <w:rPr>
                <w:rFonts w:ascii="宋体" w:hAnsi="宋体" w:cs="仿宋"/>
                <w:color w:val="000000"/>
                <w:sz w:val="28"/>
                <w:szCs w:val="28"/>
              </w:rPr>
              <w:t>1.23</w:t>
            </w:r>
            <w:r>
              <w:rPr>
                <w:rFonts w:hint="eastAsia" w:ascii="宋体" w:hAnsi="宋体" w:cs="仿宋"/>
                <w:color w:val="000000"/>
                <w:sz w:val="28"/>
                <w:szCs w:val="28"/>
              </w:rPr>
              <w:t>”塔吊坍塌事故教训，继续严格落实机械监督管理各项制度，建立企业强化日常管理、政府监督抽检、社会机构预防服务的事故预防机制，多次委托第三方实施机械监督抽检起重机械、爬架、吊篮等</w:t>
            </w:r>
            <w:r>
              <w:rPr>
                <w:rFonts w:ascii="宋体" w:hAnsi="宋体" w:cs="仿宋"/>
                <w:color w:val="000000"/>
                <w:sz w:val="28"/>
                <w:szCs w:val="28"/>
              </w:rPr>
              <w:t>1000</w:t>
            </w:r>
            <w:r>
              <w:rPr>
                <w:rFonts w:hint="eastAsia" w:ascii="宋体" w:hAnsi="宋体" w:cs="仿宋"/>
                <w:color w:val="000000"/>
                <w:sz w:val="28"/>
                <w:szCs w:val="28"/>
              </w:rPr>
              <w:t>余次，消除安全隐患</w:t>
            </w:r>
            <w:r>
              <w:rPr>
                <w:rFonts w:ascii="宋体" w:hAnsi="宋体" w:cs="仿宋"/>
                <w:color w:val="000000"/>
                <w:sz w:val="28"/>
                <w:szCs w:val="28"/>
              </w:rPr>
              <w:t>6000</w:t>
            </w:r>
            <w:r>
              <w:rPr>
                <w:rFonts w:hint="eastAsia" w:ascii="宋体" w:hAnsi="宋体" w:cs="仿宋"/>
                <w:color w:val="000000"/>
                <w:sz w:val="28"/>
                <w:szCs w:val="28"/>
              </w:rPr>
              <w:t>余条，停工整改近</w:t>
            </w:r>
            <w:r>
              <w:rPr>
                <w:rFonts w:ascii="宋体" w:hAnsi="宋体" w:cs="仿宋"/>
                <w:color w:val="000000"/>
                <w:sz w:val="28"/>
                <w:szCs w:val="28"/>
              </w:rPr>
              <w:t>100</w:t>
            </w:r>
            <w:r>
              <w:rPr>
                <w:rFonts w:hint="eastAsia" w:ascii="宋体" w:hAnsi="宋体" w:cs="仿宋"/>
                <w:color w:val="000000"/>
                <w:sz w:val="28"/>
                <w:szCs w:val="28"/>
              </w:rPr>
              <w:t>台设备，拆除不合格设备数台，通报和警示了</w:t>
            </w:r>
            <w:r>
              <w:rPr>
                <w:rFonts w:ascii="宋体" w:hAnsi="宋体" w:cs="仿宋"/>
                <w:color w:val="000000"/>
                <w:sz w:val="28"/>
                <w:szCs w:val="28"/>
              </w:rPr>
              <w:t>50</w:t>
            </w:r>
            <w:r>
              <w:rPr>
                <w:rFonts w:hint="eastAsia" w:ascii="宋体" w:hAnsi="宋体" w:cs="仿宋"/>
                <w:color w:val="000000"/>
                <w:sz w:val="28"/>
                <w:szCs w:val="28"/>
              </w:rPr>
              <w:t>余个项目和企业。</w:t>
            </w:r>
          </w:p>
          <w:p>
            <w:pPr>
              <w:spacing w:line="630" w:lineRule="exact"/>
              <w:ind w:firstLine="560" w:firstLineChars="200"/>
              <w:textAlignment w:val="baseline"/>
              <w:rPr>
                <w:rFonts w:ascii="宋体" w:cs="仿宋"/>
                <w:b/>
                <w:color w:val="000000"/>
                <w:sz w:val="28"/>
                <w:szCs w:val="28"/>
              </w:rPr>
            </w:pPr>
            <w:r>
              <w:rPr>
                <w:rFonts w:hint="eastAsia" w:ascii="宋体" w:hAnsi="宋体" w:cs="仿宋"/>
                <w:b/>
                <w:bCs/>
                <w:color w:val="000000"/>
                <w:sz w:val="28"/>
                <w:szCs w:val="28"/>
              </w:rPr>
              <w:t>三是开展质量安全隐患专项整治。</w:t>
            </w:r>
            <w:r>
              <w:rPr>
                <w:rFonts w:hint="eastAsia" w:ascii="宋体" w:hAnsi="宋体" w:cs="仿宋"/>
                <w:color w:val="000000"/>
                <w:sz w:val="28"/>
                <w:szCs w:val="28"/>
              </w:rPr>
              <w:t>建立常态化的质量安全隐患检查制度，每月开展各种主题的专项检查，先后开展脚手架及支模架、深基坑、建筑起重机械、建筑扬尘、消防安全、劳务实名制、预拌混凝土质量、监理企业、检测企业等</w:t>
            </w:r>
            <w:r>
              <w:rPr>
                <w:rFonts w:ascii="宋体" w:hAnsi="宋体" w:cs="仿宋"/>
                <w:color w:val="000000"/>
                <w:sz w:val="28"/>
                <w:szCs w:val="28"/>
              </w:rPr>
              <w:t>10</w:t>
            </w:r>
            <w:r>
              <w:rPr>
                <w:rFonts w:hint="eastAsia" w:ascii="宋体" w:hAnsi="宋体" w:cs="仿宋"/>
                <w:color w:val="000000"/>
                <w:sz w:val="28"/>
                <w:szCs w:val="28"/>
              </w:rPr>
              <w:t>余次专项检查，消除了大量质量安全隐患。</w:t>
            </w:r>
          </w:p>
          <w:p>
            <w:pPr>
              <w:spacing w:line="630" w:lineRule="exact"/>
              <w:ind w:firstLine="560" w:firstLineChars="200"/>
              <w:textAlignment w:val="baseline"/>
              <w:rPr>
                <w:rFonts w:ascii="宋体" w:cs="仿宋"/>
                <w:b/>
                <w:color w:val="000000"/>
                <w:sz w:val="28"/>
                <w:szCs w:val="28"/>
              </w:rPr>
            </w:pPr>
            <w:r>
              <w:rPr>
                <w:rFonts w:hint="eastAsia" w:ascii="宋体" w:hAnsi="宋体" w:cs="仿宋"/>
                <w:b/>
                <w:bCs/>
                <w:color w:val="000000"/>
                <w:sz w:val="28"/>
                <w:szCs w:val="28"/>
              </w:rPr>
              <w:t>四是开展质量安全服务活动。</w:t>
            </w:r>
          </w:p>
          <w:p>
            <w:pPr>
              <w:spacing w:line="630" w:lineRule="exact"/>
              <w:ind w:firstLine="560" w:firstLineChars="200"/>
              <w:textAlignment w:val="baseline"/>
              <w:rPr>
                <w:rFonts w:ascii="宋体" w:cs="仿宋"/>
                <w:b/>
                <w:color w:val="000000"/>
                <w:sz w:val="28"/>
                <w:szCs w:val="28"/>
              </w:rPr>
            </w:pPr>
            <w:r>
              <w:rPr>
                <w:rFonts w:hint="eastAsia" w:ascii="宋体" w:hAnsi="宋体" w:cs="仿宋"/>
                <w:b/>
                <w:bCs/>
                <w:color w:val="000000"/>
                <w:sz w:val="28"/>
                <w:szCs w:val="28"/>
              </w:rPr>
              <w:t>检测比赛：</w:t>
            </w:r>
            <w:r>
              <w:rPr>
                <w:rFonts w:hint="eastAsia" w:ascii="宋体" w:hAnsi="宋体" w:cs="仿宋"/>
                <w:color w:val="000000"/>
                <w:sz w:val="28"/>
                <w:szCs w:val="28"/>
              </w:rPr>
              <w:t>组织开展了岳阳市检测技能大赛，并组织市、县区组队参赛全省检测技能比武。</w:t>
            </w:r>
            <w:r>
              <w:rPr>
                <w:rFonts w:hint="eastAsia" w:ascii="宋体" w:hAnsi="宋体" w:cs="仿宋"/>
                <w:b/>
                <w:bCs/>
                <w:color w:val="000000"/>
                <w:sz w:val="28"/>
                <w:szCs w:val="28"/>
              </w:rPr>
              <w:t>项目观摩：</w:t>
            </w:r>
            <w:r>
              <w:rPr>
                <w:rFonts w:hint="eastAsia" w:ascii="宋体" w:hAnsi="宋体" w:cs="仿宋"/>
                <w:color w:val="000000"/>
                <w:sz w:val="28"/>
                <w:szCs w:val="28"/>
              </w:rPr>
              <w:t>深入开展城市建设安全专项整治三年行动，先后在祥源·城市之光、际华城市康养、华为新金宝项目、市妇幼保健医院迁建项目开展岳阳市质量安全观摩活动和安全事故应急救援演练观摩会，近</w:t>
            </w:r>
            <w:r>
              <w:rPr>
                <w:rFonts w:ascii="宋体" w:hAnsi="宋体" w:cs="仿宋"/>
                <w:color w:val="000000"/>
                <w:sz w:val="28"/>
                <w:szCs w:val="28"/>
              </w:rPr>
              <w:t>2500</w:t>
            </w:r>
            <w:r>
              <w:rPr>
                <w:rFonts w:hint="eastAsia" w:ascii="宋体" w:hAnsi="宋体" w:cs="仿宋"/>
                <w:color w:val="000000"/>
                <w:sz w:val="28"/>
                <w:szCs w:val="28"/>
              </w:rPr>
              <w:t>人参加了活动。</w:t>
            </w:r>
            <w:r>
              <w:rPr>
                <w:rFonts w:hint="eastAsia" w:ascii="宋体" w:hAnsi="宋体" w:cs="仿宋"/>
                <w:b/>
                <w:bCs/>
                <w:color w:val="000000"/>
                <w:sz w:val="28"/>
                <w:szCs w:val="28"/>
              </w:rPr>
              <w:t>宣传教育：</w:t>
            </w:r>
            <w:r>
              <w:rPr>
                <w:rFonts w:ascii="宋体" w:hAnsi="宋体" w:cs="仿宋"/>
                <w:color w:val="000000"/>
                <w:sz w:val="28"/>
                <w:szCs w:val="28"/>
              </w:rPr>
              <w:t>6</w:t>
            </w:r>
            <w:r>
              <w:rPr>
                <w:rFonts w:hint="eastAsia" w:ascii="宋体" w:hAnsi="宋体" w:cs="仿宋"/>
                <w:color w:val="000000"/>
                <w:sz w:val="28"/>
                <w:szCs w:val="28"/>
              </w:rPr>
              <w:t>月份，积极参加岳阳市“安全生产月宣传咨询日暨安全宣传“五进”活动和市局组织的质量安全宣传车巡回宣传教育，发放主题宣传扇</w:t>
            </w:r>
            <w:r>
              <w:rPr>
                <w:rFonts w:ascii="宋体" w:hAnsi="宋体" w:cs="仿宋"/>
                <w:color w:val="000000"/>
                <w:sz w:val="28"/>
                <w:szCs w:val="28"/>
              </w:rPr>
              <w:t>200</w:t>
            </w:r>
            <w:r>
              <w:rPr>
                <w:rFonts w:hint="eastAsia" w:ascii="宋体" w:hAnsi="宋体" w:cs="仿宋"/>
                <w:color w:val="000000"/>
                <w:sz w:val="28"/>
                <w:szCs w:val="28"/>
              </w:rPr>
              <w:t>把、“关注安全”宣传图册</w:t>
            </w:r>
            <w:r>
              <w:rPr>
                <w:rFonts w:ascii="宋体" w:hAnsi="宋体" w:cs="仿宋"/>
                <w:color w:val="000000"/>
                <w:sz w:val="28"/>
                <w:szCs w:val="28"/>
              </w:rPr>
              <w:t>500</w:t>
            </w:r>
            <w:r>
              <w:rPr>
                <w:rFonts w:hint="eastAsia" w:ascii="宋体" w:hAnsi="宋体" w:cs="仿宋"/>
                <w:color w:val="000000"/>
                <w:sz w:val="28"/>
                <w:szCs w:val="28"/>
              </w:rPr>
              <w:t>份；巡回宣传</w:t>
            </w:r>
            <w:r>
              <w:rPr>
                <w:rFonts w:ascii="宋体" w:hAnsi="宋体" w:cs="仿宋"/>
                <w:color w:val="000000"/>
                <w:sz w:val="28"/>
                <w:szCs w:val="28"/>
              </w:rPr>
              <w:t>10</w:t>
            </w:r>
            <w:r>
              <w:rPr>
                <w:rFonts w:hint="eastAsia" w:ascii="宋体" w:hAnsi="宋体" w:cs="仿宋"/>
                <w:color w:val="000000"/>
                <w:sz w:val="28"/>
                <w:szCs w:val="28"/>
              </w:rPr>
              <w:t>余个项目，发放《工程质量安全手册（试行）》等资料</w:t>
            </w:r>
            <w:r>
              <w:rPr>
                <w:rFonts w:ascii="宋体" w:hAnsi="宋体" w:cs="仿宋"/>
                <w:color w:val="000000"/>
                <w:sz w:val="28"/>
                <w:szCs w:val="28"/>
              </w:rPr>
              <w:t>200</w:t>
            </w:r>
            <w:r>
              <w:rPr>
                <w:rFonts w:hint="eastAsia" w:ascii="宋体" w:hAnsi="宋体" w:cs="仿宋"/>
                <w:color w:val="000000"/>
                <w:sz w:val="28"/>
                <w:szCs w:val="28"/>
              </w:rPr>
              <w:t>余本，宣传册</w:t>
            </w:r>
            <w:r>
              <w:rPr>
                <w:rFonts w:ascii="宋体" w:hAnsi="宋体" w:cs="仿宋"/>
                <w:color w:val="000000"/>
                <w:sz w:val="28"/>
                <w:szCs w:val="28"/>
              </w:rPr>
              <w:t>320</w:t>
            </w:r>
            <w:r>
              <w:rPr>
                <w:rFonts w:hint="eastAsia" w:ascii="宋体" w:hAnsi="宋体" w:cs="仿宋"/>
                <w:color w:val="000000"/>
                <w:sz w:val="28"/>
                <w:szCs w:val="28"/>
              </w:rPr>
              <w:t>多份、宣传单</w:t>
            </w:r>
            <w:r>
              <w:rPr>
                <w:rFonts w:ascii="宋体" w:hAnsi="宋体" w:cs="仿宋"/>
                <w:color w:val="000000"/>
                <w:sz w:val="28"/>
                <w:szCs w:val="28"/>
              </w:rPr>
              <w:t>900</w:t>
            </w:r>
            <w:r>
              <w:rPr>
                <w:rFonts w:hint="eastAsia" w:ascii="宋体" w:hAnsi="宋体" w:cs="仿宋"/>
                <w:color w:val="000000"/>
                <w:sz w:val="28"/>
                <w:szCs w:val="28"/>
              </w:rPr>
              <w:t>多份，培训教育</w:t>
            </w:r>
            <w:r>
              <w:rPr>
                <w:rFonts w:ascii="宋体" w:hAnsi="宋体" w:cs="仿宋"/>
                <w:color w:val="000000"/>
                <w:sz w:val="28"/>
                <w:szCs w:val="28"/>
              </w:rPr>
              <w:t>870</w:t>
            </w:r>
            <w:r>
              <w:rPr>
                <w:rFonts w:hint="eastAsia" w:ascii="宋体" w:hAnsi="宋体" w:cs="仿宋"/>
                <w:color w:val="000000"/>
                <w:sz w:val="28"/>
                <w:szCs w:val="28"/>
              </w:rPr>
              <w:t>余人，巡回里程</w:t>
            </w:r>
            <w:r>
              <w:rPr>
                <w:rFonts w:ascii="宋体" w:hAnsi="宋体" w:cs="仿宋"/>
                <w:color w:val="000000"/>
                <w:sz w:val="28"/>
                <w:szCs w:val="28"/>
              </w:rPr>
              <w:t>320</w:t>
            </w:r>
            <w:r>
              <w:rPr>
                <w:rFonts w:hint="eastAsia" w:ascii="宋体" w:hAnsi="宋体" w:cs="仿宋"/>
                <w:color w:val="000000"/>
                <w:sz w:val="28"/>
                <w:szCs w:val="28"/>
              </w:rPr>
              <w:t>公里。</w:t>
            </w:r>
            <w:r>
              <w:rPr>
                <w:rFonts w:ascii="宋体" w:hAnsi="宋体" w:cs="仿宋"/>
                <w:color w:val="000000"/>
                <w:sz w:val="28"/>
                <w:szCs w:val="28"/>
              </w:rPr>
              <w:t>7</w:t>
            </w:r>
            <w:r>
              <w:rPr>
                <w:rFonts w:hint="eastAsia" w:ascii="宋体" w:hAnsi="宋体" w:cs="仿宋"/>
                <w:color w:val="000000"/>
                <w:sz w:val="28"/>
                <w:szCs w:val="28"/>
              </w:rPr>
              <w:t>月份、</w:t>
            </w:r>
            <w:r>
              <w:rPr>
                <w:rFonts w:ascii="宋体" w:hAnsi="宋体" w:cs="仿宋"/>
                <w:color w:val="000000"/>
                <w:sz w:val="28"/>
                <w:szCs w:val="28"/>
              </w:rPr>
              <w:t>8</w:t>
            </w:r>
            <w:r>
              <w:rPr>
                <w:rFonts w:hint="eastAsia" w:ascii="宋体" w:hAnsi="宋体" w:cs="仿宋"/>
                <w:color w:val="000000"/>
                <w:sz w:val="28"/>
                <w:szCs w:val="28"/>
              </w:rPr>
              <w:t>月份，我站开展“安全应急救援知识进工地、送服务活动”，邀请专业培训机构分别在福天城、华为新金宝、中创空天等项目，开展了消防安全知识的培训及消防应急演练、应急救护演练、职业病防治讲座、传染病预防讲座，针对企业易突发事件进行理论学习和实践练习，并将新冠和各类传染病的防治知识结合学习，做到教学通俗易懂，实用性、可操作性强。</w:t>
            </w:r>
            <w:r>
              <w:rPr>
                <w:rFonts w:ascii="宋体" w:hAnsi="宋体" w:cs="仿宋"/>
                <w:color w:val="000000"/>
                <w:sz w:val="28"/>
                <w:szCs w:val="28"/>
              </w:rPr>
              <w:t>9</w:t>
            </w:r>
            <w:r>
              <w:rPr>
                <w:rFonts w:hint="eastAsia" w:ascii="宋体" w:hAnsi="宋体" w:cs="仿宋"/>
                <w:color w:val="000000"/>
                <w:sz w:val="28"/>
                <w:szCs w:val="28"/>
              </w:rPr>
              <w:t>月、</w:t>
            </w:r>
            <w:r>
              <w:rPr>
                <w:rFonts w:ascii="宋体" w:hAnsi="宋体" w:cs="仿宋"/>
                <w:color w:val="000000"/>
                <w:sz w:val="28"/>
                <w:szCs w:val="28"/>
              </w:rPr>
              <w:t>10</w:t>
            </w:r>
            <w:r>
              <w:rPr>
                <w:rFonts w:hint="eastAsia" w:ascii="宋体" w:hAnsi="宋体" w:cs="仿宋"/>
                <w:color w:val="000000"/>
                <w:sz w:val="28"/>
                <w:szCs w:val="28"/>
              </w:rPr>
              <w:t>月份，举办两场红十字初级救护员培训班，企业自愿报名、免费学习并取证。聘请的社会专业培训机构，做到课程新颖，内容贴近实际，学习完后进行理论、实践考核，</w:t>
            </w:r>
            <w:r>
              <w:rPr>
                <w:rFonts w:ascii="宋体" w:hAnsi="宋体" w:cs="仿宋"/>
                <w:color w:val="000000"/>
                <w:sz w:val="28"/>
                <w:szCs w:val="28"/>
              </w:rPr>
              <w:t>100</w:t>
            </w:r>
            <w:r>
              <w:rPr>
                <w:rFonts w:hint="eastAsia" w:ascii="宋体" w:hAnsi="宋体" w:cs="仿宋"/>
                <w:color w:val="000000"/>
                <w:sz w:val="28"/>
                <w:szCs w:val="28"/>
              </w:rPr>
              <w:t>多人通过考试获得红十字初级救护员证，通过率</w:t>
            </w:r>
            <w:r>
              <w:rPr>
                <w:rFonts w:ascii="宋体" w:hAnsi="宋体" w:cs="仿宋"/>
                <w:color w:val="000000"/>
                <w:sz w:val="28"/>
                <w:szCs w:val="28"/>
              </w:rPr>
              <w:t>86%</w:t>
            </w:r>
            <w:r>
              <w:rPr>
                <w:rFonts w:hint="eastAsia" w:ascii="宋体" w:hAnsi="宋体" w:cs="仿宋"/>
                <w:color w:val="000000"/>
                <w:sz w:val="28"/>
                <w:szCs w:val="28"/>
              </w:rPr>
              <w:t>。</w:t>
            </w:r>
            <w:r>
              <w:rPr>
                <w:rFonts w:ascii="宋体" w:hAnsi="宋体" w:cs="仿宋"/>
                <w:color w:val="000000"/>
                <w:sz w:val="28"/>
                <w:szCs w:val="28"/>
              </w:rPr>
              <w:t>12</w:t>
            </w:r>
            <w:r>
              <w:rPr>
                <w:rFonts w:hint="eastAsia" w:ascii="宋体" w:hAnsi="宋体" w:cs="仿宋"/>
                <w:color w:val="000000"/>
                <w:sz w:val="28"/>
                <w:szCs w:val="28"/>
              </w:rPr>
              <w:t>月份经开区分站、新港区分站分别召集辖区内所有在建项目建设、施工、监理单位负责人就岁末年初安全生产工作进行了部署安排。楼区分站因疫情防控要求推迟进行。</w:t>
            </w:r>
          </w:p>
          <w:p>
            <w:pPr>
              <w:spacing w:line="630" w:lineRule="exact"/>
              <w:ind w:firstLine="560" w:firstLineChars="200"/>
              <w:textAlignment w:val="baseline"/>
              <w:rPr>
                <w:rFonts w:ascii="宋体" w:cs="楷体"/>
                <w:b/>
                <w:bCs/>
                <w:color w:val="000000"/>
                <w:sz w:val="28"/>
                <w:szCs w:val="28"/>
              </w:rPr>
            </w:pPr>
            <w:r>
              <w:rPr>
                <w:rFonts w:hint="eastAsia" w:ascii="宋体" w:hAnsi="宋体" w:cs="楷体"/>
                <w:b/>
                <w:bCs/>
                <w:color w:val="000000"/>
                <w:sz w:val="28"/>
                <w:szCs w:val="28"/>
              </w:rPr>
              <w:t>（二）加强房屋安全管理，维护公共安全</w:t>
            </w:r>
          </w:p>
          <w:p>
            <w:pPr>
              <w:spacing w:line="630" w:lineRule="exact"/>
              <w:ind w:firstLine="560" w:firstLineChars="200"/>
              <w:textAlignment w:val="baseline"/>
              <w:rPr>
                <w:rFonts w:ascii="宋体" w:cs="仿宋"/>
                <w:color w:val="000000"/>
                <w:sz w:val="28"/>
                <w:szCs w:val="28"/>
              </w:rPr>
            </w:pPr>
            <w:r>
              <w:rPr>
                <w:rFonts w:hint="eastAsia" w:ascii="宋体" w:hAnsi="宋体" w:cs="仿宋"/>
                <w:b/>
                <w:bCs/>
                <w:color w:val="000000"/>
                <w:sz w:val="28"/>
                <w:szCs w:val="28"/>
              </w:rPr>
              <w:t>一是严把房屋安全使用关。</w:t>
            </w:r>
            <w:r>
              <w:rPr>
                <w:rFonts w:hint="eastAsia" w:ascii="宋体" w:hAnsi="宋体" w:cs="仿宋"/>
                <w:color w:val="000000"/>
                <w:sz w:val="28"/>
                <w:szCs w:val="28"/>
              </w:rPr>
              <w:t>房屋安全事关人民群众生命财产安全</w:t>
            </w:r>
            <w:r>
              <w:rPr>
                <w:rFonts w:ascii="宋体" w:cs="仿宋"/>
                <w:color w:val="000000"/>
                <w:sz w:val="28"/>
                <w:szCs w:val="28"/>
              </w:rPr>
              <w:t>,</w:t>
            </w:r>
            <w:r>
              <w:rPr>
                <w:rFonts w:hint="eastAsia" w:ascii="宋体" w:hAnsi="宋体" w:cs="仿宋"/>
                <w:color w:val="000000"/>
                <w:sz w:val="28"/>
                <w:szCs w:val="28"/>
              </w:rPr>
              <w:t>事关社会和谐稳定。福建泉州隔离酒店坍塌事故，记忆犹新。为服务好群众，我站优化和简化工作流程，全年共受理房屋安全鉴定</w:t>
            </w:r>
            <w:r>
              <w:rPr>
                <w:rFonts w:ascii="宋体" w:hAnsi="宋体" w:cs="仿宋"/>
                <w:color w:val="000000"/>
                <w:sz w:val="28"/>
                <w:szCs w:val="28"/>
              </w:rPr>
              <w:t>50</w:t>
            </w:r>
            <w:r>
              <w:rPr>
                <w:rFonts w:hint="eastAsia" w:ascii="宋体" w:hAnsi="宋体" w:cs="仿宋"/>
                <w:color w:val="000000"/>
                <w:sz w:val="28"/>
                <w:szCs w:val="28"/>
              </w:rPr>
              <w:t>起，其中火灾</w:t>
            </w:r>
            <w:r>
              <w:rPr>
                <w:rFonts w:ascii="宋体" w:hAnsi="宋体" w:cs="仿宋"/>
                <w:color w:val="000000"/>
                <w:sz w:val="28"/>
                <w:szCs w:val="28"/>
              </w:rPr>
              <w:t>1</w:t>
            </w:r>
            <w:r>
              <w:rPr>
                <w:rFonts w:hint="eastAsia" w:ascii="宋体" w:hAnsi="宋体" w:cs="仿宋"/>
                <w:color w:val="000000"/>
                <w:sz w:val="28"/>
                <w:szCs w:val="28"/>
              </w:rPr>
              <w:t>起，危险房屋</w:t>
            </w:r>
            <w:r>
              <w:rPr>
                <w:rFonts w:ascii="宋体" w:hAnsi="宋体" w:cs="仿宋"/>
                <w:color w:val="000000"/>
                <w:sz w:val="28"/>
                <w:szCs w:val="28"/>
              </w:rPr>
              <w:t>28</w:t>
            </w:r>
            <w:r>
              <w:rPr>
                <w:rFonts w:hint="eastAsia" w:ascii="宋体" w:hAnsi="宋体" w:cs="仿宋"/>
                <w:color w:val="000000"/>
                <w:sz w:val="28"/>
                <w:szCs w:val="28"/>
              </w:rPr>
              <w:t>起，房屋可靠性鉴定</w:t>
            </w:r>
            <w:r>
              <w:rPr>
                <w:rFonts w:ascii="宋体" w:hAnsi="宋体" w:cs="仿宋"/>
                <w:color w:val="000000"/>
                <w:sz w:val="28"/>
                <w:szCs w:val="28"/>
              </w:rPr>
              <w:t>14</w:t>
            </w:r>
            <w:r>
              <w:rPr>
                <w:rFonts w:hint="eastAsia" w:ascii="宋体" w:hAnsi="宋体" w:cs="仿宋"/>
                <w:color w:val="000000"/>
                <w:sz w:val="28"/>
                <w:szCs w:val="28"/>
              </w:rPr>
              <w:t>起，特种行业</w:t>
            </w:r>
            <w:r>
              <w:rPr>
                <w:rFonts w:ascii="宋体" w:hAnsi="宋体" w:cs="仿宋"/>
                <w:color w:val="000000"/>
                <w:sz w:val="28"/>
                <w:szCs w:val="28"/>
              </w:rPr>
              <w:t>7</w:t>
            </w:r>
            <w:r>
              <w:rPr>
                <w:rFonts w:hint="eastAsia" w:ascii="宋体" w:hAnsi="宋体" w:cs="仿宋"/>
                <w:color w:val="000000"/>
                <w:sz w:val="28"/>
                <w:szCs w:val="28"/>
              </w:rPr>
              <w:t>起。共发出</w:t>
            </w:r>
            <w:r>
              <w:rPr>
                <w:rFonts w:ascii="宋体" w:hAnsi="宋体" w:cs="仿宋"/>
                <w:color w:val="000000"/>
                <w:sz w:val="28"/>
                <w:szCs w:val="28"/>
              </w:rPr>
              <w:t>28</w:t>
            </w:r>
            <w:r>
              <w:rPr>
                <w:rFonts w:hint="eastAsia" w:ascii="宋体" w:hAnsi="宋体" w:cs="仿宋"/>
                <w:color w:val="000000"/>
                <w:sz w:val="28"/>
                <w:szCs w:val="28"/>
              </w:rPr>
              <w:t>份房屋安全鉴定报告。其中危险房屋</w:t>
            </w:r>
            <w:r>
              <w:rPr>
                <w:rFonts w:ascii="宋体" w:hAnsi="宋体" w:cs="仿宋"/>
                <w:color w:val="000000"/>
                <w:sz w:val="28"/>
                <w:szCs w:val="28"/>
              </w:rPr>
              <w:t>D</w:t>
            </w:r>
            <w:r>
              <w:rPr>
                <w:rFonts w:hint="eastAsia" w:ascii="宋体" w:hAnsi="宋体" w:cs="仿宋"/>
                <w:color w:val="000000"/>
                <w:sz w:val="28"/>
                <w:szCs w:val="28"/>
              </w:rPr>
              <w:t>级报告</w:t>
            </w:r>
            <w:r>
              <w:rPr>
                <w:rFonts w:ascii="宋体" w:hAnsi="宋体" w:cs="仿宋"/>
                <w:color w:val="000000"/>
                <w:sz w:val="28"/>
                <w:szCs w:val="28"/>
              </w:rPr>
              <w:t>6</w:t>
            </w:r>
            <w:r>
              <w:rPr>
                <w:rFonts w:hint="eastAsia" w:ascii="宋体" w:hAnsi="宋体" w:cs="仿宋"/>
                <w:color w:val="000000"/>
                <w:sz w:val="28"/>
                <w:szCs w:val="28"/>
              </w:rPr>
              <w:t>份，危险房屋</w:t>
            </w:r>
            <w:r>
              <w:rPr>
                <w:rFonts w:ascii="宋体" w:hAnsi="宋体" w:cs="仿宋"/>
                <w:color w:val="000000"/>
                <w:sz w:val="28"/>
                <w:szCs w:val="28"/>
              </w:rPr>
              <w:t>C</w:t>
            </w:r>
            <w:r>
              <w:rPr>
                <w:rFonts w:hint="eastAsia" w:ascii="宋体" w:hAnsi="宋体" w:cs="仿宋"/>
                <w:color w:val="000000"/>
                <w:sz w:val="28"/>
                <w:szCs w:val="28"/>
              </w:rPr>
              <w:t>级报告</w:t>
            </w:r>
            <w:r>
              <w:rPr>
                <w:rFonts w:ascii="宋体" w:hAnsi="宋体" w:cs="仿宋"/>
                <w:color w:val="000000"/>
                <w:sz w:val="28"/>
                <w:szCs w:val="28"/>
              </w:rPr>
              <w:t>2</w:t>
            </w:r>
            <w:r>
              <w:rPr>
                <w:rFonts w:hint="eastAsia" w:ascii="宋体" w:hAnsi="宋体" w:cs="仿宋"/>
                <w:color w:val="000000"/>
                <w:sz w:val="28"/>
                <w:szCs w:val="28"/>
              </w:rPr>
              <w:t>份，房屋可靠性报告</w:t>
            </w:r>
            <w:r>
              <w:rPr>
                <w:rFonts w:ascii="宋体" w:hAnsi="宋体" w:cs="仿宋"/>
                <w:color w:val="000000"/>
                <w:sz w:val="28"/>
                <w:szCs w:val="28"/>
              </w:rPr>
              <w:t>14</w:t>
            </w:r>
            <w:r>
              <w:rPr>
                <w:rFonts w:hint="eastAsia" w:ascii="宋体" w:hAnsi="宋体" w:cs="仿宋"/>
                <w:color w:val="000000"/>
                <w:sz w:val="28"/>
                <w:szCs w:val="28"/>
              </w:rPr>
              <w:t>份，特种行业报告</w:t>
            </w:r>
            <w:r>
              <w:rPr>
                <w:rFonts w:ascii="宋体" w:hAnsi="宋体" w:cs="仿宋"/>
                <w:color w:val="000000"/>
                <w:sz w:val="28"/>
                <w:szCs w:val="28"/>
              </w:rPr>
              <w:t>6</w:t>
            </w:r>
            <w:r>
              <w:rPr>
                <w:rFonts w:hint="eastAsia" w:ascii="宋体" w:hAnsi="宋体" w:cs="仿宋"/>
                <w:color w:val="000000"/>
                <w:sz w:val="28"/>
                <w:szCs w:val="28"/>
              </w:rPr>
              <w:t>份。</w:t>
            </w:r>
            <w:r>
              <w:rPr>
                <w:rFonts w:hint="eastAsia" w:ascii="宋体" w:hAnsi="宋体" w:cs="仿宋"/>
                <w:b/>
                <w:bCs/>
                <w:color w:val="000000"/>
                <w:sz w:val="28"/>
                <w:szCs w:val="28"/>
              </w:rPr>
              <w:t>二是加强检测单位监督。</w:t>
            </w:r>
            <w:r>
              <w:rPr>
                <w:rFonts w:hint="eastAsia" w:ascii="宋体" w:hAnsi="宋体" w:cs="仿宋"/>
                <w:color w:val="000000"/>
                <w:sz w:val="28"/>
                <w:szCs w:val="28"/>
              </w:rPr>
              <w:t>为确保检测报告真实性、可靠性，组织对科正、湘建、元天、勘测设计院等检测公司进行了实地考察。对湘岳医院、南方建材等房屋可靠性鉴定的检测方案进行了审核，并对检测实施行为进行监督管理。</w:t>
            </w:r>
            <w:r>
              <w:rPr>
                <w:rFonts w:hint="eastAsia" w:ascii="宋体" w:hAnsi="宋体" w:cs="仿宋"/>
                <w:b/>
                <w:bCs/>
                <w:color w:val="000000"/>
                <w:sz w:val="28"/>
                <w:szCs w:val="28"/>
              </w:rPr>
              <w:t>三是完善既有建筑加装电梯工程和装饰装修工程监督管理。</w:t>
            </w:r>
            <w:r>
              <w:rPr>
                <w:rFonts w:hint="eastAsia" w:ascii="宋体" w:hAnsi="宋体" w:cs="仿宋"/>
                <w:color w:val="000000"/>
                <w:sz w:val="28"/>
                <w:szCs w:val="28"/>
              </w:rPr>
              <w:t>既有建筑加装电梯工作是一项民生工作，</w:t>
            </w:r>
            <w:r>
              <w:rPr>
                <w:rFonts w:ascii="宋体" w:hAnsi="宋体" w:cs="仿宋"/>
                <w:color w:val="000000"/>
                <w:sz w:val="28"/>
                <w:szCs w:val="28"/>
              </w:rPr>
              <w:t>41</w:t>
            </w:r>
            <w:r>
              <w:rPr>
                <w:rFonts w:hint="eastAsia" w:ascii="宋体" w:hAnsi="宋体" w:cs="仿宋"/>
                <w:color w:val="000000"/>
                <w:sz w:val="28"/>
                <w:szCs w:val="28"/>
              </w:rPr>
              <w:t>台加装电梯已纳入监督。在装饰装修项目监督方面，制定装饰装修项目监督流程，并配合局消防验收科对装饰装修工程项目进行消防工程验收。</w:t>
            </w:r>
            <w:r>
              <w:rPr>
                <w:rFonts w:hint="eastAsia" w:ascii="宋体" w:hAnsi="宋体" w:cs="仿宋"/>
                <w:b/>
                <w:bCs/>
                <w:color w:val="000000"/>
                <w:sz w:val="28"/>
                <w:szCs w:val="28"/>
              </w:rPr>
              <w:t>四是推动房屋安全立法工作。</w:t>
            </w:r>
            <w:r>
              <w:rPr>
                <w:rFonts w:hint="eastAsia" w:ascii="宋体" w:hAnsi="宋体" w:cs="仿宋"/>
                <w:color w:val="000000"/>
                <w:sz w:val="28"/>
                <w:szCs w:val="28"/>
              </w:rPr>
              <w:t>积极配合相关部门开展房屋安全立法工作，多次参与立法调研和考察，并提出意见。</w:t>
            </w:r>
          </w:p>
          <w:p>
            <w:pPr>
              <w:spacing w:line="630" w:lineRule="exact"/>
              <w:ind w:firstLine="560" w:firstLineChars="200"/>
              <w:textAlignment w:val="baseline"/>
              <w:rPr>
                <w:rFonts w:ascii="宋体" w:cs="楷体"/>
                <w:b/>
                <w:bCs/>
                <w:color w:val="000000"/>
                <w:sz w:val="28"/>
                <w:szCs w:val="28"/>
              </w:rPr>
            </w:pPr>
            <w:r>
              <w:rPr>
                <w:rFonts w:hint="eastAsia" w:ascii="宋体" w:hAnsi="宋体" w:cs="楷体"/>
                <w:b/>
                <w:bCs/>
                <w:color w:val="000000"/>
                <w:sz w:val="28"/>
                <w:szCs w:val="28"/>
              </w:rPr>
              <w:t>（三）抓好其他中心工作，全力服务大局</w:t>
            </w:r>
          </w:p>
          <w:p>
            <w:pPr>
              <w:spacing w:line="630" w:lineRule="exact"/>
              <w:ind w:firstLine="560" w:firstLineChars="200"/>
              <w:textAlignment w:val="baseline"/>
              <w:rPr>
                <w:rFonts w:ascii="宋体" w:cs="仿宋"/>
                <w:sz w:val="28"/>
                <w:szCs w:val="28"/>
              </w:rPr>
            </w:pPr>
            <w:r>
              <w:rPr>
                <w:rFonts w:hint="eastAsia" w:ascii="宋体" w:hAnsi="宋体" w:cs="仿宋"/>
                <w:color w:val="000000"/>
                <w:sz w:val="28"/>
                <w:szCs w:val="28"/>
              </w:rPr>
              <w:t>我站牢固树立大局意识，继续认真完成扬尘治理、文明卫生城市迎检、劳务实名制、优化营商环境和行政审批制度改革等其他中心工作。</w:t>
            </w:r>
            <w:r>
              <w:rPr>
                <w:rFonts w:hint="eastAsia" w:ascii="宋体" w:hAnsi="宋体" w:cs="仿宋"/>
                <w:b/>
                <w:bCs/>
                <w:color w:val="000000"/>
                <w:sz w:val="28"/>
                <w:szCs w:val="28"/>
              </w:rPr>
              <w:t>一是建筑工地扬尘防治常态化。</w:t>
            </w:r>
            <w:r>
              <w:rPr>
                <w:rFonts w:hint="eastAsia" w:ascii="宋体" w:hAnsi="宋体" w:cs="仿宋"/>
                <w:color w:val="000000"/>
                <w:sz w:val="28"/>
                <w:szCs w:val="28"/>
              </w:rPr>
              <w:t>在日常监督中，做到扬尘污染随时发现、随时制止、随时处理，单位主要领导不定期组织突击性检查，通过红黄牌警示、立案查处等强有力的手段，严格落实“蓝天保卫战”的要求，履行好监督职责。</w:t>
            </w:r>
            <w:r>
              <w:rPr>
                <w:rFonts w:hint="eastAsia" w:ascii="宋体" w:hAnsi="宋体" w:cs="仿宋"/>
                <w:b/>
                <w:bCs/>
                <w:color w:val="000000"/>
                <w:sz w:val="28"/>
                <w:szCs w:val="28"/>
              </w:rPr>
              <w:t>二是优化营商环境。</w:t>
            </w:r>
            <w:r>
              <w:rPr>
                <w:rFonts w:hint="eastAsia" w:ascii="宋体" w:hAnsi="宋体" w:cs="仿宋"/>
                <w:color w:val="000000"/>
                <w:sz w:val="28"/>
                <w:szCs w:val="28"/>
              </w:rPr>
              <w:t>在全面优化营商环境和深化改革要求下，认真学习和贯彻市委、政府优化营商环境的要求。坚持以人民为中心，以服务对象为中心，以服务对象满意为目标，不断转变工作方式和改善工作态度，务求公正廉明开展工作。在国家营商环境测评考试时，我站独立负责建筑许可一级指标中</w:t>
            </w:r>
            <w:r>
              <w:rPr>
                <w:rFonts w:ascii="宋体" w:hAnsi="宋体" w:cs="仿宋"/>
                <w:color w:val="000000"/>
                <w:sz w:val="28"/>
                <w:szCs w:val="28"/>
              </w:rPr>
              <w:t>3</w:t>
            </w:r>
            <w:r>
              <w:rPr>
                <w:rFonts w:hint="eastAsia" w:ascii="宋体" w:hAnsi="宋体" w:cs="仿宋"/>
                <w:color w:val="000000"/>
                <w:sz w:val="28"/>
                <w:szCs w:val="28"/>
              </w:rPr>
              <w:t>个二级测评指标之一的质量指数控制指标，并派出</w:t>
            </w:r>
            <w:r>
              <w:rPr>
                <w:rFonts w:ascii="宋体" w:hAnsi="宋体" w:cs="仿宋"/>
                <w:color w:val="000000"/>
                <w:sz w:val="28"/>
                <w:szCs w:val="28"/>
              </w:rPr>
              <w:t>1</w:t>
            </w:r>
            <w:r>
              <w:rPr>
                <w:rFonts w:hint="eastAsia" w:ascii="宋体" w:hAnsi="宋体" w:cs="仿宋"/>
                <w:color w:val="000000"/>
                <w:sz w:val="28"/>
                <w:szCs w:val="28"/>
              </w:rPr>
              <w:t>名主力选手代表全市参赛，认真搭建后台支援队伍全力支援前方填报，做到高效联动。</w:t>
            </w:r>
            <w:r>
              <w:rPr>
                <w:rFonts w:hint="eastAsia" w:ascii="宋体" w:hAnsi="宋体" w:cs="仿宋"/>
                <w:b/>
                <w:bCs/>
                <w:color w:val="000000"/>
                <w:sz w:val="28"/>
                <w:szCs w:val="28"/>
              </w:rPr>
              <w:t>三是加强特殊时期安全防范工作。</w:t>
            </w:r>
            <w:r>
              <w:rPr>
                <w:rFonts w:hint="eastAsia" w:ascii="宋体" w:hAnsi="宋体" w:cs="仿宋"/>
                <w:color w:val="000000"/>
                <w:sz w:val="28"/>
                <w:szCs w:val="28"/>
              </w:rPr>
              <w:t>大风、大雨、严寒等恶劣极端天气发生时，我站强化预警和应急响应，督促项目强化预防措施，做好隐患排查，建立应急值班制度，确保安全平稳，人民生命财产得到保障。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82" w:hRule="atLeast"/>
          <w:jc w:val="center"/>
        </w:trPr>
        <w:tc>
          <w:tcPr>
            <w:tcW w:w="1654" w:type="dxa"/>
            <w:vAlign w:val="center"/>
          </w:tcPr>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r>
              <w:rPr>
                <w:rFonts w:hint="eastAsia" w:ascii="宋体" w:hAnsi="宋体" w:cs="仿宋_GB2312"/>
                <w:color w:val="000000"/>
                <w:spacing w:val="-6"/>
                <w:sz w:val="28"/>
                <w:szCs w:val="28"/>
              </w:rPr>
              <w:t>总体运行情况及取得的成绩</w:t>
            </w: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r>
              <w:rPr>
                <w:rFonts w:hint="eastAsia" w:ascii="宋体" w:hAnsi="宋体" w:cs="仿宋_GB2312"/>
                <w:color w:val="000000"/>
                <w:spacing w:val="-6"/>
                <w:sz w:val="28"/>
                <w:szCs w:val="28"/>
              </w:rPr>
              <w:t>总体运行情况及取得的成绩</w:t>
            </w: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r>
              <w:rPr>
                <w:rFonts w:hint="eastAsia" w:ascii="宋体" w:hAnsi="宋体" w:cs="仿宋_GB2312"/>
                <w:color w:val="000000"/>
                <w:spacing w:val="-6"/>
                <w:sz w:val="28"/>
                <w:szCs w:val="28"/>
              </w:rPr>
              <w:t>总体运行情况及取得的成绩</w:t>
            </w: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p>
            <w:pPr>
              <w:autoSpaceDN w:val="0"/>
              <w:spacing w:line="320" w:lineRule="exact"/>
              <w:jc w:val="center"/>
              <w:textAlignment w:val="center"/>
              <w:rPr>
                <w:rFonts w:ascii="宋体" w:cs="仿宋_GB2312"/>
                <w:color w:val="000000"/>
                <w:spacing w:val="-6"/>
                <w:sz w:val="28"/>
                <w:szCs w:val="28"/>
              </w:rPr>
            </w:pPr>
          </w:p>
        </w:tc>
        <w:tc>
          <w:tcPr>
            <w:tcW w:w="7740" w:type="dxa"/>
            <w:gridSpan w:val="18"/>
            <w:vAlign w:val="center"/>
          </w:tcPr>
          <w:p>
            <w:pPr>
              <w:spacing w:line="630" w:lineRule="exact"/>
              <w:ind w:firstLine="560" w:firstLineChars="200"/>
              <w:textAlignment w:val="baseline"/>
              <w:rPr>
                <w:rFonts w:ascii="宋体" w:cs="黑体"/>
                <w:sz w:val="28"/>
                <w:szCs w:val="28"/>
              </w:rPr>
            </w:pPr>
            <w:r>
              <w:rPr>
                <w:rFonts w:hint="eastAsia" w:ascii="宋体" w:hAnsi="宋体" w:cs="黑体"/>
                <w:sz w:val="28"/>
                <w:szCs w:val="28"/>
              </w:rPr>
              <w:t>一、取得的工作成效</w:t>
            </w:r>
          </w:p>
          <w:p>
            <w:pPr>
              <w:spacing w:line="630" w:lineRule="exact"/>
              <w:ind w:firstLine="560" w:firstLineChars="200"/>
              <w:textAlignment w:val="baseline"/>
              <w:rPr>
                <w:rFonts w:ascii="宋体" w:cs="楷体"/>
                <w:sz w:val="28"/>
                <w:szCs w:val="28"/>
              </w:rPr>
            </w:pPr>
            <w:r>
              <w:rPr>
                <w:rFonts w:hint="eastAsia" w:ascii="宋体" w:hAnsi="宋体" w:cs="楷体"/>
                <w:sz w:val="28"/>
                <w:szCs w:val="28"/>
              </w:rPr>
              <w:t>（一）抓党建，单位政治能力显著提升</w:t>
            </w:r>
          </w:p>
          <w:p>
            <w:pPr>
              <w:spacing w:line="630" w:lineRule="exact"/>
              <w:ind w:firstLine="560" w:firstLineChars="200"/>
              <w:textAlignment w:val="baseline"/>
              <w:rPr>
                <w:rFonts w:ascii="宋体" w:cs="仿宋"/>
                <w:sz w:val="28"/>
                <w:szCs w:val="28"/>
              </w:rPr>
            </w:pPr>
            <w:r>
              <w:rPr>
                <w:rFonts w:hint="eastAsia" w:ascii="宋体" w:hAnsi="宋体" w:cs="仿宋"/>
                <w:sz w:val="28"/>
                <w:szCs w:val="28"/>
              </w:rPr>
              <w:t>过去的一年，始终坚持党建引领全站工作，以习近平新时代中国特色社会主义思想为指导，始终把政治建设摆在首位，引导全体干部职工提高政治站位，增强“四个意识”，坚定“四个自信”，做到“两个维护”。一是以为人民服务为中心。多次开展“党员进企业、进工地”活动，实现党建与监督工作紧密结合。二是强化理论学习基石。加强支部“五化”建设，确保学习成效。三是加强党的阵地建设。夯实基层组织建设和积极开展文明单位创建活动，让组织生活丰富多样。市级文明单位创建正待验收通过。四是提升战斗堡垒作用。树典型、学先进，营造学比赶超的浓厚氛围。五是加强党风廉政建设。所有干部职工年度签订廉政承诺书和安全生产责任状，监督人员向所有项目作出“十不准”廉洁承诺。</w:t>
            </w:r>
          </w:p>
          <w:p>
            <w:pPr>
              <w:spacing w:line="630" w:lineRule="exact"/>
              <w:ind w:firstLine="560" w:firstLineChars="200"/>
              <w:textAlignment w:val="baseline"/>
              <w:rPr>
                <w:rFonts w:ascii="宋体" w:cs="楷体"/>
                <w:sz w:val="28"/>
                <w:szCs w:val="28"/>
              </w:rPr>
            </w:pPr>
            <w:r>
              <w:rPr>
                <w:rFonts w:hint="eastAsia" w:ascii="宋体" w:hAnsi="宋体" w:cs="楷体"/>
                <w:sz w:val="28"/>
                <w:szCs w:val="28"/>
              </w:rPr>
              <w:t>（二）抓队伍，职工整体素质显著提升</w:t>
            </w:r>
          </w:p>
          <w:p>
            <w:pPr>
              <w:spacing w:line="630" w:lineRule="exact"/>
              <w:ind w:firstLine="560" w:firstLineChars="200"/>
              <w:textAlignment w:val="baseline"/>
              <w:rPr>
                <w:rFonts w:ascii="宋体" w:cs="仿宋"/>
                <w:sz w:val="28"/>
                <w:szCs w:val="28"/>
              </w:rPr>
            </w:pPr>
            <w:r>
              <w:rPr>
                <w:rFonts w:ascii="宋体" w:hAnsi="宋体" w:cs="仿宋"/>
                <w:color w:val="000000"/>
                <w:sz w:val="28"/>
                <w:szCs w:val="28"/>
              </w:rPr>
              <w:t>2020</w:t>
            </w:r>
            <w:r>
              <w:rPr>
                <w:rFonts w:hint="eastAsia" w:ascii="宋体" w:hAnsi="宋体" w:cs="仿宋"/>
                <w:color w:val="000000"/>
                <w:sz w:val="28"/>
                <w:szCs w:val="28"/>
              </w:rPr>
              <w:t>年</w:t>
            </w:r>
            <w:r>
              <w:rPr>
                <w:rFonts w:ascii="宋体" w:hAnsi="宋体" w:cs="仿宋"/>
                <w:color w:val="000000"/>
                <w:sz w:val="28"/>
                <w:szCs w:val="28"/>
              </w:rPr>
              <w:t>5</w:t>
            </w:r>
            <w:r>
              <w:rPr>
                <w:rFonts w:hint="eastAsia" w:ascii="宋体" w:hAnsi="宋体" w:cs="仿宋"/>
                <w:color w:val="000000"/>
                <w:sz w:val="28"/>
                <w:szCs w:val="28"/>
              </w:rPr>
              <w:t>月，原市质安监站、房屋安全鉴定办、劳保办、室内装修办组建岳阳市建设工程质量安全监督站，设立岳阳楼区分站、经开区分站、新港区分站、房屋安全和装饰装修分站等</w:t>
            </w:r>
            <w:r>
              <w:rPr>
                <w:rFonts w:ascii="宋体" w:hAnsi="宋体" w:cs="仿宋"/>
                <w:color w:val="000000"/>
                <w:sz w:val="28"/>
                <w:szCs w:val="28"/>
              </w:rPr>
              <w:t>4</w:t>
            </w:r>
            <w:r>
              <w:rPr>
                <w:rFonts w:hint="eastAsia" w:ascii="宋体" w:hAnsi="宋体" w:cs="仿宋"/>
                <w:color w:val="000000"/>
                <w:sz w:val="28"/>
                <w:szCs w:val="28"/>
              </w:rPr>
              <w:t>个分支机构。新单位成立后，在新班子的带领下不断促进工作融合、人员融合，形成了较为稳定、顺畅的工作机制。</w:t>
            </w:r>
            <w:r>
              <w:rPr>
                <w:rFonts w:hint="eastAsia" w:ascii="宋体" w:hAnsi="宋体" w:cs="仿宋"/>
                <w:sz w:val="28"/>
                <w:szCs w:val="28"/>
              </w:rPr>
              <w:t>一方面，我站坚持任人唯贤、任人为能，多人被推荐和提拔到领导岗位，干部档案清理、人事报表及时准确，无人员被问责。另一方面，狠抓意识形态教育和专业技术教育，不断提高队伍理论水平和专业素质，全体职工的责任意识、担当意识、大局意识和服务意识显著提高，干部队伍德能勤绩廉全面达标，干部职工敢拼搏、敢担当、敢创新，打造了一支立场坚定、为民服务的监督队伍。</w:t>
            </w:r>
          </w:p>
          <w:p>
            <w:pPr>
              <w:spacing w:line="630" w:lineRule="exact"/>
              <w:ind w:firstLine="560" w:firstLineChars="200"/>
              <w:textAlignment w:val="baseline"/>
              <w:rPr>
                <w:rFonts w:ascii="宋体" w:cs="楷体"/>
                <w:sz w:val="28"/>
                <w:szCs w:val="28"/>
              </w:rPr>
            </w:pPr>
            <w:r>
              <w:rPr>
                <w:rFonts w:hint="eastAsia" w:ascii="宋体" w:hAnsi="宋体" w:cs="楷体"/>
                <w:sz w:val="28"/>
                <w:szCs w:val="28"/>
              </w:rPr>
              <w:t>（三）抓主业，质量安全水平显著提升</w:t>
            </w:r>
          </w:p>
          <w:p>
            <w:pPr>
              <w:spacing w:line="630" w:lineRule="exact"/>
              <w:ind w:firstLine="560" w:firstLineChars="200"/>
              <w:textAlignment w:val="baseline"/>
              <w:rPr>
                <w:rFonts w:ascii="宋体" w:cs="仿宋"/>
                <w:sz w:val="28"/>
                <w:szCs w:val="28"/>
              </w:rPr>
            </w:pPr>
            <w:r>
              <w:rPr>
                <w:rFonts w:hint="eastAsia" w:ascii="宋体" w:hAnsi="宋体" w:cs="仿宋"/>
                <w:sz w:val="28"/>
                <w:szCs w:val="28"/>
              </w:rPr>
              <w:t>服务经济新常态和供给侧结构性改革是迈进质量时代的总任务。我站始终坚持严格监管就是最好服务的工作理念，做好工程质量安全的“监督卫士”和人民群众利益的“护卫队”；始终坚持让人民群众过上有质量、有品质的生活，搞好质量服务，让企业生产更高品质的产品，促进全市经济社会更高质量的发展；始终坚持以质量安全监督为主业，通过优化监管模式、创新监管方式等手段全面提高质量服务的供给能力。</w:t>
            </w:r>
          </w:p>
          <w:p>
            <w:pPr>
              <w:spacing w:line="630" w:lineRule="exact"/>
              <w:ind w:firstLine="560" w:firstLineChars="200"/>
              <w:textAlignment w:val="baseline"/>
              <w:rPr>
                <w:rFonts w:ascii="宋体" w:cs="仿宋"/>
                <w:sz w:val="28"/>
                <w:szCs w:val="28"/>
              </w:rPr>
            </w:pPr>
            <w:r>
              <w:rPr>
                <w:rFonts w:hint="eastAsia" w:ascii="宋体" w:hAnsi="宋体" w:cs="仿宋"/>
                <w:sz w:val="28"/>
                <w:szCs w:val="28"/>
              </w:rPr>
              <w:t>一直以来，我站不断调整监管模式，逐渐由“保姆式”向“教练式”转变，倒逼企业落实主体责任，监督从强执法转变；不断丰富监督手段，通过第三方抽检、红黄牌警示、差别化管理、部门联动联合惩戒等手段，将政府监督、社会监督、舆论监督结合起来形成合力，特别是加大媒体曝光力度，每年至少两次在日报、晚报等媒体曝光企业违规行为，起到了很好的警示震慑效果；不断加大处罚力度，深入开展“打非治违”工作，实施一案多查、以案释法，全年立案数十起，经济处罚数百万元。</w:t>
            </w:r>
          </w:p>
          <w:p>
            <w:pPr>
              <w:spacing w:line="630" w:lineRule="exact"/>
              <w:ind w:firstLine="560" w:firstLineChars="200"/>
              <w:textAlignment w:val="baseline"/>
              <w:rPr>
                <w:rFonts w:ascii="宋体" w:cs="仿宋"/>
                <w:sz w:val="28"/>
                <w:szCs w:val="28"/>
              </w:rPr>
            </w:pPr>
            <w:r>
              <w:rPr>
                <w:rFonts w:hint="eastAsia" w:ascii="宋体" w:hAnsi="宋体" w:cs="仿宋"/>
                <w:sz w:val="28"/>
                <w:szCs w:val="28"/>
              </w:rPr>
              <w:t>随着监管的进一步规范化，企业的质量安全意识和尊法守法意识逐渐提高，争先创优的积极性更强，施工现场的管理更标准、更规范，违法施工、违章作业的现象明显减少，人民群众的投诉逐渐减少，工程质量安全水平逐步提高。</w:t>
            </w:r>
          </w:p>
          <w:p>
            <w:pPr>
              <w:spacing w:line="630" w:lineRule="exact"/>
              <w:ind w:firstLine="560" w:firstLineChars="200"/>
              <w:textAlignment w:val="baseline"/>
              <w:rPr>
                <w:rFonts w:ascii="宋体" w:cs="楷体"/>
                <w:sz w:val="28"/>
                <w:szCs w:val="28"/>
              </w:rPr>
            </w:pPr>
            <w:r>
              <w:rPr>
                <w:rFonts w:hint="eastAsia" w:ascii="宋体" w:hAnsi="宋体" w:cs="楷体"/>
                <w:sz w:val="28"/>
                <w:szCs w:val="28"/>
              </w:rPr>
              <w:t>（四）抓制度，工作作风效能显著提升</w:t>
            </w:r>
          </w:p>
          <w:p>
            <w:pPr>
              <w:spacing w:line="630" w:lineRule="exact"/>
              <w:ind w:firstLine="560" w:firstLineChars="200"/>
              <w:textAlignment w:val="baseline"/>
              <w:rPr>
                <w:rFonts w:ascii="宋体" w:cs="仿宋"/>
                <w:sz w:val="28"/>
                <w:szCs w:val="28"/>
              </w:rPr>
            </w:pPr>
            <w:r>
              <w:rPr>
                <w:rFonts w:hint="eastAsia" w:ascii="宋体" w:hAnsi="宋体" w:cs="仿宋"/>
                <w:sz w:val="28"/>
                <w:szCs w:val="28"/>
              </w:rPr>
              <w:t>认真谋划、主动作为，深化监督体系建设。在业务管理方面，严格贯彻执行全省监督规范化管理要求，细化质量安全监督注册、开工条件审查、监督分部工程验收和竣工验收、质量安全标准化考评、监督检查等业务工作制度。创新工作思路，先后选调</w:t>
            </w:r>
            <w:r>
              <w:rPr>
                <w:rFonts w:ascii="宋体" w:hAnsi="宋体" w:cs="仿宋"/>
                <w:sz w:val="28"/>
                <w:szCs w:val="28"/>
              </w:rPr>
              <w:t>10</w:t>
            </w:r>
            <w:r>
              <w:rPr>
                <w:rFonts w:hint="eastAsia" w:ascii="宋体" w:hAnsi="宋体" w:cs="仿宋"/>
                <w:sz w:val="28"/>
                <w:szCs w:val="28"/>
              </w:rPr>
              <w:t>多名县市区监督人员在市站跟班学习、监督工程师实施一月一考核，一年一测评，定期开展业务培训和廉政教育，确保人员业务水平不掉队，思想水平不落后。在内部管理方面，坚持不破不立原则，建立包含办文、学习、信息报送、财务等</w:t>
            </w:r>
            <w:r>
              <w:rPr>
                <w:rFonts w:ascii="宋体" w:hAnsi="宋体" w:cs="仿宋"/>
                <w:sz w:val="28"/>
                <w:szCs w:val="28"/>
              </w:rPr>
              <w:t>20</w:t>
            </w:r>
            <w:r>
              <w:rPr>
                <w:rFonts w:hint="eastAsia" w:ascii="宋体" w:hAnsi="宋体" w:cs="仿宋"/>
                <w:sz w:val="28"/>
                <w:szCs w:val="28"/>
              </w:rPr>
              <w:t>多个内部工作制度制（修）订，利用纪监手段，强化制度执行，打造“学习型机关、效能型机关、服务型机关”。</w:t>
            </w:r>
          </w:p>
          <w:p>
            <w:pPr>
              <w:spacing w:line="630" w:lineRule="exact"/>
              <w:ind w:firstLine="560" w:firstLineChars="200"/>
              <w:textAlignment w:val="baseline"/>
              <w:rPr>
                <w:rFonts w:ascii="宋体" w:cs="仿宋"/>
                <w:sz w:val="28"/>
                <w:szCs w:val="28"/>
              </w:rPr>
            </w:pPr>
            <w:r>
              <w:rPr>
                <w:rFonts w:hint="eastAsia" w:ascii="宋体" w:hAnsi="宋体" w:cs="仿宋"/>
                <w:color w:val="000000"/>
                <w:sz w:val="28"/>
                <w:szCs w:val="28"/>
              </w:rPr>
              <w:t>另外，</w:t>
            </w:r>
            <w:r>
              <w:rPr>
                <w:rFonts w:hint="eastAsia" w:ascii="宋体" w:hAnsi="宋体" w:cs="仿宋"/>
                <w:sz w:val="28"/>
                <w:szCs w:val="28"/>
              </w:rPr>
              <w:t>认真落实市长信箱、公众服务热线、临时接访、维稳处理、禁毒日宣传、反恐宣传、扫黑除恶等工作，积极参与平安单位建设、集中化解房地产办证信访突出问题、社会综治民调、走访生活困难党员、帮扶扶贫对象、职工体检、义务献血等活动，每次做到专人负责，定时定量完成任务。单位财务工作规范，制度健全，运转正常。工青妇群团组织活动开展正常。</w:t>
            </w: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394" w:type="dxa"/>
            <w:gridSpan w:val="19"/>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394" w:type="dxa"/>
            <w:gridSpan w:val="19"/>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b/>
                <w:bCs/>
                <w:color w:val="000000"/>
                <w:sz w:val="28"/>
                <w:szCs w:val="28"/>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vMerge w:val="restart"/>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收入合计</w:t>
            </w:r>
          </w:p>
        </w:tc>
        <w:tc>
          <w:tcPr>
            <w:tcW w:w="7740" w:type="dxa"/>
            <w:gridSpan w:val="18"/>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654" w:type="dxa"/>
            <w:vMerge w:val="continue"/>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p>
        </w:tc>
        <w:tc>
          <w:tcPr>
            <w:tcW w:w="1548" w:type="dxa"/>
            <w:gridSpan w:val="4"/>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上年结转</w:t>
            </w:r>
          </w:p>
        </w:tc>
        <w:tc>
          <w:tcPr>
            <w:tcW w:w="1548" w:type="dxa"/>
            <w:gridSpan w:val="4"/>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公共财</w:t>
            </w: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政拨款</w:t>
            </w:r>
          </w:p>
        </w:tc>
        <w:tc>
          <w:tcPr>
            <w:tcW w:w="1548" w:type="dxa"/>
            <w:gridSpan w:val="4"/>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政府基金拨款</w:t>
            </w:r>
          </w:p>
        </w:tc>
        <w:tc>
          <w:tcPr>
            <w:tcW w:w="1548" w:type="dxa"/>
            <w:gridSpan w:val="4"/>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纳入专户管理的非税收入</w:t>
            </w: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拨款</w:t>
            </w:r>
          </w:p>
        </w:tc>
        <w:tc>
          <w:tcPr>
            <w:tcW w:w="1548" w:type="dxa"/>
            <w:gridSpan w:val="2"/>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其他</w:t>
            </w:r>
          </w:p>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69" w:hRule="atLeast"/>
          <w:jc w:val="center"/>
        </w:trPr>
        <w:tc>
          <w:tcPr>
            <w:tcW w:w="1654" w:type="dxa"/>
            <w:tcBorders>
              <w:right w:val="single" w:color="auto" w:sz="4" w:space="0"/>
            </w:tcBorders>
            <w:vAlign w:val="center"/>
          </w:tcPr>
          <w:p>
            <w:pPr>
              <w:autoSpaceDN w:val="0"/>
              <w:spacing w:line="320" w:lineRule="exact"/>
              <w:jc w:val="left"/>
              <w:textAlignment w:val="center"/>
              <w:rPr>
                <w:rFonts w:ascii="宋体" w:cs="仿宋_GB2312"/>
                <w:color w:val="000000"/>
                <w:sz w:val="28"/>
                <w:szCs w:val="28"/>
              </w:rPr>
            </w:pPr>
            <w:r>
              <w:rPr>
                <w:rFonts w:ascii="宋体" w:hAnsi="宋体" w:cs="仿宋_GB2312"/>
                <w:color w:val="000000"/>
                <w:sz w:val="28"/>
                <w:szCs w:val="28"/>
              </w:rPr>
              <w:t>1267.39</w:t>
            </w:r>
          </w:p>
        </w:tc>
        <w:tc>
          <w:tcPr>
            <w:tcW w:w="1548" w:type="dxa"/>
            <w:gridSpan w:val="4"/>
            <w:tcBorders>
              <w:left w:val="single" w:color="auto" w:sz="4" w:space="0"/>
            </w:tcBorders>
            <w:vAlign w:val="center"/>
          </w:tcPr>
          <w:p>
            <w:pPr>
              <w:autoSpaceDN w:val="0"/>
              <w:spacing w:line="320" w:lineRule="exact"/>
              <w:jc w:val="left"/>
              <w:textAlignment w:val="center"/>
              <w:rPr>
                <w:rFonts w:ascii="宋体" w:cs="仿宋_GB2312"/>
                <w:color w:val="000000"/>
                <w:sz w:val="28"/>
                <w:szCs w:val="28"/>
              </w:rPr>
            </w:pPr>
            <w:r>
              <w:rPr>
                <w:rFonts w:ascii="宋体" w:hAnsi="宋体" w:cs="仿宋_GB2312"/>
                <w:color w:val="000000"/>
                <w:sz w:val="28"/>
                <w:szCs w:val="28"/>
              </w:rPr>
              <w:t>116.8</w:t>
            </w:r>
          </w:p>
        </w:tc>
        <w:tc>
          <w:tcPr>
            <w:tcW w:w="1548" w:type="dxa"/>
            <w:gridSpan w:val="4"/>
            <w:vAlign w:val="center"/>
          </w:tcPr>
          <w:p>
            <w:pPr>
              <w:autoSpaceDN w:val="0"/>
              <w:spacing w:line="320" w:lineRule="exact"/>
              <w:jc w:val="left"/>
              <w:textAlignment w:val="center"/>
              <w:rPr>
                <w:rFonts w:ascii="宋体" w:cs="仿宋_GB2312"/>
                <w:color w:val="000000"/>
                <w:sz w:val="28"/>
                <w:szCs w:val="28"/>
              </w:rPr>
            </w:pPr>
            <w:r>
              <w:rPr>
                <w:rFonts w:ascii="宋体" w:hAnsi="宋体" w:cs="仿宋_GB2312"/>
                <w:color w:val="000000"/>
                <w:sz w:val="28"/>
                <w:szCs w:val="28"/>
              </w:rPr>
              <w:t>715.59</w:t>
            </w:r>
          </w:p>
        </w:tc>
        <w:tc>
          <w:tcPr>
            <w:tcW w:w="1548" w:type="dxa"/>
            <w:gridSpan w:val="4"/>
            <w:vAlign w:val="center"/>
          </w:tcPr>
          <w:p>
            <w:pPr>
              <w:autoSpaceDN w:val="0"/>
              <w:spacing w:line="320" w:lineRule="exact"/>
              <w:jc w:val="left"/>
              <w:textAlignment w:val="center"/>
              <w:rPr>
                <w:rFonts w:ascii="宋体" w:cs="仿宋_GB2312"/>
                <w:color w:val="000000"/>
                <w:sz w:val="28"/>
                <w:szCs w:val="28"/>
              </w:rPr>
            </w:pPr>
            <w:r>
              <w:rPr>
                <w:rFonts w:ascii="宋体" w:hAnsi="宋体" w:cs="仿宋_GB2312"/>
                <w:color w:val="000000"/>
                <w:sz w:val="28"/>
                <w:szCs w:val="28"/>
              </w:rPr>
              <w:t>40</w:t>
            </w:r>
          </w:p>
        </w:tc>
        <w:tc>
          <w:tcPr>
            <w:tcW w:w="1548" w:type="dxa"/>
            <w:gridSpan w:val="4"/>
            <w:vAlign w:val="center"/>
          </w:tcPr>
          <w:p>
            <w:pPr>
              <w:autoSpaceDN w:val="0"/>
              <w:spacing w:line="320" w:lineRule="exact"/>
              <w:jc w:val="center"/>
              <w:textAlignment w:val="center"/>
              <w:rPr>
                <w:rFonts w:ascii="宋体" w:cs="仿宋_GB2312"/>
                <w:color w:val="000000"/>
                <w:sz w:val="28"/>
                <w:szCs w:val="28"/>
              </w:rPr>
            </w:pPr>
            <w:r>
              <w:rPr>
                <w:rFonts w:ascii="宋体" w:cs="仿宋_GB2312"/>
                <w:color w:val="000000"/>
                <w:sz w:val="28"/>
                <w:szCs w:val="28"/>
              </w:rPr>
              <w:t>0</w:t>
            </w:r>
          </w:p>
        </w:tc>
        <w:tc>
          <w:tcPr>
            <w:tcW w:w="1548" w:type="dxa"/>
            <w:gridSpan w:val="2"/>
            <w:vAlign w:val="center"/>
          </w:tcPr>
          <w:p>
            <w:pPr>
              <w:autoSpaceDN w:val="0"/>
              <w:spacing w:line="320" w:lineRule="exact"/>
              <w:jc w:val="left"/>
              <w:textAlignment w:val="center"/>
              <w:rPr>
                <w:rFonts w:ascii="宋体" w:cs="仿宋_GB2312"/>
                <w:color w:val="000000"/>
                <w:sz w:val="28"/>
                <w:szCs w:val="28"/>
              </w:rPr>
            </w:pPr>
            <w:r>
              <w:rPr>
                <w:rFonts w:ascii="宋体" w:hAnsi="宋体" w:cs="仿宋_GB2312"/>
                <w:color w:val="000000"/>
                <w:sz w:val="28"/>
                <w:szCs w:val="28"/>
              </w:rPr>
              <w:t>395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394" w:type="dxa"/>
            <w:gridSpan w:val="19"/>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b/>
                <w:bCs/>
                <w:color w:val="000000"/>
                <w:sz w:val="28"/>
                <w:szCs w:val="28"/>
              </w:rPr>
              <w:t>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66" w:hRule="atLeast"/>
          <w:jc w:val="center"/>
        </w:trPr>
        <w:tc>
          <w:tcPr>
            <w:tcW w:w="1700" w:type="dxa"/>
            <w:gridSpan w:val="2"/>
            <w:vMerge w:val="restart"/>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支出合计</w:t>
            </w:r>
          </w:p>
        </w:tc>
        <w:tc>
          <w:tcPr>
            <w:tcW w:w="1419" w:type="dxa"/>
            <w:gridSpan w:val="2"/>
            <w:vMerge w:val="restart"/>
            <w:tcBorders>
              <w:left w:val="single" w:color="auto" w:sz="4" w:space="0"/>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基本支出</w:t>
            </w:r>
          </w:p>
        </w:tc>
        <w:tc>
          <w:tcPr>
            <w:tcW w:w="2811" w:type="dxa"/>
            <w:gridSpan w:val="8"/>
            <w:tcBorders>
              <w:left w:val="single" w:color="auto" w:sz="4" w:space="0"/>
              <w:bottom w:val="single" w:color="auto" w:sz="4" w:space="0"/>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其中：</w:t>
            </w:r>
          </w:p>
        </w:tc>
        <w:tc>
          <w:tcPr>
            <w:tcW w:w="1413" w:type="dxa"/>
            <w:gridSpan w:val="3"/>
            <w:vMerge w:val="restart"/>
            <w:tcBorders>
              <w:left w:val="single" w:color="auto" w:sz="4" w:space="0"/>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项目支出</w:t>
            </w:r>
          </w:p>
        </w:tc>
        <w:tc>
          <w:tcPr>
            <w:tcW w:w="2051" w:type="dxa"/>
            <w:gridSpan w:val="4"/>
            <w:tcBorders>
              <w:left w:val="single" w:color="auto" w:sz="4" w:space="0"/>
              <w:bottom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00" w:type="dxa"/>
            <w:gridSpan w:val="2"/>
            <w:vMerge w:val="continue"/>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p>
        </w:tc>
        <w:tc>
          <w:tcPr>
            <w:tcW w:w="1419" w:type="dxa"/>
            <w:gridSpan w:val="2"/>
            <w:vMerge w:val="continue"/>
            <w:tcBorders>
              <w:left w:val="single" w:color="auto" w:sz="4" w:space="0"/>
              <w:right w:val="single" w:color="auto" w:sz="4" w:space="0"/>
            </w:tcBorders>
            <w:vAlign w:val="center"/>
          </w:tcPr>
          <w:p>
            <w:pPr>
              <w:autoSpaceDN w:val="0"/>
              <w:spacing w:line="320" w:lineRule="exact"/>
              <w:jc w:val="center"/>
              <w:textAlignment w:val="center"/>
              <w:rPr>
                <w:rFonts w:ascii="宋体" w:cs="仿宋_GB2312"/>
                <w:color w:val="000000"/>
                <w:sz w:val="28"/>
                <w:szCs w:val="28"/>
              </w:rPr>
            </w:pPr>
          </w:p>
        </w:tc>
        <w:tc>
          <w:tcPr>
            <w:tcW w:w="1401" w:type="dxa"/>
            <w:gridSpan w:val="4"/>
            <w:tcBorders>
              <w:top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人员支出</w:t>
            </w:r>
          </w:p>
        </w:tc>
        <w:tc>
          <w:tcPr>
            <w:tcW w:w="1410" w:type="dxa"/>
            <w:gridSpan w:val="4"/>
            <w:tcBorders>
              <w:top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公用支出</w:t>
            </w:r>
          </w:p>
        </w:tc>
        <w:tc>
          <w:tcPr>
            <w:tcW w:w="1413" w:type="dxa"/>
            <w:gridSpan w:val="3"/>
            <w:vMerge w:val="continue"/>
            <w:tcBorders>
              <w:left w:val="single" w:color="auto" w:sz="4" w:space="0"/>
              <w:right w:val="single" w:color="auto" w:sz="4" w:space="0"/>
            </w:tcBorders>
            <w:vAlign w:val="center"/>
          </w:tcPr>
          <w:p>
            <w:pPr>
              <w:autoSpaceDN w:val="0"/>
              <w:spacing w:line="320" w:lineRule="exact"/>
              <w:jc w:val="center"/>
              <w:textAlignment w:val="center"/>
              <w:rPr>
                <w:rFonts w:ascii="宋体" w:cs="仿宋_GB2312"/>
                <w:color w:val="000000"/>
                <w:sz w:val="28"/>
                <w:szCs w:val="28"/>
              </w:rPr>
            </w:pPr>
          </w:p>
        </w:tc>
        <w:tc>
          <w:tcPr>
            <w:tcW w:w="1061" w:type="dxa"/>
            <w:gridSpan w:val="3"/>
            <w:tcBorders>
              <w:top w:val="single" w:color="auto" w:sz="4" w:space="0"/>
              <w:left w:val="single" w:color="auto" w:sz="4" w:space="0"/>
              <w:right w:val="single" w:color="auto" w:sz="4" w:space="0"/>
            </w:tcBorders>
            <w:vAlign w:val="center"/>
          </w:tcPr>
          <w:p>
            <w:pPr>
              <w:autoSpaceDN w:val="0"/>
              <w:spacing w:line="320" w:lineRule="exact"/>
              <w:textAlignment w:val="center"/>
              <w:rPr>
                <w:rFonts w:ascii="宋体" w:cs="仿宋_GB2312"/>
                <w:color w:val="000000"/>
                <w:sz w:val="28"/>
                <w:szCs w:val="28"/>
              </w:rPr>
            </w:pPr>
            <w:r>
              <w:rPr>
                <w:rFonts w:hint="eastAsia" w:ascii="宋体" w:hAnsi="宋体" w:cs="仿宋_GB2312"/>
                <w:color w:val="000000"/>
                <w:sz w:val="28"/>
                <w:szCs w:val="28"/>
              </w:rPr>
              <w:t>当年结余</w:t>
            </w:r>
          </w:p>
        </w:tc>
        <w:tc>
          <w:tcPr>
            <w:tcW w:w="990" w:type="dxa"/>
            <w:tcBorders>
              <w:top w:val="single" w:color="auto" w:sz="4" w:space="0"/>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1116.03</w:t>
            </w:r>
          </w:p>
        </w:tc>
        <w:tc>
          <w:tcPr>
            <w:tcW w:w="1410" w:type="dxa"/>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820.73</w:t>
            </w:r>
          </w:p>
        </w:tc>
        <w:tc>
          <w:tcPr>
            <w:tcW w:w="1410" w:type="dxa"/>
            <w:gridSpan w:val="5"/>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817.49</w:t>
            </w:r>
          </w:p>
        </w:tc>
        <w:tc>
          <w:tcPr>
            <w:tcW w:w="1410" w:type="dxa"/>
            <w:gridSpan w:val="4"/>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3.24</w:t>
            </w:r>
          </w:p>
        </w:tc>
        <w:tc>
          <w:tcPr>
            <w:tcW w:w="1413" w:type="dxa"/>
            <w:gridSpan w:val="3"/>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295.3</w:t>
            </w:r>
          </w:p>
        </w:tc>
        <w:tc>
          <w:tcPr>
            <w:tcW w:w="1061" w:type="dxa"/>
            <w:gridSpan w:val="3"/>
            <w:tcBorders>
              <w:left w:val="single" w:color="auto" w:sz="4" w:space="0"/>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151.36</w:t>
            </w:r>
          </w:p>
        </w:tc>
        <w:tc>
          <w:tcPr>
            <w:tcW w:w="990" w:type="dxa"/>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151.36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jc w:val="center"/>
        </w:trPr>
        <w:tc>
          <w:tcPr>
            <w:tcW w:w="1700" w:type="dxa"/>
            <w:gridSpan w:val="2"/>
            <w:vMerge w:val="restart"/>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三公经费合计</w:t>
            </w:r>
          </w:p>
        </w:tc>
        <w:tc>
          <w:tcPr>
            <w:tcW w:w="7694" w:type="dxa"/>
            <w:gridSpan w:val="17"/>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p>
        </w:tc>
        <w:tc>
          <w:tcPr>
            <w:tcW w:w="1923" w:type="dxa"/>
            <w:gridSpan w:val="4"/>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公务接待费</w:t>
            </w:r>
          </w:p>
        </w:tc>
        <w:tc>
          <w:tcPr>
            <w:tcW w:w="1923" w:type="dxa"/>
            <w:gridSpan w:val="5"/>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公务用车运维费</w:t>
            </w:r>
          </w:p>
        </w:tc>
        <w:tc>
          <w:tcPr>
            <w:tcW w:w="1923" w:type="dxa"/>
            <w:gridSpan w:val="5"/>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公务用车购置费</w:t>
            </w:r>
          </w:p>
        </w:tc>
        <w:tc>
          <w:tcPr>
            <w:tcW w:w="1925" w:type="dxa"/>
            <w:gridSpan w:val="3"/>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1.05</w:t>
            </w:r>
          </w:p>
        </w:tc>
        <w:tc>
          <w:tcPr>
            <w:tcW w:w="1923" w:type="dxa"/>
            <w:gridSpan w:val="4"/>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cs="仿宋_GB2312"/>
                <w:color w:val="000000"/>
                <w:sz w:val="28"/>
                <w:szCs w:val="28"/>
              </w:rPr>
              <w:t>0</w:t>
            </w:r>
          </w:p>
        </w:tc>
        <w:tc>
          <w:tcPr>
            <w:tcW w:w="1923" w:type="dxa"/>
            <w:gridSpan w:val="5"/>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1.05</w:t>
            </w:r>
          </w:p>
        </w:tc>
        <w:tc>
          <w:tcPr>
            <w:tcW w:w="1923" w:type="dxa"/>
            <w:gridSpan w:val="5"/>
            <w:vAlign w:val="center"/>
          </w:tcPr>
          <w:p>
            <w:pPr>
              <w:autoSpaceDN w:val="0"/>
              <w:spacing w:line="320" w:lineRule="exact"/>
              <w:jc w:val="center"/>
              <w:textAlignment w:val="center"/>
              <w:rPr>
                <w:rFonts w:ascii="宋体" w:cs="仿宋_GB2312"/>
                <w:color w:val="000000"/>
                <w:sz w:val="28"/>
                <w:szCs w:val="28"/>
              </w:rPr>
            </w:pPr>
            <w:r>
              <w:rPr>
                <w:rFonts w:ascii="宋体" w:cs="仿宋_GB2312"/>
                <w:color w:val="000000"/>
                <w:sz w:val="28"/>
                <w:szCs w:val="28"/>
              </w:rPr>
              <w:t>0</w:t>
            </w:r>
          </w:p>
        </w:tc>
        <w:tc>
          <w:tcPr>
            <w:tcW w:w="1925" w:type="dxa"/>
            <w:gridSpan w:val="3"/>
            <w:vAlign w:val="center"/>
          </w:tcPr>
          <w:p>
            <w:pPr>
              <w:autoSpaceDN w:val="0"/>
              <w:spacing w:line="320" w:lineRule="exact"/>
              <w:jc w:val="center"/>
              <w:textAlignment w:val="center"/>
              <w:rPr>
                <w:rFonts w:ascii="宋体" w:cs="仿宋_GB2312"/>
                <w:color w:val="000000"/>
                <w:sz w:val="28"/>
                <w:szCs w:val="28"/>
              </w:rPr>
            </w:pPr>
            <w:r>
              <w:rPr>
                <w:rFonts w:ascii="宋体" w:cs="仿宋_GB2312"/>
                <w:color w:val="000000"/>
                <w:sz w:val="28"/>
                <w:szCs w:val="28"/>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jc w:val="center"/>
        </w:trPr>
        <w:tc>
          <w:tcPr>
            <w:tcW w:w="1700" w:type="dxa"/>
            <w:gridSpan w:val="2"/>
            <w:vMerge w:val="restart"/>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固定资产合计</w:t>
            </w:r>
          </w:p>
        </w:tc>
        <w:tc>
          <w:tcPr>
            <w:tcW w:w="5331" w:type="dxa"/>
            <w:gridSpan w:val="12"/>
            <w:tcBorders>
              <w:left w:val="single" w:color="auto" w:sz="4" w:space="0"/>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其中：</w:t>
            </w:r>
          </w:p>
        </w:tc>
        <w:tc>
          <w:tcPr>
            <w:tcW w:w="2363" w:type="dxa"/>
            <w:gridSpan w:val="5"/>
            <w:vMerge w:val="restart"/>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p>
        </w:tc>
        <w:tc>
          <w:tcPr>
            <w:tcW w:w="2665" w:type="dxa"/>
            <w:gridSpan w:val="5"/>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在用固定资产</w:t>
            </w:r>
          </w:p>
        </w:tc>
        <w:tc>
          <w:tcPr>
            <w:tcW w:w="2666" w:type="dxa"/>
            <w:gridSpan w:val="7"/>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hint="eastAsia" w:ascii="宋体" w:hAnsi="宋体" w:cs="仿宋_GB2312"/>
                <w:color w:val="000000"/>
                <w:sz w:val="28"/>
                <w:szCs w:val="28"/>
              </w:rPr>
              <w:t>出租固定资产</w:t>
            </w:r>
          </w:p>
        </w:tc>
        <w:tc>
          <w:tcPr>
            <w:tcW w:w="2363" w:type="dxa"/>
            <w:gridSpan w:val="5"/>
            <w:vMerge w:val="continue"/>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590.64</w:t>
            </w:r>
          </w:p>
        </w:tc>
        <w:tc>
          <w:tcPr>
            <w:tcW w:w="2665" w:type="dxa"/>
            <w:gridSpan w:val="5"/>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hAnsi="宋体" w:cs="仿宋_GB2312"/>
                <w:color w:val="000000"/>
                <w:sz w:val="28"/>
                <w:szCs w:val="28"/>
              </w:rPr>
              <w:t>590.64</w:t>
            </w:r>
          </w:p>
        </w:tc>
        <w:tc>
          <w:tcPr>
            <w:tcW w:w="2666" w:type="dxa"/>
            <w:gridSpan w:val="7"/>
            <w:tcBorders>
              <w:righ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cs="仿宋_GB2312"/>
                <w:color w:val="000000"/>
                <w:sz w:val="28"/>
                <w:szCs w:val="28"/>
              </w:rPr>
              <w:t>0</w:t>
            </w:r>
          </w:p>
        </w:tc>
        <w:tc>
          <w:tcPr>
            <w:tcW w:w="2363" w:type="dxa"/>
            <w:gridSpan w:val="5"/>
            <w:tcBorders>
              <w:left w:val="single" w:color="auto" w:sz="4" w:space="0"/>
            </w:tcBorders>
            <w:vAlign w:val="center"/>
          </w:tcPr>
          <w:p>
            <w:pPr>
              <w:autoSpaceDN w:val="0"/>
              <w:spacing w:line="320" w:lineRule="exact"/>
              <w:jc w:val="center"/>
              <w:textAlignment w:val="center"/>
              <w:rPr>
                <w:rFonts w:ascii="宋体" w:cs="仿宋_GB2312"/>
                <w:color w:val="000000"/>
                <w:sz w:val="28"/>
                <w:szCs w:val="28"/>
              </w:rPr>
            </w:pPr>
            <w:r>
              <w:rPr>
                <w:rFonts w:ascii="宋体" w:cs="仿宋_GB2312"/>
                <w:color w:val="000000"/>
                <w:sz w:val="28"/>
                <w:szCs w:val="28"/>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394" w:type="dxa"/>
            <w:gridSpan w:val="19"/>
            <w:vAlign w:val="center"/>
          </w:tcPr>
          <w:p>
            <w:pPr>
              <w:autoSpaceDN w:val="0"/>
              <w:spacing w:beforeLines="50" w:line="320" w:lineRule="exact"/>
              <w:ind w:firstLine="280" w:firstLineChars="100"/>
              <w:jc w:val="left"/>
              <w:textAlignment w:val="center"/>
              <w:rPr>
                <w:rFonts w:ascii="宋体" w:cs="仿宋_GB2312"/>
                <w:color w:val="000000"/>
                <w:sz w:val="28"/>
                <w:szCs w:val="28"/>
              </w:rPr>
            </w:pPr>
            <w:r>
              <w:rPr>
                <w:rFonts w:hint="eastAsia" w:ascii="宋体" w:hAnsi="宋体" w:cs="仿宋_GB2312"/>
                <w:color w:val="000000"/>
                <w:sz w:val="28"/>
                <w:szCs w:val="28"/>
              </w:rPr>
              <w:t>单位领导（签字）：</w:t>
            </w: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p>
          <w:p>
            <w:pPr>
              <w:autoSpaceDN w:val="0"/>
              <w:spacing w:line="320" w:lineRule="exact"/>
              <w:jc w:val="left"/>
              <w:textAlignment w:val="center"/>
              <w:rPr>
                <w:rFonts w:ascii="宋体" w:cs="仿宋_GB2312"/>
                <w:color w:val="000000"/>
                <w:sz w:val="28"/>
                <w:szCs w:val="28"/>
              </w:rPr>
            </w:pPr>
            <w:r>
              <w:rPr>
                <w:rFonts w:ascii="宋体" w:hAnsi="宋体" w:cs="仿宋_GB2312"/>
                <w:color w:val="000000"/>
                <w:sz w:val="28"/>
                <w:szCs w:val="28"/>
              </w:rPr>
              <w:t xml:space="preserve">                                                                 </w:t>
            </w:r>
            <w:r>
              <w:rPr>
                <w:rFonts w:hint="eastAsia" w:ascii="宋体" w:hAnsi="宋体" w:cs="仿宋_GB2312"/>
                <w:color w:val="000000"/>
                <w:sz w:val="28"/>
                <w:szCs w:val="28"/>
              </w:rPr>
              <w:t>公章</w:t>
            </w:r>
          </w:p>
          <w:p>
            <w:pPr>
              <w:autoSpaceDN w:val="0"/>
              <w:spacing w:line="320" w:lineRule="exact"/>
              <w:jc w:val="left"/>
              <w:textAlignment w:val="center"/>
              <w:rPr>
                <w:rFonts w:ascii="宋体" w:cs="仿宋_GB2312"/>
                <w:color w:val="000000"/>
                <w:sz w:val="28"/>
                <w:szCs w:val="28"/>
              </w:rPr>
            </w:pPr>
            <w:r>
              <w:rPr>
                <w:rFonts w:ascii="宋体" w:hAnsi="宋体" w:cs="仿宋_GB2312"/>
                <w:color w:val="000000"/>
                <w:sz w:val="28"/>
                <w:szCs w:val="28"/>
              </w:rPr>
              <w:t xml:space="preserve"> </w:t>
            </w:r>
          </w:p>
          <w:p>
            <w:pPr>
              <w:autoSpaceDN w:val="0"/>
              <w:spacing w:line="320" w:lineRule="exact"/>
              <w:jc w:val="left"/>
              <w:textAlignment w:val="center"/>
              <w:rPr>
                <w:rFonts w:ascii="宋体" w:cs="仿宋_GB2312"/>
                <w:color w:val="000000"/>
                <w:sz w:val="28"/>
                <w:szCs w:val="28"/>
              </w:rPr>
            </w:pPr>
            <w:r>
              <w:rPr>
                <w:rFonts w:ascii="宋体" w:hAnsi="宋体" w:cs="仿宋_GB2312"/>
                <w:color w:val="000000"/>
                <w:sz w:val="28"/>
                <w:szCs w:val="28"/>
              </w:rPr>
              <w:t xml:space="preserve">                                                            </w:t>
            </w:r>
            <w:r>
              <w:rPr>
                <w:rFonts w:hint="eastAsia" w:ascii="宋体" w:hAnsi="宋体" w:cs="仿宋_GB2312"/>
                <w:color w:val="000000"/>
                <w:sz w:val="28"/>
                <w:szCs w:val="28"/>
              </w:rPr>
              <w:t>年</w:t>
            </w:r>
            <w:r>
              <w:rPr>
                <w:rFonts w:ascii="宋体" w:hAnsi="宋体" w:cs="仿宋_GB2312"/>
                <w:color w:val="000000"/>
                <w:sz w:val="28"/>
                <w:szCs w:val="28"/>
              </w:rPr>
              <w:t xml:space="preserve">    </w:t>
            </w:r>
            <w:r>
              <w:rPr>
                <w:rFonts w:hint="eastAsia" w:ascii="宋体" w:hAnsi="宋体" w:cs="仿宋_GB2312"/>
                <w:color w:val="000000"/>
                <w:sz w:val="28"/>
                <w:szCs w:val="28"/>
              </w:rPr>
              <w:t>月</w:t>
            </w:r>
            <w:r>
              <w:rPr>
                <w:rFonts w:ascii="宋体" w:hAnsi="宋体" w:cs="仿宋_GB2312"/>
                <w:color w:val="000000"/>
                <w:sz w:val="28"/>
                <w:szCs w:val="28"/>
              </w:rPr>
              <w:t xml:space="preserve">    </w:t>
            </w:r>
            <w:r>
              <w:rPr>
                <w:rFonts w:hint="eastAsia" w:ascii="宋体" w:hAnsi="宋体" w:cs="仿宋_GB2312"/>
                <w:color w:val="000000"/>
                <w:sz w:val="28"/>
                <w:szCs w:val="28"/>
              </w:rPr>
              <w:t>日</w:t>
            </w:r>
          </w:p>
          <w:p>
            <w:pPr>
              <w:autoSpaceDN w:val="0"/>
              <w:spacing w:line="320" w:lineRule="exact"/>
              <w:textAlignment w:val="center"/>
              <w:rPr>
                <w:rFonts w:ascii="宋体" w:cs="仿宋_GB2312"/>
                <w:color w:val="000000"/>
                <w:sz w:val="28"/>
                <w:szCs w:val="28"/>
              </w:rPr>
            </w:pPr>
          </w:p>
        </w:tc>
      </w:tr>
    </w:tbl>
    <w:p>
      <w:pPr>
        <w:rPr>
          <w:rFonts w:ascii="宋体" w:cs="仿宋_GB2312"/>
          <w:bCs/>
          <w:sz w:val="28"/>
          <w:szCs w:val="28"/>
        </w:rPr>
      </w:pPr>
      <w:r>
        <w:rPr>
          <w:rFonts w:hint="eastAsia" w:ascii="宋体" w:hAnsi="宋体" w:cs="仿宋_GB2312"/>
          <w:bCs/>
          <w:sz w:val="28"/>
          <w:szCs w:val="28"/>
        </w:rPr>
        <w:t>填报人（签名）：</w:t>
      </w:r>
      <w:r>
        <w:rPr>
          <w:rFonts w:ascii="宋体" w:hAnsi="宋体" w:cs="仿宋_GB2312"/>
          <w:bCs/>
          <w:sz w:val="28"/>
          <w:szCs w:val="28"/>
        </w:rPr>
        <w:t xml:space="preserve">     </w:t>
      </w:r>
      <w:r>
        <w:rPr>
          <w:rFonts w:hint="eastAsia" w:ascii="宋体" w:hAnsi="宋体" w:cs="仿宋_GB2312"/>
          <w:bCs/>
          <w:sz w:val="28"/>
          <w:szCs w:val="28"/>
        </w:rPr>
        <w:t>吴浩</w:t>
      </w:r>
      <w:r>
        <w:rPr>
          <w:rFonts w:ascii="宋体" w:hAnsi="宋体" w:cs="仿宋_GB2312"/>
          <w:bCs/>
          <w:sz w:val="28"/>
          <w:szCs w:val="28"/>
        </w:rPr>
        <w:t xml:space="preserve">                </w:t>
      </w:r>
      <w:r>
        <w:rPr>
          <w:rFonts w:hint="eastAsia" w:ascii="宋体" w:hAnsi="宋体" w:cs="仿宋_GB2312"/>
          <w:bCs/>
          <w:sz w:val="28"/>
          <w:szCs w:val="28"/>
        </w:rPr>
        <w:t>联系电话：</w:t>
      </w:r>
      <w:r>
        <w:rPr>
          <w:rFonts w:ascii="宋体" w:hAnsi="宋体" w:cs="仿宋_GB2312"/>
          <w:bCs/>
          <w:sz w:val="28"/>
          <w:szCs w:val="28"/>
        </w:rPr>
        <w:t>8295366</w:t>
      </w:r>
    </w:p>
    <w:p>
      <w:pPr>
        <w:rPr>
          <w:rFonts w:ascii="宋体" w:cs="仿宋_GB2312"/>
          <w:bCs/>
          <w:sz w:val="28"/>
          <w:szCs w:val="28"/>
        </w:rPr>
      </w:pPr>
    </w:p>
    <w:p>
      <w:pPr>
        <w:rPr>
          <w:rFonts w:ascii="宋体" w:cs="仿宋_GB2312"/>
          <w:bCs/>
          <w:sz w:val="28"/>
          <w:szCs w:val="28"/>
        </w:rPr>
      </w:pPr>
    </w:p>
    <w:p>
      <w:pPr>
        <w:rPr>
          <w:rFonts w:ascii="宋体" w:cs="仿宋_GB2312"/>
          <w:bCs/>
          <w:sz w:val="28"/>
          <w:szCs w:val="28"/>
        </w:rPr>
      </w:pPr>
    </w:p>
    <w:p>
      <w:pPr>
        <w:rPr>
          <w:rFonts w:ascii="宋体" w:cs="仿宋_GB2312"/>
          <w:bCs/>
          <w:sz w:val="28"/>
          <w:szCs w:val="28"/>
        </w:rPr>
      </w:pPr>
    </w:p>
    <w:p>
      <w:pPr>
        <w:rPr>
          <w:rFonts w:ascii="宋体" w:cs="仿宋_GB2312"/>
          <w:bCs/>
          <w:sz w:val="28"/>
          <w:szCs w:val="28"/>
        </w:rPr>
      </w:pPr>
    </w:p>
    <w:p>
      <w:pPr>
        <w:rPr>
          <w:rFonts w:ascii="宋体" w:cs="仿宋_GB2312"/>
          <w:bCs/>
          <w:sz w:val="28"/>
          <w:szCs w:val="28"/>
        </w:rPr>
      </w:pPr>
    </w:p>
    <w:p>
      <w:pPr>
        <w:rPr>
          <w:rFonts w:ascii="宋体" w:cs="仿宋_GB2312"/>
          <w:bCs/>
          <w:sz w:val="28"/>
          <w:szCs w:val="28"/>
        </w:rPr>
      </w:pPr>
    </w:p>
    <w:p>
      <w:pPr>
        <w:rPr>
          <w:rFonts w:ascii="宋体" w:cs="仿宋_GB2312"/>
          <w:bCs/>
          <w:sz w:val="28"/>
          <w:szCs w:val="28"/>
        </w:rPr>
      </w:pPr>
      <w:r>
        <w:rPr>
          <w:rFonts w:hint="eastAsia" w:ascii="宋体" w:hAnsi="宋体" w:cs="仿宋_GB2312"/>
          <w:bCs/>
          <w:sz w:val="28"/>
          <w:szCs w:val="28"/>
        </w:rPr>
        <w:t>附件</w:t>
      </w:r>
      <w:r>
        <w:rPr>
          <w:rFonts w:ascii="宋体" w:hAnsi="宋体" w:cs="仿宋_GB2312"/>
          <w:bCs/>
          <w:sz w:val="28"/>
          <w:szCs w:val="28"/>
        </w:rPr>
        <w:t>2</w:t>
      </w:r>
      <w:r>
        <w:rPr>
          <w:rFonts w:ascii="宋体" w:cs="仿宋_GB2312"/>
          <w:bCs/>
          <w:sz w:val="28"/>
          <w:szCs w:val="28"/>
        </w:rPr>
        <w:t>.</w:t>
      </w:r>
    </w:p>
    <w:p>
      <w:pPr>
        <w:ind w:firstLine="1960" w:firstLineChars="700"/>
        <w:rPr>
          <w:rFonts w:ascii="宋体"/>
          <w:sz w:val="28"/>
          <w:szCs w:val="28"/>
        </w:rPr>
      </w:pPr>
      <w:r>
        <w:rPr>
          <w:rFonts w:ascii="宋体" w:hAnsi="宋体"/>
          <w:sz w:val="28"/>
          <w:szCs w:val="28"/>
        </w:rPr>
        <w:t>2020</w:t>
      </w:r>
      <w:r>
        <w:rPr>
          <w:rFonts w:hint="eastAsia" w:ascii="宋体" w:hAnsi="宋体"/>
          <w:sz w:val="28"/>
          <w:szCs w:val="28"/>
        </w:rPr>
        <w:t>年财政专项支出绩效自评情况表</w:t>
      </w:r>
    </w:p>
    <w:tbl>
      <w:tblPr>
        <w:tblStyle w:val="5"/>
        <w:tblW w:w="14570" w:type="dxa"/>
        <w:tblInd w:w="108" w:type="dxa"/>
        <w:tblLayout w:type="fixed"/>
        <w:tblCellMar>
          <w:top w:w="0" w:type="dxa"/>
          <w:left w:w="108" w:type="dxa"/>
          <w:bottom w:w="0" w:type="dxa"/>
          <w:right w:w="108" w:type="dxa"/>
        </w:tblCellMar>
      </w:tblPr>
      <w:tblGrid>
        <w:gridCol w:w="766"/>
        <w:gridCol w:w="14"/>
        <w:gridCol w:w="1240"/>
        <w:gridCol w:w="390"/>
        <w:gridCol w:w="430"/>
        <w:gridCol w:w="704"/>
        <w:gridCol w:w="216"/>
        <w:gridCol w:w="776"/>
        <w:gridCol w:w="104"/>
        <w:gridCol w:w="820"/>
        <w:gridCol w:w="69"/>
        <w:gridCol w:w="850"/>
        <w:gridCol w:w="21"/>
        <w:gridCol w:w="876"/>
        <w:gridCol w:w="410"/>
        <w:gridCol w:w="450"/>
        <w:gridCol w:w="1120"/>
        <w:gridCol w:w="2814"/>
        <w:gridCol w:w="2500"/>
      </w:tblGrid>
      <w:tr>
        <w:tblPrEx>
          <w:tblCellMar>
            <w:top w:w="0" w:type="dxa"/>
            <w:left w:w="108" w:type="dxa"/>
            <w:bottom w:w="0" w:type="dxa"/>
            <w:right w:w="108" w:type="dxa"/>
          </w:tblCellMar>
        </w:tblPrEx>
        <w:trPr>
          <w:trHeight w:val="258" w:hRule="atLeast"/>
        </w:trPr>
        <w:tc>
          <w:tcPr>
            <w:tcW w:w="766" w:type="dxa"/>
            <w:tcBorders>
              <w:top w:val="nil"/>
              <w:left w:val="nil"/>
              <w:bottom w:val="nil"/>
              <w:right w:val="nil"/>
            </w:tcBorders>
            <w:noWrap/>
            <w:vAlign w:val="center"/>
          </w:tcPr>
          <w:p>
            <w:pPr>
              <w:widowControl/>
              <w:jc w:val="left"/>
              <w:rPr>
                <w:rFonts w:ascii="宋体" w:cs="宋体"/>
                <w:color w:val="000000"/>
                <w:kern w:val="0"/>
                <w:sz w:val="22"/>
              </w:rPr>
            </w:pPr>
          </w:p>
        </w:tc>
        <w:tc>
          <w:tcPr>
            <w:tcW w:w="1644" w:type="dxa"/>
            <w:gridSpan w:val="3"/>
            <w:tcBorders>
              <w:top w:val="nil"/>
              <w:left w:val="nil"/>
              <w:bottom w:val="nil"/>
              <w:right w:val="nil"/>
            </w:tcBorders>
            <w:noWrap/>
            <w:vAlign w:val="center"/>
          </w:tcPr>
          <w:p>
            <w:pPr>
              <w:widowControl/>
              <w:jc w:val="left"/>
              <w:rPr>
                <w:rFonts w:ascii="Times New Roman" w:hAnsi="Times New Roman"/>
                <w:kern w:val="0"/>
                <w:sz w:val="20"/>
                <w:szCs w:val="20"/>
              </w:rPr>
            </w:pPr>
          </w:p>
        </w:tc>
        <w:tc>
          <w:tcPr>
            <w:tcW w:w="1134" w:type="dxa"/>
            <w:gridSpan w:val="2"/>
            <w:tcBorders>
              <w:top w:val="nil"/>
              <w:left w:val="nil"/>
              <w:bottom w:val="nil"/>
              <w:right w:val="nil"/>
            </w:tcBorders>
            <w:noWrap/>
            <w:vAlign w:val="center"/>
          </w:tcPr>
          <w:p>
            <w:pPr>
              <w:widowControl/>
              <w:jc w:val="left"/>
              <w:rPr>
                <w:rFonts w:ascii="Times New Roman" w:hAnsi="Times New Roman"/>
                <w:kern w:val="0"/>
                <w:sz w:val="20"/>
                <w:szCs w:val="20"/>
              </w:rPr>
            </w:pPr>
          </w:p>
        </w:tc>
        <w:tc>
          <w:tcPr>
            <w:tcW w:w="992" w:type="dxa"/>
            <w:gridSpan w:val="2"/>
            <w:tcBorders>
              <w:top w:val="nil"/>
              <w:left w:val="nil"/>
              <w:bottom w:val="nil"/>
              <w:right w:val="nil"/>
            </w:tcBorders>
            <w:noWrap/>
            <w:vAlign w:val="center"/>
          </w:tcPr>
          <w:p>
            <w:pPr>
              <w:widowControl/>
              <w:jc w:val="left"/>
              <w:rPr>
                <w:rFonts w:ascii="Times New Roman" w:hAnsi="Times New Roman"/>
                <w:kern w:val="0"/>
                <w:sz w:val="20"/>
                <w:szCs w:val="20"/>
              </w:rPr>
            </w:pPr>
          </w:p>
        </w:tc>
        <w:tc>
          <w:tcPr>
            <w:tcW w:w="993" w:type="dxa"/>
            <w:gridSpan w:val="3"/>
            <w:tcBorders>
              <w:top w:val="nil"/>
              <w:left w:val="nil"/>
              <w:bottom w:val="nil"/>
              <w:right w:val="nil"/>
            </w:tcBorders>
            <w:noWrap/>
            <w:vAlign w:val="center"/>
          </w:tcPr>
          <w:p>
            <w:pPr>
              <w:widowControl/>
              <w:jc w:val="left"/>
              <w:rPr>
                <w:rFonts w:ascii="Times New Roman" w:hAnsi="Times New Roman"/>
                <w:kern w:val="0"/>
                <w:sz w:val="20"/>
                <w:szCs w:val="20"/>
              </w:rPr>
            </w:pPr>
          </w:p>
        </w:tc>
        <w:tc>
          <w:tcPr>
            <w:tcW w:w="850" w:type="dxa"/>
            <w:tcBorders>
              <w:top w:val="nil"/>
              <w:left w:val="nil"/>
              <w:bottom w:val="nil"/>
              <w:right w:val="nil"/>
            </w:tcBorders>
            <w:noWrap/>
            <w:vAlign w:val="center"/>
          </w:tcPr>
          <w:p>
            <w:pPr>
              <w:widowControl/>
              <w:jc w:val="left"/>
              <w:rPr>
                <w:rFonts w:ascii="Times New Roman" w:hAnsi="Times New Roman"/>
                <w:kern w:val="0"/>
                <w:sz w:val="20"/>
                <w:szCs w:val="20"/>
              </w:rPr>
            </w:pPr>
          </w:p>
        </w:tc>
        <w:tc>
          <w:tcPr>
            <w:tcW w:w="1307" w:type="dxa"/>
            <w:gridSpan w:val="3"/>
            <w:tcBorders>
              <w:top w:val="nil"/>
              <w:left w:val="nil"/>
              <w:bottom w:val="nil"/>
              <w:right w:val="nil"/>
            </w:tcBorders>
            <w:noWrap/>
            <w:vAlign w:val="center"/>
          </w:tcPr>
          <w:p>
            <w:pPr>
              <w:widowControl/>
              <w:jc w:val="left"/>
              <w:rPr>
                <w:rFonts w:ascii="Times New Roman" w:hAnsi="Times New Roman"/>
                <w:kern w:val="0"/>
                <w:sz w:val="20"/>
                <w:szCs w:val="20"/>
              </w:rPr>
            </w:pPr>
          </w:p>
        </w:tc>
        <w:tc>
          <w:tcPr>
            <w:tcW w:w="4384" w:type="dxa"/>
            <w:gridSpan w:val="3"/>
            <w:tcBorders>
              <w:top w:val="nil"/>
              <w:left w:val="nil"/>
              <w:bottom w:val="nil"/>
              <w:right w:val="nil"/>
            </w:tcBorders>
            <w:noWrap/>
            <w:vAlign w:val="center"/>
          </w:tcPr>
          <w:p>
            <w:pPr>
              <w:widowControl/>
              <w:jc w:val="left"/>
              <w:rPr>
                <w:rFonts w:ascii="Times New Roman" w:hAnsi="Times New Roman"/>
                <w:kern w:val="0"/>
                <w:sz w:val="20"/>
                <w:szCs w:val="20"/>
              </w:rPr>
            </w:pPr>
          </w:p>
        </w:tc>
        <w:tc>
          <w:tcPr>
            <w:tcW w:w="2500" w:type="dxa"/>
            <w:tcBorders>
              <w:top w:val="nil"/>
              <w:left w:val="nil"/>
              <w:bottom w:val="nil"/>
              <w:right w:val="nil"/>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填报人（签名）：吴浩</w:t>
            </w:r>
          </w:p>
        </w:tc>
      </w:tr>
      <w:tr>
        <w:tblPrEx>
          <w:tblCellMar>
            <w:top w:w="0" w:type="dxa"/>
            <w:left w:w="108" w:type="dxa"/>
            <w:bottom w:w="0" w:type="dxa"/>
            <w:right w:w="108" w:type="dxa"/>
          </w:tblCellMar>
        </w:tblPrEx>
        <w:trPr>
          <w:gridAfter w:val="2"/>
          <w:wAfter w:w="5314" w:type="dxa"/>
          <w:trHeight w:val="571" w:hRule="atLeast"/>
        </w:trPr>
        <w:tc>
          <w:tcPr>
            <w:tcW w:w="780" w:type="dxa"/>
            <w:gridSpan w:val="2"/>
            <w:tcBorders>
              <w:top w:val="nil"/>
              <w:left w:val="nil"/>
              <w:bottom w:val="nil"/>
              <w:right w:val="nil"/>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单位名称</w:t>
            </w:r>
            <w:r>
              <w:rPr>
                <w:rFonts w:ascii="宋体" w:hAnsi="宋体" w:cs="宋体"/>
                <w:color w:val="000000"/>
                <w:kern w:val="0"/>
                <w:sz w:val="22"/>
              </w:rPr>
              <w:t>(</w:t>
            </w:r>
            <w:r>
              <w:rPr>
                <w:rFonts w:hint="eastAsia" w:ascii="宋体" w:hAnsi="宋体" w:cs="宋体"/>
                <w:color w:val="000000"/>
                <w:kern w:val="0"/>
                <w:sz w:val="22"/>
              </w:rPr>
              <w:t>公章</w:t>
            </w:r>
            <w:r>
              <w:rPr>
                <w:rFonts w:ascii="宋体" w:hAnsi="宋体" w:cs="宋体"/>
                <w:color w:val="000000"/>
                <w:kern w:val="0"/>
                <w:sz w:val="22"/>
              </w:rPr>
              <w:t>)</w:t>
            </w:r>
            <w:r>
              <w:rPr>
                <w:rFonts w:hint="eastAsia" w:ascii="宋体" w:hAnsi="宋体" w:cs="宋体"/>
                <w:color w:val="000000"/>
                <w:kern w:val="0"/>
                <w:sz w:val="22"/>
              </w:rPr>
              <w:t>：</w:t>
            </w:r>
          </w:p>
        </w:tc>
        <w:tc>
          <w:tcPr>
            <w:tcW w:w="3860" w:type="dxa"/>
            <w:gridSpan w:val="7"/>
            <w:tcBorders>
              <w:top w:val="nil"/>
              <w:left w:val="nil"/>
              <w:bottom w:val="single" w:color="auto" w:sz="4" w:space="0"/>
              <w:right w:val="nil"/>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岳阳市建设工程质量安全监督站</w:t>
            </w:r>
          </w:p>
        </w:tc>
        <w:tc>
          <w:tcPr>
            <w:tcW w:w="820" w:type="dxa"/>
            <w:tcBorders>
              <w:top w:val="nil"/>
              <w:left w:val="nil"/>
              <w:bottom w:val="nil"/>
              <w:right w:val="nil"/>
            </w:tcBorders>
            <w:noWrap/>
            <w:vAlign w:val="center"/>
          </w:tcPr>
          <w:p>
            <w:pPr>
              <w:widowControl/>
              <w:jc w:val="left"/>
              <w:rPr>
                <w:rFonts w:ascii="宋体" w:cs="宋体"/>
                <w:color w:val="000000"/>
                <w:kern w:val="0"/>
                <w:sz w:val="22"/>
              </w:rPr>
            </w:pPr>
          </w:p>
        </w:tc>
        <w:tc>
          <w:tcPr>
            <w:tcW w:w="940" w:type="dxa"/>
            <w:gridSpan w:val="3"/>
            <w:tcBorders>
              <w:top w:val="nil"/>
              <w:left w:val="nil"/>
              <w:bottom w:val="nil"/>
              <w:right w:val="nil"/>
            </w:tcBorders>
            <w:noWrap/>
            <w:vAlign w:val="center"/>
          </w:tcPr>
          <w:p>
            <w:pPr>
              <w:widowControl/>
              <w:jc w:val="left"/>
              <w:rPr>
                <w:rFonts w:ascii="Times New Roman" w:hAnsi="Times New Roman"/>
                <w:kern w:val="0"/>
                <w:sz w:val="20"/>
                <w:szCs w:val="20"/>
              </w:rPr>
            </w:pPr>
          </w:p>
        </w:tc>
        <w:tc>
          <w:tcPr>
            <w:tcW w:w="876" w:type="dxa"/>
            <w:tcBorders>
              <w:top w:val="nil"/>
              <w:left w:val="nil"/>
              <w:bottom w:val="nil"/>
              <w:right w:val="nil"/>
            </w:tcBorders>
            <w:noWrap/>
            <w:vAlign w:val="center"/>
          </w:tcPr>
          <w:p>
            <w:pPr>
              <w:widowControl/>
              <w:jc w:val="left"/>
              <w:rPr>
                <w:rFonts w:ascii="Times New Roman" w:hAnsi="Times New Roman"/>
                <w:kern w:val="0"/>
                <w:sz w:val="20"/>
                <w:szCs w:val="20"/>
              </w:rPr>
            </w:pPr>
          </w:p>
        </w:tc>
        <w:tc>
          <w:tcPr>
            <w:tcW w:w="860" w:type="dxa"/>
            <w:gridSpan w:val="2"/>
            <w:tcBorders>
              <w:top w:val="nil"/>
              <w:left w:val="nil"/>
              <w:bottom w:val="nil"/>
              <w:right w:val="nil"/>
            </w:tcBorders>
            <w:noWrap/>
            <w:vAlign w:val="center"/>
          </w:tcPr>
          <w:p>
            <w:pPr>
              <w:widowControl/>
              <w:jc w:val="left"/>
              <w:rPr>
                <w:rFonts w:ascii="Times New Roman" w:hAnsi="Times New Roman"/>
                <w:kern w:val="0"/>
                <w:sz w:val="20"/>
                <w:szCs w:val="20"/>
              </w:rPr>
            </w:pPr>
          </w:p>
        </w:tc>
        <w:tc>
          <w:tcPr>
            <w:tcW w:w="1120" w:type="dxa"/>
            <w:tcBorders>
              <w:top w:val="nil"/>
              <w:left w:val="nil"/>
              <w:bottom w:val="nil"/>
              <w:right w:val="nil"/>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单位：万元</w:t>
            </w:r>
          </w:p>
        </w:tc>
      </w:tr>
      <w:tr>
        <w:tblPrEx>
          <w:tblCellMar>
            <w:top w:w="0" w:type="dxa"/>
            <w:left w:w="108" w:type="dxa"/>
            <w:bottom w:w="0" w:type="dxa"/>
            <w:right w:w="108" w:type="dxa"/>
          </w:tblCellMar>
        </w:tblPrEx>
        <w:trPr>
          <w:gridAfter w:val="2"/>
          <w:wAfter w:w="5314" w:type="dxa"/>
          <w:trHeight w:val="367" w:hRule="atLeast"/>
        </w:trPr>
        <w:tc>
          <w:tcPr>
            <w:tcW w:w="78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序号</w:t>
            </w:r>
          </w:p>
        </w:tc>
        <w:tc>
          <w:tcPr>
            <w:tcW w:w="12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单位名称</w:t>
            </w:r>
          </w:p>
        </w:tc>
        <w:tc>
          <w:tcPr>
            <w:tcW w:w="82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项目名称</w:t>
            </w:r>
          </w:p>
        </w:tc>
        <w:tc>
          <w:tcPr>
            <w:tcW w:w="920"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color w:val="000000"/>
                <w:kern w:val="0"/>
                <w:sz w:val="28"/>
                <w:szCs w:val="28"/>
              </w:rPr>
            </w:pPr>
            <w:r>
              <w:rPr>
                <w:rFonts w:ascii="宋体" w:hAnsi="宋体" w:cs="宋体"/>
                <w:color w:val="000000"/>
                <w:kern w:val="0"/>
                <w:sz w:val="28"/>
                <w:szCs w:val="28"/>
              </w:rPr>
              <w:t>2020</w:t>
            </w:r>
            <w:r>
              <w:rPr>
                <w:rFonts w:hint="eastAsia" w:ascii="宋体" w:hAnsi="宋体" w:cs="宋体"/>
                <w:color w:val="000000"/>
                <w:kern w:val="0"/>
                <w:sz w:val="28"/>
                <w:szCs w:val="28"/>
              </w:rPr>
              <w:t>年预算安排</w:t>
            </w:r>
          </w:p>
        </w:tc>
        <w:tc>
          <w:tcPr>
            <w:tcW w:w="2640" w:type="dxa"/>
            <w:gridSpan w:val="6"/>
            <w:tcBorders>
              <w:top w:val="single" w:color="auto" w:sz="4" w:space="0"/>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预算绩效目标</w:t>
            </w:r>
          </w:p>
        </w:tc>
        <w:tc>
          <w:tcPr>
            <w:tcW w:w="87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实际纳入自评金额</w:t>
            </w:r>
          </w:p>
        </w:tc>
        <w:tc>
          <w:tcPr>
            <w:tcW w:w="8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自评分数</w:t>
            </w:r>
          </w:p>
        </w:tc>
        <w:tc>
          <w:tcPr>
            <w:tcW w:w="11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备注</w:t>
            </w:r>
          </w:p>
        </w:tc>
      </w:tr>
      <w:tr>
        <w:tblPrEx>
          <w:tblCellMar>
            <w:top w:w="0" w:type="dxa"/>
            <w:left w:w="108" w:type="dxa"/>
            <w:bottom w:w="0" w:type="dxa"/>
            <w:right w:w="108" w:type="dxa"/>
          </w:tblCellMar>
        </w:tblPrEx>
        <w:trPr>
          <w:gridAfter w:val="2"/>
          <w:wAfter w:w="5314" w:type="dxa"/>
          <w:trHeight w:val="1400" w:hRule="atLeast"/>
        </w:trPr>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p>
        </w:tc>
        <w:tc>
          <w:tcPr>
            <w:tcW w:w="12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p>
        </w:tc>
        <w:tc>
          <w:tcPr>
            <w:tcW w:w="82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p>
        </w:tc>
        <w:tc>
          <w:tcPr>
            <w:tcW w:w="92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p>
        </w:tc>
        <w:tc>
          <w:tcPr>
            <w:tcW w:w="880" w:type="dxa"/>
            <w:gridSpan w:val="2"/>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目标总预算</w:t>
            </w:r>
          </w:p>
        </w:tc>
        <w:tc>
          <w:tcPr>
            <w:tcW w:w="820" w:type="dxa"/>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已实施年限</w:t>
            </w:r>
          </w:p>
        </w:tc>
        <w:tc>
          <w:tcPr>
            <w:tcW w:w="940" w:type="dxa"/>
            <w:gridSpan w:val="3"/>
            <w:tcBorders>
              <w:top w:val="nil"/>
              <w:left w:val="nil"/>
              <w:bottom w:val="single" w:color="auto" w:sz="4" w:space="0"/>
              <w:right w:val="single" w:color="auto" w:sz="4" w:space="0"/>
            </w:tcBorders>
            <w:vAlign w:val="center"/>
          </w:tcPr>
          <w:p>
            <w:pPr>
              <w:widowControl/>
              <w:jc w:val="center"/>
              <w:rPr>
                <w:rFonts w:ascii="宋体" w:cs="宋体"/>
                <w:color w:val="000000"/>
                <w:kern w:val="0"/>
                <w:sz w:val="28"/>
                <w:szCs w:val="28"/>
              </w:rPr>
            </w:pPr>
            <w:r>
              <w:rPr>
                <w:rFonts w:hint="eastAsia" w:ascii="宋体" w:hAnsi="宋体" w:cs="宋体"/>
                <w:color w:val="000000"/>
                <w:kern w:val="0"/>
                <w:sz w:val="28"/>
                <w:szCs w:val="28"/>
              </w:rPr>
              <w:t>累计安排预算</w:t>
            </w: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p>
        </w:tc>
        <w:tc>
          <w:tcPr>
            <w:tcW w:w="8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8"/>
                <w:szCs w:val="28"/>
              </w:rPr>
            </w:pPr>
          </w:p>
        </w:tc>
      </w:tr>
      <w:tr>
        <w:tblPrEx>
          <w:tblCellMar>
            <w:top w:w="0" w:type="dxa"/>
            <w:left w:w="108" w:type="dxa"/>
            <w:bottom w:w="0" w:type="dxa"/>
            <w:right w:w="108" w:type="dxa"/>
          </w:tblCellMar>
        </w:tblPrEx>
        <w:trPr>
          <w:gridAfter w:val="2"/>
          <w:wAfter w:w="5314" w:type="dxa"/>
          <w:trHeight w:val="1094" w:hRule="atLeast"/>
        </w:trPr>
        <w:tc>
          <w:tcPr>
            <w:tcW w:w="780" w:type="dxa"/>
            <w:gridSpan w:val="2"/>
            <w:tcBorders>
              <w:top w:val="nil"/>
              <w:left w:val="single" w:color="auto" w:sz="4" w:space="0"/>
              <w:bottom w:val="single" w:color="auto" w:sz="4" w:space="0"/>
              <w:right w:val="single" w:color="auto" w:sz="4" w:space="0"/>
            </w:tcBorders>
            <w:noWrap/>
            <w:vAlign w:val="center"/>
          </w:tcPr>
          <w:p>
            <w:pPr>
              <w:widowControl/>
              <w:jc w:val="right"/>
              <w:rPr>
                <w:rFonts w:ascii="宋体" w:cs="宋体"/>
                <w:color w:val="000000"/>
                <w:kern w:val="0"/>
                <w:sz w:val="22"/>
              </w:rPr>
            </w:pPr>
            <w:r>
              <w:rPr>
                <w:rFonts w:ascii="宋体" w:hAnsi="宋体" w:cs="宋体"/>
                <w:color w:val="000000"/>
                <w:kern w:val="0"/>
                <w:sz w:val="22"/>
              </w:rPr>
              <w:t>1</w:t>
            </w:r>
          </w:p>
        </w:tc>
        <w:tc>
          <w:tcPr>
            <w:tcW w:w="124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岳阳市建设工程质量安全监督站</w:t>
            </w:r>
          </w:p>
        </w:tc>
        <w:tc>
          <w:tcPr>
            <w:tcW w:w="820" w:type="dxa"/>
            <w:gridSpan w:val="2"/>
            <w:tcBorders>
              <w:top w:val="nil"/>
              <w:left w:val="nil"/>
              <w:bottom w:val="single" w:color="auto" w:sz="4" w:space="0"/>
              <w:right w:val="single" w:color="auto" w:sz="4" w:space="0"/>
            </w:tcBorders>
            <w:vAlign w:val="center"/>
          </w:tcPr>
          <w:p>
            <w:pPr>
              <w:widowControl/>
              <w:jc w:val="center"/>
              <w:rPr>
                <w:rFonts w:ascii="宋体" w:cs="宋体"/>
                <w:color w:val="000000"/>
                <w:kern w:val="0"/>
                <w:sz w:val="22"/>
              </w:rPr>
            </w:pPr>
            <w:r>
              <w:rPr>
                <w:rFonts w:hint="eastAsia" w:ascii="宋体" w:hAnsi="宋体" w:cs="宋体"/>
                <w:color w:val="000000"/>
                <w:kern w:val="0"/>
                <w:sz w:val="22"/>
              </w:rPr>
              <w:t>房屋安全状况检查专项</w:t>
            </w:r>
          </w:p>
        </w:tc>
        <w:tc>
          <w:tcPr>
            <w:tcW w:w="920" w:type="dxa"/>
            <w:gridSpan w:val="2"/>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12</w:t>
            </w:r>
          </w:p>
        </w:tc>
        <w:tc>
          <w:tcPr>
            <w:tcW w:w="880" w:type="dxa"/>
            <w:gridSpan w:val="2"/>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12</w:t>
            </w:r>
          </w:p>
        </w:tc>
        <w:tc>
          <w:tcPr>
            <w:tcW w:w="820"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6</w:t>
            </w:r>
          </w:p>
        </w:tc>
        <w:tc>
          <w:tcPr>
            <w:tcW w:w="940" w:type="dxa"/>
            <w:gridSpan w:val="3"/>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75.7</w:t>
            </w:r>
          </w:p>
        </w:tc>
        <w:tc>
          <w:tcPr>
            <w:tcW w:w="876"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71.99</w:t>
            </w:r>
          </w:p>
        </w:tc>
        <w:tc>
          <w:tcPr>
            <w:tcW w:w="860" w:type="dxa"/>
            <w:gridSpan w:val="2"/>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100</w:t>
            </w:r>
          </w:p>
        </w:tc>
        <w:tc>
          <w:tcPr>
            <w:tcW w:w="112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gridAfter w:val="2"/>
          <w:wAfter w:w="5314" w:type="dxa"/>
          <w:trHeight w:val="1094" w:hRule="atLeast"/>
        </w:trPr>
        <w:tc>
          <w:tcPr>
            <w:tcW w:w="780" w:type="dxa"/>
            <w:gridSpan w:val="2"/>
            <w:tcBorders>
              <w:top w:val="nil"/>
              <w:left w:val="single" w:color="auto" w:sz="4" w:space="0"/>
              <w:bottom w:val="single" w:color="auto" w:sz="4" w:space="0"/>
              <w:right w:val="single" w:color="auto" w:sz="4" w:space="0"/>
            </w:tcBorders>
            <w:noWrap/>
            <w:vAlign w:val="center"/>
          </w:tcPr>
          <w:p>
            <w:pPr>
              <w:widowControl/>
              <w:jc w:val="right"/>
              <w:rPr>
                <w:rFonts w:ascii="宋体" w:cs="宋体"/>
                <w:color w:val="000000"/>
                <w:kern w:val="0"/>
                <w:sz w:val="22"/>
              </w:rPr>
            </w:pPr>
            <w:r>
              <w:rPr>
                <w:rFonts w:ascii="宋体" w:hAnsi="宋体" w:cs="宋体"/>
                <w:color w:val="000000"/>
                <w:kern w:val="0"/>
                <w:sz w:val="22"/>
              </w:rPr>
              <w:t>2</w:t>
            </w:r>
          </w:p>
        </w:tc>
        <w:tc>
          <w:tcPr>
            <w:tcW w:w="124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岳阳市建设工程质量安全监督站</w:t>
            </w:r>
          </w:p>
        </w:tc>
        <w:tc>
          <w:tcPr>
            <w:tcW w:w="820" w:type="dxa"/>
            <w:gridSpan w:val="2"/>
            <w:tcBorders>
              <w:top w:val="nil"/>
              <w:left w:val="nil"/>
              <w:bottom w:val="single" w:color="auto" w:sz="4" w:space="0"/>
              <w:right w:val="single" w:color="auto" w:sz="4" w:space="0"/>
            </w:tcBorders>
            <w:vAlign w:val="center"/>
          </w:tcPr>
          <w:p>
            <w:pPr>
              <w:widowControl/>
              <w:jc w:val="center"/>
              <w:rPr>
                <w:rFonts w:ascii="宋体" w:cs="宋体"/>
                <w:color w:val="000000"/>
                <w:kern w:val="0"/>
                <w:sz w:val="22"/>
              </w:rPr>
            </w:pPr>
            <w:r>
              <w:rPr>
                <w:rFonts w:hint="eastAsia" w:ascii="宋体" w:hAnsi="宋体" w:cs="宋体"/>
                <w:color w:val="000000"/>
                <w:kern w:val="0"/>
                <w:sz w:val="22"/>
              </w:rPr>
              <w:t>建筑安全监察执法检查专项</w:t>
            </w:r>
          </w:p>
        </w:tc>
        <w:tc>
          <w:tcPr>
            <w:tcW w:w="920" w:type="dxa"/>
            <w:gridSpan w:val="2"/>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45</w:t>
            </w:r>
          </w:p>
        </w:tc>
        <w:tc>
          <w:tcPr>
            <w:tcW w:w="880" w:type="dxa"/>
            <w:gridSpan w:val="2"/>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45</w:t>
            </w:r>
          </w:p>
        </w:tc>
        <w:tc>
          <w:tcPr>
            <w:tcW w:w="820"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3</w:t>
            </w:r>
          </w:p>
        </w:tc>
        <w:tc>
          <w:tcPr>
            <w:tcW w:w="940" w:type="dxa"/>
            <w:gridSpan w:val="3"/>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142.5</w:t>
            </w:r>
          </w:p>
        </w:tc>
        <w:tc>
          <w:tcPr>
            <w:tcW w:w="876" w:type="dxa"/>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142.5</w:t>
            </w:r>
          </w:p>
        </w:tc>
        <w:tc>
          <w:tcPr>
            <w:tcW w:w="860" w:type="dxa"/>
            <w:gridSpan w:val="2"/>
            <w:tcBorders>
              <w:top w:val="nil"/>
              <w:left w:val="nil"/>
              <w:bottom w:val="single" w:color="auto" w:sz="4" w:space="0"/>
              <w:right w:val="single" w:color="auto" w:sz="4" w:space="0"/>
            </w:tcBorders>
            <w:vAlign w:val="center"/>
          </w:tcPr>
          <w:p>
            <w:pPr>
              <w:widowControl/>
              <w:jc w:val="right"/>
              <w:rPr>
                <w:rFonts w:ascii="宋体" w:cs="宋体"/>
                <w:color w:val="000000"/>
                <w:kern w:val="0"/>
                <w:sz w:val="22"/>
              </w:rPr>
            </w:pPr>
            <w:r>
              <w:rPr>
                <w:rFonts w:ascii="宋体" w:hAnsi="宋体" w:cs="宋体"/>
                <w:color w:val="000000"/>
                <w:kern w:val="0"/>
                <w:sz w:val="22"/>
              </w:rPr>
              <w:t>100</w:t>
            </w:r>
          </w:p>
        </w:tc>
        <w:tc>
          <w:tcPr>
            <w:tcW w:w="1120" w:type="dxa"/>
            <w:tcBorders>
              <w:top w:val="nil"/>
              <w:left w:val="nil"/>
              <w:bottom w:val="single" w:color="auto" w:sz="4" w:space="0"/>
              <w:right w:val="single" w:color="auto" w:sz="4" w:space="0"/>
            </w:tcBorders>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rPr>
          <w:gridAfter w:val="2"/>
          <w:wAfter w:w="5314" w:type="dxa"/>
          <w:trHeight w:val="523" w:hRule="atLeast"/>
        </w:trPr>
        <w:tc>
          <w:tcPr>
            <w:tcW w:w="780" w:type="dxa"/>
            <w:gridSpan w:val="2"/>
            <w:tcBorders>
              <w:top w:val="nil"/>
              <w:left w:val="single" w:color="auto" w:sz="4" w:space="0"/>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24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8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40" w:type="dxa"/>
            <w:gridSpan w:val="3"/>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76"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6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1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rPr>
          <w:gridAfter w:val="2"/>
          <w:wAfter w:w="5314" w:type="dxa"/>
          <w:trHeight w:val="523" w:hRule="atLeast"/>
        </w:trPr>
        <w:tc>
          <w:tcPr>
            <w:tcW w:w="780" w:type="dxa"/>
            <w:gridSpan w:val="2"/>
            <w:tcBorders>
              <w:top w:val="nil"/>
              <w:left w:val="single" w:color="auto" w:sz="4" w:space="0"/>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24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8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40" w:type="dxa"/>
            <w:gridSpan w:val="3"/>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76"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6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1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rPr>
          <w:gridAfter w:val="2"/>
          <w:wAfter w:w="5314" w:type="dxa"/>
          <w:trHeight w:val="523" w:hRule="atLeast"/>
        </w:trPr>
        <w:tc>
          <w:tcPr>
            <w:tcW w:w="780" w:type="dxa"/>
            <w:gridSpan w:val="2"/>
            <w:tcBorders>
              <w:top w:val="nil"/>
              <w:left w:val="single" w:color="auto" w:sz="4" w:space="0"/>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24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8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40" w:type="dxa"/>
            <w:gridSpan w:val="3"/>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76"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6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1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rPr>
          <w:gridAfter w:val="2"/>
          <w:wAfter w:w="5314" w:type="dxa"/>
          <w:trHeight w:val="523" w:hRule="atLeast"/>
        </w:trPr>
        <w:tc>
          <w:tcPr>
            <w:tcW w:w="780" w:type="dxa"/>
            <w:gridSpan w:val="2"/>
            <w:tcBorders>
              <w:top w:val="nil"/>
              <w:left w:val="single" w:color="auto" w:sz="4" w:space="0"/>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24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8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40" w:type="dxa"/>
            <w:gridSpan w:val="3"/>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76"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6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1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rPr>
          <w:gridAfter w:val="2"/>
          <w:wAfter w:w="5314" w:type="dxa"/>
          <w:trHeight w:val="523" w:hRule="atLeast"/>
        </w:trPr>
        <w:tc>
          <w:tcPr>
            <w:tcW w:w="780" w:type="dxa"/>
            <w:gridSpan w:val="2"/>
            <w:tcBorders>
              <w:top w:val="nil"/>
              <w:left w:val="single" w:color="auto" w:sz="4" w:space="0"/>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24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8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40" w:type="dxa"/>
            <w:gridSpan w:val="3"/>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76"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6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1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rPr>
          <w:gridAfter w:val="2"/>
          <w:wAfter w:w="5314" w:type="dxa"/>
          <w:trHeight w:val="523" w:hRule="atLeast"/>
        </w:trPr>
        <w:tc>
          <w:tcPr>
            <w:tcW w:w="780" w:type="dxa"/>
            <w:gridSpan w:val="2"/>
            <w:tcBorders>
              <w:top w:val="nil"/>
              <w:left w:val="single" w:color="auto" w:sz="4" w:space="0"/>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24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gridSpan w:val="2"/>
            <w:tcBorders>
              <w:top w:val="nil"/>
              <w:left w:val="nil"/>
              <w:bottom w:val="single" w:color="auto" w:sz="4" w:space="0"/>
              <w:right w:val="single" w:color="auto" w:sz="4" w:space="0"/>
            </w:tcBorders>
            <w:noWrap/>
            <w:vAlign w:val="center"/>
          </w:tcPr>
          <w:p>
            <w:pPr>
              <w:widowControl/>
              <w:jc w:val="center"/>
              <w:rPr>
                <w:rFonts w:ascii="宋体" w:cs="宋体"/>
                <w:color w:val="000000"/>
                <w:kern w:val="0"/>
                <w:sz w:val="22"/>
              </w:rPr>
            </w:pPr>
            <w:r>
              <w:rPr>
                <w:rFonts w:hint="eastAsia" w:ascii="宋体" w:hAnsi="宋体" w:cs="宋体"/>
                <w:color w:val="000000"/>
                <w:kern w:val="0"/>
                <w:sz w:val="22"/>
              </w:rPr>
              <w:t>……</w:t>
            </w:r>
          </w:p>
        </w:tc>
        <w:tc>
          <w:tcPr>
            <w:tcW w:w="92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8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40" w:type="dxa"/>
            <w:gridSpan w:val="3"/>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76"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86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1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rPr>
          <w:gridAfter w:val="2"/>
          <w:wAfter w:w="5314" w:type="dxa"/>
          <w:trHeight w:val="523" w:hRule="atLeast"/>
        </w:trPr>
        <w:tc>
          <w:tcPr>
            <w:tcW w:w="2840" w:type="dxa"/>
            <w:gridSpan w:val="5"/>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合计</w:t>
            </w:r>
          </w:p>
        </w:tc>
        <w:tc>
          <w:tcPr>
            <w:tcW w:w="920" w:type="dxa"/>
            <w:gridSpan w:val="2"/>
            <w:tcBorders>
              <w:top w:val="nil"/>
              <w:left w:val="nil"/>
              <w:bottom w:val="single" w:color="auto" w:sz="4" w:space="0"/>
              <w:right w:val="single" w:color="auto" w:sz="4" w:space="0"/>
            </w:tcBorders>
            <w:noWrap/>
            <w:vAlign w:val="center"/>
          </w:tcPr>
          <w:p>
            <w:pPr>
              <w:widowControl/>
              <w:jc w:val="right"/>
              <w:rPr>
                <w:rFonts w:ascii="宋体" w:cs="宋体"/>
                <w:color w:val="000000"/>
                <w:kern w:val="0"/>
                <w:sz w:val="22"/>
              </w:rPr>
            </w:pPr>
            <w:r>
              <w:rPr>
                <w:rFonts w:ascii="宋体" w:hAnsi="宋体" w:cs="宋体"/>
                <w:color w:val="000000"/>
                <w:kern w:val="0"/>
                <w:sz w:val="22"/>
              </w:rPr>
              <w:t>57</w:t>
            </w:r>
          </w:p>
        </w:tc>
        <w:tc>
          <w:tcPr>
            <w:tcW w:w="880" w:type="dxa"/>
            <w:gridSpan w:val="2"/>
            <w:tcBorders>
              <w:top w:val="nil"/>
              <w:left w:val="nil"/>
              <w:bottom w:val="single" w:color="auto" w:sz="4" w:space="0"/>
              <w:right w:val="single" w:color="auto" w:sz="4" w:space="0"/>
            </w:tcBorders>
            <w:noWrap/>
            <w:vAlign w:val="center"/>
          </w:tcPr>
          <w:p>
            <w:pPr>
              <w:widowControl/>
              <w:jc w:val="right"/>
              <w:rPr>
                <w:rFonts w:ascii="宋体" w:cs="宋体"/>
                <w:color w:val="000000"/>
                <w:kern w:val="0"/>
                <w:sz w:val="22"/>
              </w:rPr>
            </w:pPr>
            <w:r>
              <w:rPr>
                <w:rFonts w:ascii="宋体" w:hAnsi="宋体" w:cs="宋体"/>
                <w:color w:val="000000"/>
                <w:kern w:val="0"/>
                <w:sz w:val="22"/>
              </w:rPr>
              <w:t>57</w:t>
            </w:r>
          </w:p>
        </w:tc>
        <w:tc>
          <w:tcPr>
            <w:tcW w:w="8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940" w:type="dxa"/>
            <w:gridSpan w:val="3"/>
            <w:tcBorders>
              <w:top w:val="nil"/>
              <w:left w:val="nil"/>
              <w:bottom w:val="single" w:color="auto" w:sz="4" w:space="0"/>
              <w:right w:val="single" w:color="auto" w:sz="4" w:space="0"/>
            </w:tcBorders>
            <w:noWrap/>
            <w:vAlign w:val="center"/>
          </w:tcPr>
          <w:p>
            <w:pPr>
              <w:widowControl/>
              <w:jc w:val="right"/>
              <w:rPr>
                <w:rFonts w:ascii="宋体" w:cs="宋体"/>
                <w:color w:val="000000"/>
                <w:kern w:val="0"/>
                <w:sz w:val="22"/>
              </w:rPr>
            </w:pPr>
            <w:r>
              <w:rPr>
                <w:rFonts w:ascii="宋体" w:hAnsi="宋体" w:cs="宋体"/>
                <w:color w:val="000000"/>
                <w:kern w:val="0"/>
                <w:sz w:val="22"/>
              </w:rPr>
              <w:t>218.2</w:t>
            </w:r>
          </w:p>
        </w:tc>
        <w:tc>
          <w:tcPr>
            <w:tcW w:w="876" w:type="dxa"/>
            <w:tcBorders>
              <w:top w:val="nil"/>
              <w:left w:val="nil"/>
              <w:bottom w:val="single" w:color="auto" w:sz="4" w:space="0"/>
              <w:right w:val="single" w:color="auto" w:sz="4" w:space="0"/>
            </w:tcBorders>
            <w:noWrap/>
            <w:vAlign w:val="center"/>
          </w:tcPr>
          <w:p>
            <w:pPr>
              <w:widowControl/>
              <w:jc w:val="right"/>
              <w:rPr>
                <w:rFonts w:ascii="宋体" w:cs="宋体"/>
                <w:color w:val="000000"/>
                <w:kern w:val="0"/>
                <w:sz w:val="22"/>
              </w:rPr>
            </w:pPr>
            <w:r>
              <w:rPr>
                <w:rFonts w:ascii="宋体" w:hAnsi="宋体" w:cs="宋体"/>
                <w:color w:val="000000"/>
                <w:kern w:val="0"/>
                <w:sz w:val="22"/>
              </w:rPr>
              <w:t>214.49</w:t>
            </w:r>
          </w:p>
        </w:tc>
        <w:tc>
          <w:tcPr>
            <w:tcW w:w="860" w:type="dxa"/>
            <w:gridSpan w:val="2"/>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c>
          <w:tcPr>
            <w:tcW w:w="1120" w:type="dxa"/>
            <w:tcBorders>
              <w:top w:val="nil"/>
              <w:left w:val="nil"/>
              <w:bottom w:val="single" w:color="auto" w:sz="4" w:space="0"/>
              <w:right w:val="single" w:color="auto" w:sz="4" w:space="0"/>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　</w:t>
            </w:r>
          </w:p>
        </w:tc>
      </w:tr>
      <w:tr>
        <w:trPr>
          <w:gridAfter w:val="2"/>
          <w:wAfter w:w="5314" w:type="dxa"/>
          <w:trHeight w:val="258" w:hRule="atLeast"/>
        </w:trPr>
        <w:tc>
          <w:tcPr>
            <w:tcW w:w="780" w:type="dxa"/>
            <w:gridSpan w:val="2"/>
            <w:tcBorders>
              <w:top w:val="nil"/>
              <w:left w:val="nil"/>
              <w:bottom w:val="nil"/>
              <w:right w:val="nil"/>
            </w:tcBorders>
            <w:noWrap/>
            <w:vAlign w:val="center"/>
          </w:tcPr>
          <w:p>
            <w:pPr>
              <w:widowControl/>
              <w:jc w:val="left"/>
              <w:rPr>
                <w:rFonts w:ascii="宋体" w:cs="宋体"/>
                <w:color w:val="000000"/>
                <w:kern w:val="0"/>
                <w:sz w:val="22"/>
              </w:rPr>
            </w:pPr>
          </w:p>
        </w:tc>
        <w:tc>
          <w:tcPr>
            <w:tcW w:w="1240" w:type="dxa"/>
            <w:tcBorders>
              <w:top w:val="nil"/>
              <w:left w:val="nil"/>
              <w:bottom w:val="nil"/>
              <w:right w:val="nil"/>
            </w:tcBorders>
            <w:noWrap/>
            <w:vAlign w:val="center"/>
          </w:tcPr>
          <w:p>
            <w:pPr>
              <w:widowControl/>
              <w:jc w:val="left"/>
              <w:rPr>
                <w:rFonts w:ascii="Times New Roman" w:hAnsi="Times New Roman"/>
                <w:kern w:val="0"/>
                <w:sz w:val="20"/>
                <w:szCs w:val="20"/>
              </w:rPr>
            </w:pPr>
          </w:p>
        </w:tc>
        <w:tc>
          <w:tcPr>
            <w:tcW w:w="820" w:type="dxa"/>
            <w:gridSpan w:val="2"/>
            <w:tcBorders>
              <w:top w:val="nil"/>
              <w:left w:val="nil"/>
              <w:bottom w:val="nil"/>
              <w:right w:val="nil"/>
            </w:tcBorders>
            <w:noWrap/>
            <w:vAlign w:val="center"/>
          </w:tcPr>
          <w:p>
            <w:pPr>
              <w:widowControl/>
              <w:jc w:val="left"/>
              <w:rPr>
                <w:rFonts w:ascii="Times New Roman" w:hAnsi="Times New Roman"/>
                <w:kern w:val="0"/>
                <w:sz w:val="20"/>
                <w:szCs w:val="20"/>
              </w:rPr>
            </w:pPr>
          </w:p>
        </w:tc>
        <w:tc>
          <w:tcPr>
            <w:tcW w:w="920" w:type="dxa"/>
            <w:gridSpan w:val="2"/>
            <w:tcBorders>
              <w:top w:val="nil"/>
              <w:left w:val="nil"/>
              <w:bottom w:val="nil"/>
              <w:right w:val="nil"/>
            </w:tcBorders>
            <w:noWrap/>
            <w:vAlign w:val="center"/>
          </w:tcPr>
          <w:p>
            <w:pPr>
              <w:widowControl/>
              <w:jc w:val="left"/>
              <w:rPr>
                <w:rFonts w:ascii="Times New Roman" w:hAnsi="Times New Roman"/>
                <w:kern w:val="0"/>
                <w:sz w:val="20"/>
                <w:szCs w:val="20"/>
              </w:rPr>
            </w:pPr>
          </w:p>
        </w:tc>
        <w:tc>
          <w:tcPr>
            <w:tcW w:w="880" w:type="dxa"/>
            <w:gridSpan w:val="2"/>
            <w:tcBorders>
              <w:top w:val="nil"/>
              <w:left w:val="nil"/>
              <w:bottom w:val="nil"/>
              <w:right w:val="nil"/>
            </w:tcBorders>
            <w:noWrap/>
            <w:vAlign w:val="center"/>
          </w:tcPr>
          <w:p>
            <w:pPr>
              <w:widowControl/>
              <w:jc w:val="left"/>
              <w:rPr>
                <w:rFonts w:ascii="Times New Roman" w:hAnsi="Times New Roman"/>
                <w:kern w:val="0"/>
                <w:sz w:val="20"/>
                <w:szCs w:val="20"/>
              </w:rPr>
            </w:pPr>
          </w:p>
        </w:tc>
        <w:tc>
          <w:tcPr>
            <w:tcW w:w="820" w:type="dxa"/>
            <w:tcBorders>
              <w:top w:val="nil"/>
              <w:left w:val="nil"/>
              <w:bottom w:val="nil"/>
              <w:right w:val="nil"/>
            </w:tcBorders>
            <w:noWrap/>
            <w:vAlign w:val="center"/>
          </w:tcPr>
          <w:p>
            <w:pPr>
              <w:widowControl/>
              <w:jc w:val="left"/>
              <w:rPr>
                <w:rFonts w:ascii="Times New Roman" w:hAnsi="Times New Roman"/>
                <w:kern w:val="0"/>
                <w:sz w:val="20"/>
                <w:szCs w:val="20"/>
              </w:rPr>
            </w:pPr>
          </w:p>
        </w:tc>
        <w:tc>
          <w:tcPr>
            <w:tcW w:w="940" w:type="dxa"/>
            <w:gridSpan w:val="3"/>
            <w:tcBorders>
              <w:top w:val="nil"/>
              <w:left w:val="nil"/>
              <w:bottom w:val="nil"/>
              <w:right w:val="nil"/>
            </w:tcBorders>
            <w:noWrap/>
            <w:vAlign w:val="center"/>
          </w:tcPr>
          <w:p>
            <w:pPr>
              <w:widowControl/>
              <w:jc w:val="left"/>
              <w:rPr>
                <w:rFonts w:ascii="Times New Roman" w:hAnsi="Times New Roman"/>
                <w:kern w:val="0"/>
                <w:sz w:val="20"/>
                <w:szCs w:val="20"/>
              </w:rPr>
            </w:pPr>
          </w:p>
        </w:tc>
        <w:tc>
          <w:tcPr>
            <w:tcW w:w="2856" w:type="dxa"/>
            <w:gridSpan w:val="4"/>
            <w:tcBorders>
              <w:top w:val="single" w:color="auto" w:sz="4" w:space="0"/>
              <w:left w:val="nil"/>
              <w:bottom w:val="nil"/>
              <w:right w:val="nil"/>
            </w:tcBorders>
            <w:noWrap/>
            <w:vAlign w:val="center"/>
          </w:tcPr>
          <w:p>
            <w:pPr>
              <w:widowControl/>
              <w:jc w:val="left"/>
              <w:rPr>
                <w:rFonts w:ascii="宋体" w:cs="宋体"/>
                <w:color w:val="000000"/>
                <w:kern w:val="0"/>
                <w:sz w:val="22"/>
              </w:rPr>
            </w:pPr>
            <w:r>
              <w:rPr>
                <w:rFonts w:hint="eastAsia" w:ascii="宋体" w:hAnsi="宋体" w:cs="宋体"/>
                <w:color w:val="000000"/>
                <w:kern w:val="0"/>
                <w:sz w:val="22"/>
              </w:rPr>
              <w:t>填报人（签名）：吴浩</w:t>
            </w:r>
          </w:p>
        </w:tc>
      </w:tr>
    </w:tbl>
    <w:p>
      <w:pPr>
        <w:rPr>
          <w:rFonts w:ascii="宋体"/>
          <w:sz w:val="28"/>
          <w:szCs w:val="28"/>
        </w:rPr>
      </w:pPr>
    </w:p>
    <w:p>
      <w:pPr>
        <w:rPr>
          <w:rFonts w:ascii="宋体"/>
          <w:sz w:val="28"/>
          <w:szCs w:val="28"/>
        </w:rPr>
      </w:pPr>
    </w:p>
    <w:p>
      <w:pPr>
        <w:rPr>
          <w:rFonts w:ascii="宋体"/>
          <w:sz w:val="28"/>
          <w:szCs w:val="28"/>
        </w:rPr>
      </w:pPr>
    </w:p>
    <w:p>
      <w:pPr>
        <w:rPr>
          <w:rFonts w:ascii="宋体"/>
          <w:sz w:val="28"/>
          <w:szCs w:val="28"/>
        </w:rPr>
      </w:pPr>
    </w:p>
    <w:p>
      <w:pPr>
        <w:rPr>
          <w:rFonts w:ascii="宋体"/>
          <w:sz w:val="28"/>
          <w:szCs w:val="28"/>
        </w:rPr>
      </w:pPr>
      <w:r>
        <w:rPr>
          <w:rFonts w:hint="eastAsia" w:ascii="宋体" w:hAnsi="宋体"/>
          <w:sz w:val="28"/>
          <w:szCs w:val="28"/>
        </w:rPr>
        <w:t>附件</w:t>
      </w:r>
      <w:r>
        <w:rPr>
          <w:rFonts w:ascii="宋体" w:hAnsi="宋体"/>
          <w:sz w:val="28"/>
          <w:szCs w:val="28"/>
        </w:rPr>
        <w:t>3</w:t>
      </w:r>
      <w:r>
        <w:rPr>
          <w:rFonts w:ascii="宋体"/>
          <w:sz w:val="28"/>
          <w:szCs w:val="28"/>
        </w:rPr>
        <w:t>.</w:t>
      </w:r>
    </w:p>
    <w:p>
      <w:pPr>
        <w:spacing w:line="720" w:lineRule="exact"/>
        <w:jc w:val="center"/>
        <w:textAlignment w:val="baseline"/>
        <w:rPr>
          <w:rFonts w:ascii="方正大标宋简体" w:hAnsi="黑体" w:eastAsia="方正大标宋简体" w:cs="黑体"/>
          <w:sz w:val="48"/>
          <w:szCs w:val="48"/>
        </w:rPr>
      </w:pPr>
      <w:r>
        <w:rPr>
          <w:rFonts w:ascii="方正大标宋简体" w:hAnsi="黑体" w:eastAsia="方正大标宋简体" w:cs="黑体"/>
          <w:sz w:val="48"/>
          <w:szCs w:val="48"/>
        </w:rPr>
        <w:t>2020</w:t>
      </w:r>
      <w:r>
        <w:rPr>
          <w:rFonts w:hint="eastAsia" w:ascii="方正大标宋简体" w:hAnsi="黑体" w:eastAsia="方正大标宋简体" w:cs="黑体"/>
          <w:sz w:val="48"/>
          <w:szCs w:val="48"/>
        </w:rPr>
        <w:t>年度绩效考核汇报材料</w:t>
      </w:r>
      <w:r>
        <w:rPr>
          <w:rFonts w:ascii="方正大标宋简体" w:hAnsi="黑体" w:eastAsia="方正大标宋简体" w:cs="黑体"/>
          <w:sz w:val="48"/>
          <w:szCs w:val="48"/>
        </w:rPr>
        <w:t xml:space="preserve"> </w:t>
      </w:r>
    </w:p>
    <w:p>
      <w:pPr>
        <w:spacing w:line="640" w:lineRule="exact"/>
        <w:jc w:val="center"/>
        <w:textAlignment w:val="baseline"/>
        <w:rPr>
          <w:rFonts w:ascii="楷体" w:hAnsi="楷体" w:eastAsia="楷体" w:cs="楷体"/>
          <w:sz w:val="32"/>
          <w:szCs w:val="32"/>
        </w:rPr>
      </w:pPr>
      <w:r>
        <w:rPr>
          <w:rFonts w:hint="eastAsia" w:ascii="楷体" w:hAnsi="楷体" w:eastAsia="楷体" w:cs="楷体"/>
          <w:sz w:val="32"/>
          <w:szCs w:val="32"/>
        </w:rPr>
        <w:t>岳阳市建设工程质量安全监督站</w:t>
      </w:r>
    </w:p>
    <w:p>
      <w:pPr>
        <w:spacing w:line="640" w:lineRule="exact"/>
        <w:jc w:val="center"/>
        <w:textAlignment w:val="baseline"/>
        <w:rPr>
          <w:rFonts w:ascii="楷体" w:hAnsi="楷体" w:eastAsia="楷体" w:cs="楷体"/>
          <w:sz w:val="32"/>
          <w:szCs w:val="32"/>
        </w:rPr>
      </w:pPr>
      <w:r>
        <w:rPr>
          <w:rFonts w:ascii="楷体" w:hAnsi="楷体" w:eastAsia="楷体" w:cs="楷体"/>
          <w:sz w:val="32"/>
          <w:szCs w:val="32"/>
        </w:rPr>
        <w:t>2021</w:t>
      </w:r>
      <w:r>
        <w:rPr>
          <w:rFonts w:hint="eastAsia" w:ascii="楷体" w:hAnsi="楷体" w:eastAsia="楷体" w:cs="楷体"/>
          <w:sz w:val="32"/>
          <w:szCs w:val="32"/>
        </w:rPr>
        <w:t>年元月</w:t>
      </w:r>
      <w:r>
        <w:rPr>
          <w:rFonts w:ascii="楷体" w:hAnsi="楷体" w:eastAsia="楷体" w:cs="楷体"/>
          <w:sz w:val="32"/>
          <w:szCs w:val="32"/>
        </w:rPr>
        <w:t>5</w:t>
      </w:r>
      <w:r>
        <w:rPr>
          <w:rFonts w:hint="eastAsia" w:ascii="楷体" w:hAnsi="楷体" w:eastAsia="楷体" w:cs="楷体"/>
          <w:sz w:val="32"/>
          <w:szCs w:val="32"/>
        </w:rPr>
        <w:t>日</w:t>
      </w:r>
    </w:p>
    <w:p>
      <w:pPr>
        <w:spacing w:line="600" w:lineRule="exact"/>
        <w:textAlignment w:val="baseline"/>
        <w:rPr>
          <w:rFonts w:ascii="仿宋" w:hAnsi="仿宋" w:eastAsia="仿宋" w:cs="仿宋"/>
          <w:sz w:val="32"/>
          <w:szCs w:val="32"/>
        </w:rPr>
      </w:pPr>
    </w:p>
    <w:p>
      <w:pPr>
        <w:spacing w:line="630" w:lineRule="exact"/>
        <w:ind w:firstLine="640" w:firstLineChars="200"/>
        <w:textAlignment w:val="baseline"/>
        <w:rPr>
          <w:rFonts w:ascii="宋体" w:cs="仿宋"/>
          <w:sz w:val="32"/>
          <w:szCs w:val="32"/>
        </w:rPr>
      </w:pPr>
      <w:r>
        <w:rPr>
          <w:rFonts w:ascii="宋体" w:hAnsi="宋体" w:cs="仿宋"/>
          <w:sz w:val="32"/>
          <w:szCs w:val="32"/>
        </w:rPr>
        <w:t>2020</w:t>
      </w:r>
      <w:r>
        <w:rPr>
          <w:rFonts w:hint="eastAsia" w:ascii="宋体" w:hAnsi="宋体" w:cs="仿宋"/>
          <w:sz w:val="32"/>
          <w:szCs w:val="32"/>
        </w:rPr>
        <w:t>年，既是“十三五”收官之年亦是我站机构改革重建新班子、构建新格局、展示新姿态的起始之年。</w:t>
      </w:r>
    </w:p>
    <w:p>
      <w:pPr>
        <w:spacing w:line="630" w:lineRule="exact"/>
        <w:ind w:firstLine="640" w:firstLineChars="200"/>
        <w:textAlignment w:val="baseline"/>
        <w:rPr>
          <w:rFonts w:ascii="宋体" w:cs="仿宋"/>
          <w:sz w:val="32"/>
          <w:szCs w:val="32"/>
        </w:rPr>
      </w:pPr>
      <w:r>
        <w:rPr>
          <w:rFonts w:hint="eastAsia" w:ascii="宋体" w:hAnsi="宋体" w:cs="仿宋"/>
          <w:sz w:val="32"/>
          <w:szCs w:val="32"/>
        </w:rPr>
        <w:t>过去的一年，我站克服机构改革事务工作调整、人员工作安排调整的实际困难，全体同仁务实、团结、严谨、高效尽职履责，真正形成了思想上高度统一、工作上高位推进、纪律上高压态势的新局面。全体同仁怀着对人民负责的态度，工作中充满激情，在监督过程中踏石留印、抓铁有痕；在建筑产品质量提升和安全隐患消除中，风雨无阻、真抓实干；在执法过程中事实清楚、程序规范、适用法律得当；在接待群众来信来访政策解答清晰，服务群众意识较强。充分展现了我站“党务</w:t>
      </w:r>
      <w:r>
        <w:rPr>
          <w:rFonts w:ascii="宋体" w:hAnsi="宋体" w:cs="仿宋"/>
          <w:sz w:val="32"/>
          <w:szCs w:val="32"/>
        </w:rPr>
        <w:t>+</w:t>
      </w:r>
      <w:r>
        <w:rPr>
          <w:rFonts w:hint="eastAsia" w:ascii="宋体" w:hAnsi="宋体" w:cs="仿宋"/>
          <w:sz w:val="32"/>
          <w:szCs w:val="32"/>
        </w:rPr>
        <w:t>业务”、“质量</w:t>
      </w:r>
      <w:r>
        <w:rPr>
          <w:rFonts w:ascii="宋体" w:hAnsi="宋体" w:cs="仿宋"/>
          <w:sz w:val="32"/>
          <w:szCs w:val="32"/>
        </w:rPr>
        <w:t>+</w:t>
      </w:r>
      <w:r>
        <w:rPr>
          <w:rFonts w:hint="eastAsia" w:ascii="宋体" w:hAnsi="宋体" w:cs="仿宋"/>
          <w:sz w:val="32"/>
          <w:szCs w:val="32"/>
        </w:rPr>
        <w:t>安全”、“监督</w:t>
      </w:r>
      <w:r>
        <w:rPr>
          <w:rFonts w:ascii="宋体" w:hAnsi="宋体" w:cs="仿宋"/>
          <w:sz w:val="32"/>
          <w:szCs w:val="32"/>
        </w:rPr>
        <w:t>+</w:t>
      </w:r>
      <w:r>
        <w:rPr>
          <w:rFonts w:hint="eastAsia" w:ascii="宋体" w:hAnsi="宋体" w:cs="仿宋"/>
          <w:sz w:val="32"/>
          <w:szCs w:val="32"/>
        </w:rPr>
        <w:t>服务”、“现场</w:t>
      </w:r>
      <w:r>
        <w:rPr>
          <w:rFonts w:ascii="宋体" w:hAnsi="宋体" w:cs="仿宋"/>
          <w:sz w:val="32"/>
          <w:szCs w:val="32"/>
        </w:rPr>
        <w:t>+</w:t>
      </w:r>
      <w:r>
        <w:rPr>
          <w:rFonts w:hint="eastAsia" w:ascii="宋体" w:hAnsi="宋体" w:cs="仿宋"/>
          <w:sz w:val="32"/>
          <w:szCs w:val="32"/>
        </w:rPr>
        <w:t>市场”、“工地</w:t>
      </w:r>
      <w:r>
        <w:rPr>
          <w:rFonts w:ascii="宋体" w:hAnsi="宋体" w:cs="仿宋"/>
          <w:sz w:val="32"/>
          <w:szCs w:val="32"/>
        </w:rPr>
        <w:t>+</w:t>
      </w:r>
      <w:r>
        <w:rPr>
          <w:rFonts w:hint="eastAsia" w:ascii="宋体" w:hAnsi="宋体" w:cs="仿宋"/>
          <w:sz w:val="32"/>
          <w:szCs w:val="32"/>
        </w:rPr>
        <w:t>企业”的服务、监督、管理的新模式、新格局、新理念，保持了全市质量安全形势平稳的连续性。</w:t>
      </w:r>
    </w:p>
    <w:p>
      <w:pPr>
        <w:spacing w:line="630" w:lineRule="exact"/>
        <w:ind w:firstLine="640" w:firstLineChars="200"/>
        <w:textAlignment w:val="baseline"/>
        <w:rPr>
          <w:rFonts w:ascii="宋体" w:cs="黑体"/>
          <w:sz w:val="32"/>
          <w:szCs w:val="32"/>
        </w:rPr>
      </w:pPr>
      <w:r>
        <w:rPr>
          <w:rFonts w:hint="eastAsia" w:ascii="宋体" w:hAnsi="宋体" w:cs="黑体"/>
          <w:sz w:val="32"/>
          <w:szCs w:val="32"/>
        </w:rPr>
        <w:t>一、取得的工作成效</w:t>
      </w:r>
    </w:p>
    <w:p>
      <w:pPr>
        <w:spacing w:line="630" w:lineRule="exact"/>
        <w:ind w:firstLine="640" w:firstLineChars="200"/>
        <w:textAlignment w:val="baseline"/>
        <w:rPr>
          <w:rFonts w:ascii="宋体" w:cs="楷体"/>
          <w:b/>
          <w:bCs/>
          <w:sz w:val="32"/>
          <w:szCs w:val="32"/>
        </w:rPr>
      </w:pPr>
      <w:r>
        <w:rPr>
          <w:rFonts w:hint="eastAsia" w:ascii="宋体" w:hAnsi="宋体" w:cs="楷体"/>
          <w:b/>
          <w:bCs/>
          <w:sz w:val="32"/>
          <w:szCs w:val="32"/>
        </w:rPr>
        <w:t>（一）抓党建，单位政治能力显著提升</w:t>
      </w:r>
    </w:p>
    <w:p>
      <w:pPr>
        <w:spacing w:line="630" w:lineRule="exact"/>
        <w:ind w:firstLine="640" w:firstLineChars="200"/>
        <w:textAlignment w:val="baseline"/>
        <w:rPr>
          <w:rFonts w:ascii="宋体" w:cs="仿宋"/>
          <w:sz w:val="32"/>
          <w:szCs w:val="32"/>
        </w:rPr>
      </w:pPr>
      <w:r>
        <w:rPr>
          <w:rFonts w:hint="eastAsia" w:ascii="宋体" w:hAnsi="宋体" w:cs="仿宋"/>
          <w:sz w:val="32"/>
          <w:szCs w:val="32"/>
        </w:rPr>
        <w:t>过去的一年，始终坚持党建引领全站工作，以习近平新时代中国特色社会主义思想为指导，始终把政治建设摆在首位，引导全体干部职工提高政治站位，增强</w:t>
      </w:r>
      <w:r>
        <w:rPr>
          <w:rFonts w:hint="eastAsia" w:ascii="宋体" w:cs="仿宋"/>
          <w:sz w:val="32"/>
          <w:szCs w:val="32"/>
        </w:rPr>
        <w:t>“</w:t>
      </w:r>
      <w:r>
        <w:rPr>
          <w:rFonts w:hint="eastAsia" w:ascii="宋体" w:hAnsi="宋体" w:cs="仿宋"/>
          <w:sz w:val="32"/>
          <w:szCs w:val="32"/>
        </w:rPr>
        <w:t>四个意识</w:t>
      </w:r>
      <w:r>
        <w:rPr>
          <w:rFonts w:hint="eastAsia" w:ascii="宋体" w:cs="仿宋"/>
          <w:sz w:val="32"/>
          <w:szCs w:val="32"/>
        </w:rPr>
        <w:t>”</w:t>
      </w:r>
      <w:r>
        <w:rPr>
          <w:rFonts w:hint="eastAsia" w:ascii="宋体" w:hAnsi="宋体" w:cs="仿宋"/>
          <w:sz w:val="32"/>
          <w:szCs w:val="32"/>
        </w:rPr>
        <w:t>，坚定</w:t>
      </w:r>
      <w:r>
        <w:rPr>
          <w:rFonts w:hint="eastAsia" w:ascii="宋体" w:cs="仿宋"/>
          <w:sz w:val="32"/>
          <w:szCs w:val="32"/>
        </w:rPr>
        <w:t>“</w:t>
      </w:r>
      <w:r>
        <w:rPr>
          <w:rFonts w:hint="eastAsia" w:ascii="宋体" w:hAnsi="宋体" w:cs="仿宋"/>
          <w:sz w:val="32"/>
          <w:szCs w:val="32"/>
        </w:rPr>
        <w:t>四个自信</w:t>
      </w:r>
      <w:r>
        <w:rPr>
          <w:rFonts w:hint="eastAsia" w:ascii="宋体" w:cs="仿宋"/>
          <w:sz w:val="32"/>
          <w:szCs w:val="32"/>
        </w:rPr>
        <w:t>”</w:t>
      </w:r>
      <w:r>
        <w:rPr>
          <w:rFonts w:hint="eastAsia" w:ascii="宋体" w:hAnsi="宋体" w:cs="仿宋"/>
          <w:sz w:val="32"/>
          <w:szCs w:val="32"/>
        </w:rPr>
        <w:t>，做到</w:t>
      </w:r>
      <w:r>
        <w:rPr>
          <w:rFonts w:hint="eastAsia" w:ascii="宋体" w:cs="仿宋"/>
          <w:sz w:val="32"/>
          <w:szCs w:val="32"/>
        </w:rPr>
        <w:t>“</w:t>
      </w:r>
      <w:r>
        <w:rPr>
          <w:rFonts w:hint="eastAsia" w:ascii="宋体" w:hAnsi="宋体" w:cs="仿宋"/>
          <w:sz w:val="32"/>
          <w:szCs w:val="32"/>
        </w:rPr>
        <w:t>两个维护</w:t>
      </w:r>
      <w:r>
        <w:rPr>
          <w:rFonts w:hint="eastAsia" w:ascii="宋体" w:cs="仿宋"/>
          <w:sz w:val="32"/>
          <w:szCs w:val="32"/>
        </w:rPr>
        <w:t>”</w:t>
      </w:r>
      <w:r>
        <w:rPr>
          <w:rFonts w:hint="eastAsia" w:ascii="宋体" w:hAnsi="宋体" w:cs="仿宋"/>
          <w:sz w:val="32"/>
          <w:szCs w:val="32"/>
        </w:rPr>
        <w:t>。一是以为人民服务为中心。多次开展“党员进企业、进工地”活动，实现党建与监督工作紧密结合。二是强化理论学习基石。加强支部“五化”建设，确保学习成效。三是加强党的阵地建设。夯实基层组织建设和积极开展文明单位创建活动，让组织生活丰富多样。市级文明单位创建正待验收通过。四是提升战斗堡垒作用。树典型、学先进，营造学比赶超的浓厚氛围。五是加强党风廉政建设。所有干部职工年度签订廉政承诺书和安全生产责任状，监督人员向所有项目作出“十不准”廉洁承诺。</w:t>
      </w:r>
    </w:p>
    <w:p>
      <w:pPr>
        <w:spacing w:line="630" w:lineRule="exact"/>
        <w:ind w:firstLine="640" w:firstLineChars="200"/>
        <w:textAlignment w:val="baseline"/>
        <w:rPr>
          <w:rFonts w:ascii="宋体" w:cs="楷体"/>
          <w:b/>
          <w:bCs/>
          <w:sz w:val="32"/>
          <w:szCs w:val="32"/>
        </w:rPr>
      </w:pPr>
      <w:r>
        <w:rPr>
          <w:rFonts w:hint="eastAsia" w:ascii="宋体" w:hAnsi="宋体" w:cs="楷体"/>
          <w:b/>
          <w:bCs/>
          <w:sz w:val="32"/>
          <w:szCs w:val="32"/>
        </w:rPr>
        <w:t>（二）抓队伍，职工整体素质显著提升</w:t>
      </w:r>
    </w:p>
    <w:p>
      <w:pPr>
        <w:spacing w:line="630" w:lineRule="exact"/>
        <w:ind w:firstLine="640" w:firstLineChars="200"/>
        <w:textAlignment w:val="baseline"/>
        <w:rPr>
          <w:rFonts w:ascii="宋体" w:cs="仿宋"/>
          <w:sz w:val="32"/>
          <w:szCs w:val="32"/>
        </w:rPr>
      </w:pPr>
      <w:r>
        <w:rPr>
          <w:rFonts w:ascii="宋体" w:hAnsi="宋体" w:cs="仿宋"/>
          <w:color w:val="000000"/>
          <w:sz w:val="32"/>
          <w:szCs w:val="32"/>
        </w:rPr>
        <w:t>2020</w:t>
      </w:r>
      <w:r>
        <w:rPr>
          <w:rFonts w:hint="eastAsia" w:ascii="宋体" w:hAnsi="宋体" w:cs="仿宋"/>
          <w:color w:val="000000"/>
          <w:sz w:val="32"/>
          <w:szCs w:val="32"/>
        </w:rPr>
        <w:t>年</w:t>
      </w:r>
      <w:r>
        <w:rPr>
          <w:rFonts w:ascii="宋体" w:hAnsi="宋体" w:cs="仿宋"/>
          <w:color w:val="000000"/>
          <w:sz w:val="32"/>
          <w:szCs w:val="32"/>
        </w:rPr>
        <w:t>5</w:t>
      </w:r>
      <w:r>
        <w:rPr>
          <w:rFonts w:hint="eastAsia" w:ascii="宋体" w:hAnsi="宋体" w:cs="仿宋"/>
          <w:color w:val="000000"/>
          <w:sz w:val="32"/>
          <w:szCs w:val="32"/>
        </w:rPr>
        <w:t>月，原市质安监站、房屋安全鉴定办、劳保办、室内装修办组建岳阳市建设工程质量安全监督站，设立岳阳楼区分站、经开区分站、新港区分站、房屋安全和装饰装修分站等</w:t>
      </w:r>
      <w:r>
        <w:rPr>
          <w:rFonts w:ascii="宋体" w:hAnsi="宋体" w:cs="仿宋"/>
          <w:color w:val="000000"/>
          <w:sz w:val="32"/>
          <w:szCs w:val="32"/>
        </w:rPr>
        <w:t>4</w:t>
      </w:r>
      <w:r>
        <w:rPr>
          <w:rFonts w:hint="eastAsia" w:ascii="宋体" w:hAnsi="宋体" w:cs="仿宋"/>
          <w:color w:val="000000"/>
          <w:sz w:val="32"/>
          <w:szCs w:val="32"/>
        </w:rPr>
        <w:t>个分支机构。新单位成立后，在新班子的带领下不断促进工作融合、人员融合，形成了较为稳定、顺畅的工作机制。</w:t>
      </w:r>
      <w:r>
        <w:rPr>
          <w:rFonts w:hint="eastAsia" w:ascii="宋体" w:hAnsi="宋体" w:cs="仿宋"/>
          <w:sz w:val="32"/>
          <w:szCs w:val="32"/>
        </w:rPr>
        <w:t>一方面，我站坚持任人唯贤、任人为能，多人被推荐和提拔到领导岗位，干部档案清理、人事报表及时准确，无人员被问责。另一方面，狠抓意识形态教育和专业技术教育，不断提高队伍理论水平和专业素质，全体职工的责任意识、担当意识、大局意识和服务意识显著提高，干部队伍德能勤绩廉全面达标，干部职工敢拼搏、敢担当、敢创新，打造了一支立场坚定、为民服务的监督队伍。</w:t>
      </w:r>
    </w:p>
    <w:p>
      <w:pPr>
        <w:spacing w:line="630" w:lineRule="exact"/>
        <w:ind w:firstLine="640" w:firstLineChars="200"/>
        <w:textAlignment w:val="baseline"/>
        <w:rPr>
          <w:rFonts w:ascii="宋体" w:cs="楷体"/>
          <w:b/>
          <w:bCs/>
          <w:sz w:val="32"/>
          <w:szCs w:val="32"/>
        </w:rPr>
      </w:pPr>
      <w:r>
        <w:rPr>
          <w:rFonts w:hint="eastAsia" w:ascii="宋体" w:hAnsi="宋体" w:cs="楷体"/>
          <w:b/>
          <w:bCs/>
          <w:sz w:val="32"/>
          <w:szCs w:val="32"/>
        </w:rPr>
        <w:t>（三）抓主业，质量安全水平显著提升</w:t>
      </w:r>
    </w:p>
    <w:p>
      <w:pPr>
        <w:spacing w:line="630" w:lineRule="exact"/>
        <w:ind w:firstLine="640" w:firstLineChars="200"/>
        <w:textAlignment w:val="baseline"/>
        <w:rPr>
          <w:rFonts w:ascii="宋体" w:cs="仿宋"/>
          <w:sz w:val="32"/>
          <w:szCs w:val="32"/>
        </w:rPr>
      </w:pPr>
      <w:r>
        <w:rPr>
          <w:rFonts w:hint="eastAsia" w:ascii="宋体" w:hAnsi="宋体" w:cs="仿宋"/>
          <w:sz w:val="32"/>
          <w:szCs w:val="32"/>
        </w:rPr>
        <w:t>服务经济新常态和供给侧结构性改革是迈进质量时代的总任务。我站始终坚持严格监管就是最好服务的工作理念，做好工程质量安全的“监督卫士”和人民群众利益的“护卫队”；始终坚持让人民群众过上有质量、有品质的生活，搞好质量服务，让企业生产更高品质的产品，促进全市经济社会更高质量的发展；始终坚持以质量安全监督为主业，通过优化监管模式、创新监管方式等手段全面提高质量服务的供给能力。</w:t>
      </w:r>
    </w:p>
    <w:p>
      <w:pPr>
        <w:spacing w:line="630" w:lineRule="exact"/>
        <w:ind w:firstLine="640" w:firstLineChars="200"/>
        <w:textAlignment w:val="baseline"/>
        <w:rPr>
          <w:rFonts w:ascii="宋体" w:cs="仿宋"/>
          <w:sz w:val="32"/>
          <w:szCs w:val="32"/>
        </w:rPr>
      </w:pPr>
      <w:r>
        <w:rPr>
          <w:rFonts w:hint="eastAsia" w:ascii="宋体" w:hAnsi="宋体" w:cs="仿宋"/>
          <w:sz w:val="32"/>
          <w:szCs w:val="32"/>
        </w:rPr>
        <w:t>一直以来，我站不断调整监管模式，逐渐由“保姆式”向“教练式”转变，倒逼企业落实主体责任，监督从强执法转变；不断丰富监督手段，通过第三方抽检、红黄牌警示、差别化管理、部门联动联合惩戒等手段，将政府监督、社会监督、舆论监督结合起来形成合力，特别是加大媒体曝光力度，每年至少两次在日报、晚报等媒体曝光企业违规行为，起到了很好的警示震慑效果；不断加大处罚力度，深入开展“打非治违”工作，实施一案多查、以案释法，全年立案数十起，经济处罚数百万元。</w:t>
      </w:r>
    </w:p>
    <w:p>
      <w:pPr>
        <w:spacing w:line="630" w:lineRule="exact"/>
        <w:ind w:firstLine="640" w:firstLineChars="200"/>
        <w:textAlignment w:val="baseline"/>
        <w:rPr>
          <w:rFonts w:ascii="宋体" w:cs="仿宋"/>
          <w:sz w:val="32"/>
          <w:szCs w:val="32"/>
        </w:rPr>
      </w:pPr>
      <w:r>
        <w:rPr>
          <w:rFonts w:hint="eastAsia" w:ascii="宋体" w:hAnsi="宋体" w:cs="仿宋"/>
          <w:sz w:val="32"/>
          <w:szCs w:val="32"/>
        </w:rPr>
        <w:t>随着监管的进一步规范化，企业的质量安全意识和尊法守法意识逐渐提高，争先创优的积极性更强，施工现场的管理更标准、更规范，违法施工、违章作业的现象明显减少，人民群众的投诉逐渐减少，工程质量安全水平逐步提高。</w:t>
      </w:r>
    </w:p>
    <w:p>
      <w:pPr>
        <w:spacing w:line="630" w:lineRule="exact"/>
        <w:ind w:firstLine="640" w:firstLineChars="200"/>
        <w:textAlignment w:val="baseline"/>
        <w:rPr>
          <w:rFonts w:ascii="宋体" w:cs="楷体"/>
          <w:b/>
          <w:bCs/>
          <w:sz w:val="32"/>
          <w:szCs w:val="32"/>
        </w:rPr>
      </w:pPr>
      <w:r>
        <w:rPr>
          <w:rFonts w:hint="eastAsia" w:ascii="宋体" w:hAnsi="宋体" w:cs="楷体"/>
          <w:b/>
          <w:bCs/>
          <w:sz w:val="32"/>
          <w:szCs w:val="32"/>
        </w:rPr>
        <w:t>（四）抓制度，工作作风效能显著提升</w:t>
      </w:r>
    </w:p>
    <w:p>
      <w:pPr>
        <w:spacing w:line="630" w:lineRule="exact"/>
        <w:ind w:firstLine="640" w:firstLineChars="200"/>
        <w:textAlignment w:val="baseline"/>
        <w:rPr>
          <w:rFonts w:ascii="宋体" w:cs="仿宋"/>
          <w:sz w:val="32"/>
          <w:szCs w:val="32"/>
        </w:rPr>
      </w:pPr>
      <w:r>
        <w:rPr>
          <w:rFonts w:hint="eastAsia" w:ascii="宋体" w:hAnsi="宋体" w:cs="仿宋"/>
          <w:sz w:val="32"/>
          <w:szCs w:val="32"/>
        </w:rPr>
        <w:t>认真谋划、主动作为，深化监督体系建设。在业务管理方面，严格贯彻执行全省监督规范化管理要求，细化质量安全监督注册、开工条件审查、监督分部工程验收和竣工验收、质量安全标准化考评、监督检查等业务工作制度。创新工作思路，先后选调</w:t>
      </w:r>
      <w:r>
        <w:rPr>
          <w:rFonts w:ascii="宋体" w:hAnsi="宋体" w:cs="仿宋"/>
          <w:sz w:val="32"/>
          <w:szCs w:val="32"/>
        </w:rPr>
        <w:t>10</w:t>
      </w:r>
      <w:r>
        <w:rPr>
          <w:rFonts w:hint="eastAsia" w:ascii="宋体" w:hAnsi="宋体" w:cs="仿宋"/>
          <w:sz w:val="32"/>
          <w:szCs w:val="32"/>
        </w:rPr>
        <w:t>多名县市区监督人员在市站跟班学习、监督工程师实施一月一考核，一年一测评，定期开展业务培训和廉政教育，确保人员业务水平不掉队，思想水平不落后。在内部管理方面，坚持不破不立原则，建立包含办文、学习、信息报送、财务等</w:t>
      </w:r>
      <w:r>
        <w:rPr>
          <w:rFonts w:ascii="宋体" w:hAnsi="宋体" w:cs="仿宋"/>
          <w:sz w:val="32"/>
          <w:szCs w:val="32"/>
        </w:rPr>
        <w:t>20</w:t>
      </w:r>
      <w:r>
        <w:rPr>
          <w:rFonts w:hint="eastAsia" w:ascii="宋体" w:hAnsi="宋体" w:cs="仿宋"/>
          <w:sz w:val="32"/>
          <w:szCs w:val="32"/>
        </w:rPr>
        <w:t>多个内部工作制度制（修）订，利用纪监手段，强化制度执行，打造“学习型机关、效能型机关、服务型机关”。</w:t>
      </w:r>
    </w:p>
    <w:p>
      <w:pPr>
        <w:spacing w:line="630" w:lineRule="exact"/>
        <w:ind w:firstLine="640" w:firstLineChars="200"/>
        <w:textAlignment w:val="baseline"/>
        <w:rPr>
          <w:rFonts w:ascii="宋体" w:cs="仿宋"/>
          <w:sz w:val="32"/>
          <w:szCs w:val="32"/>
        </w:rPr>
      </w:pPr>
      <w:r>
        <w:rPr>
          <w:rFonts w:hint="eastAsia" w:ascii="宋体" w:hAnsi="宋体" w:cs="仿宋"/>
          <w:color w:val="000000"/>
          <w:sz w:val="32"/>
          <w:szCs w:val="32"/>
        </w:rPr>
        <w:t>另外，</w:t>
      </w:r>
      <w:r>
        <w:rPr>
          <w:rFonts w:hint="eastAsia" w:ascii="宋体" w:hAnsi="宋体" w:cs="仿宋"/>
          <w:sz w:val="32"/>
          <w:szCs w:val="32"/>
        </w:rPr>
        <w:t>认真落实市长信箱、公众服务热线、临时接访、维稳处理、禁毒日宣传、反恐宣传、扫黑除恶等工作，积极参与平安单位建设、集中化解房地产办证信访突出问题、社会综治民调、走访生活困难党员、帮扶扶贫对象、职工体检、义务献血等活动，每次做到专人负责，定时定量完成任务。单位财务工作规范，制度健全，运转正常。工青妇群团组织活动开展正常。</w:t>
      </w:r>
    </w:p>
    <w:p>
      <w:pPr>
        <w:spacing w:line="630" w:lineRule="exact"/>
        <w:ind w:firstLine="640" w:firstLineChars="200"/>
        <w:textAlignment w:val="baseline"/>
        <w:rPr>
          <w:rFonts w:ascii="宋体" w:cs="黑体"/>
          <w:sz w:val="32"/>
          <w:szCs w:val="32"/>
        </w:rPr>
      </w:pPr>
      <w:r>
        <w:rPr>
          <w:rFonts w:hint="eastAsia" w:ascii="宋体" w:hAnsi="宋体" w:cs="黑体"/>
          <w:sz w:val="32"/>
          <w:szCs w:val="32"/>
        </w:rPr>
        <w:t>二、业务工作情况</w:t>
      </w:r>
    </w:p>
    <w:p>
      <w:pPr>
        <w:spacing w:line="630" w:lineRule="exact"/>
        <w:ind w:firstLine="640" w:firstLineChars="200"/>
        <w:textAlignment w:val="baseline"/>
        <w:rPr>
          <w:rFonts w:ascii="宋体" w:cs="仿宋"/>
          <w:sz w:val="32"/>
          <w:szCs w:val="32"/>
        </w:rPr>
      </w:pPr>
      <w:r>
        <w:rPr>
          <w:rFonts w:hint="eastAsia" w:ascii="宋体" w:hAnsi="宋体" w:cs="仿宋"/>
          <w:color w:val="000000"/>
          <w:sz w:val="32"/>
          <w:szCs w:val="32"/>
        </w:rPr>
        <w:t>截至当前，城区在建工程项目</w:t>
      </w:r>
      <w:r>
        <w:rPr>
          <w:rFonts w:ascii="宋体" w:hAnsi="宋体" w:cs="仿宋"/>
          <w:color w:val="000000"/>
          <w:sz w:val="32"/>
          <w:szCs w:val="32"/>
        </w:rPr>
        <w:t>237</w:t>
      </w:r>
      <w:r>
        <w:rPr>
          <w:rFonts w:hint="eastAsia" w:ascii="宋体" w:hAnsi="宋体" w:cs="仿宋"/>
          <w:color w:val="000000"/>
          <w:sz w:val="32"/>
          <w:szCs w:val="32"/>
        </w:rPr>
        <w:t>个，建筑面积</w:t>
      </w:r>
      <w:r>
        <w:rPr>
          <w:rFonts w:ascii="宋体" w:hAnsi="宋体" w:cs="仿宋"/>
          <w:color w:val="000000"/>
          <w:sz w:val="32"/>
          <w:szCs w:val="32"/>
        </w:rPr>
        <w:t>1258.72</w:t>
      </w:r>
      <w:r>
        <w:rPr>
          <w:rFonts w:hint="eastAsia" w:ascii="宋体" w:hAnsi="宋体" w:cs="仿宋"/>
          <w:color w:val="000000"/>
          <w:sz w:val="32"/>
          <w:szCs w:val="32"/>
        </w:rPr>
        <w:t>万㎡。全年新受监项目</w:t>
      </w:r>
      <w:r>
        <w:rPr>
          <w:rFonts w:ascii="宋体" w:hAnsi="宋体" w:cs="仿宋"/>
          <w:color w:val="000000"/>
          <w:sz w:val="32"/>
          <w:szCs w:val="32"/>
        </w:rPr>
        <w:t>58</w:t>
      </w:r>
      <w:r>
        <w:rPr>
          <w:rFonts w:hint="eastAsia" w:ascii="宋体" w:hAnsi="宋体" w:cs="仿宋"/>
          <w:color w:val="000000"/>
          <w:sz w:val="32"/>
          <w:szCs w:val="32"/>
        </w:rPr>
        <w:t>个，办理土石方施工监督手续</w:t>
      </w:r>
      <w:r>
        <w:rPr>
          <w:rFonts w:ascii="宋体" w:hAnsi="宋体" w:cs="仿宋"/>
          <w:color w:val="000000"/>
          <w:sz w:val="32"/>
          <w:szCs w:val="32"/>
        </w:rPr>
        <w:t>6</w:t>
      </w:r>
      <w:r>
        <w:rPr>
          <w:rFonts w:hint="eastAsia" w:ascii="宋体" w:hAnsi="宋体" w:cs="仿宋"/>
          <w:color w:val="000000"/>
          <w:sz w:val="32"/>
          <w:szCs w:val="32"/>
        </w:rPr>
        <w:t>个；新受监建筑面积约</w:t>
      </w:r>
      <w:r>
        <w:rPr>
          <w:rFonts w:ascii="宋体" w:hAnsi="宋体" w:cs="仿宋"/>
          <w:color w:val="000000"/>
          <w:sz w:val="32"/>
          <w:szCs w:val="32"/>
        </w:rPr>
        <w:t>205.74</w:t>
      </w:r>
      <w:r>
        <w:rPr>
          <w:rFonts w:hint="eastAsia" w:ascii="宋体" w:hAnsi="宋体" w:cs="仿宋"/>
          <w:color w:val="000000"/>
          <w:sz w:val="32"/>
          <w:szCs w:val="32"/>
        </w:rPr>
        <w:t>万㎡；新受监工程总造价约</w:t>
      </w:r>
      <w:r>
        <w:rPr>
          <w:rFonts w:ascii="宋体" w:hAnsi="宋体" w:cs="仿宋"/>
          <w:color w:val="000000"/>
          <w:sz w:val="32"/>
          <w:szCs w:val="32"/>
        </w:rPr>
        <w:t>82.94</w:t>
      </w:r>
      <w:r>
        <w:rPr>
          <w:rFonts w:hint="eastAsia" w:ascii="宋体" w:hAnsi="宋体" w:cs="仿宋"/>
          <w:color w:val="000000"/>
          <w:sz w:val="32"/>
          <w:szCs w:val="32"/>
        </w:rPr>
        <w:t>亿元。办理建筑起重机械产权备案</w:t>
      </w:r>
      <w:r>
        <w:rPr>
          <w:rFonts w:ascii="宋体" w:hAnsi="宋体" w:cs="仿宋"/>
          <w:color w:val="000000"/>
          <w:sz w:val="32"/>
          <w:szCs w:val="32"/>
        </w:rPr>
        <w:t>321</w:t>
      </w:r>
      <w:r>
        <w:rPr>
          <w:rFonts w:hint="eastAsia" w:ascii="宋体" w:hAnsi="宋体" w:cs="仿宋"/>
          <w:color w:val="000000"/>
          <w:sz w:val="32"/>
          <w:szCs w:val="32"/>
        </w:rPr>
        <w:t>台，办理起重机械使用登记</w:t>
      </w:r>
      <w:r>
        <w:rPr>
          <w:rFonts w:ascii="宋体" w:hAnsi="宋体" w:cs="仿宋"/>
          <w:color w:val="000000"/>
          <w:sz w:val="32"/>
          <w:szCs w:val="32"/>
        </w:rPr>
        <w:t>417</w:t>
      </w:r>
      <w:r>
        <w:rPr>
          <w:rFonts w:hint="eastAsia" w:ascii="宋体" w:hAnsi="宋体" w:cs="仿宋"/>
          <w:color w:val="000000"/>
          <w:sz w:val="32"/>
          <w:szCs w:val="32"/>
        </w:rPr>
        <w:t>份，新采集</w:t>
      </w:r>
      <w:r>
        <w:rPr>
          <w:rFonts w:ascii="宋体" w:hAnsi="宋体" w:cs="仿宋"/>
          <w:color w:val="000000"/>
          <w:sz w:val="32"/>
          <w:szCs w:val="32"/>
        </w:rPr>
        <w:t>6</w:t>
      </w:r>
      <w:r>
        <w:rPr>
          <w:rFonts w:hint="eastAsia" w:ascii="宋体" w:hAnsi="宋体" w:cs="仿宋"/>
          <w:color w:val="000000"/>
          <w:sz w:val="32"/>
          <w:szCs w:val="32"/>
        </w:rPr>
        <w:t>家建筑起重机械安装（拆卸）单位基本信息。监督竣工验收项目</w:t>
      </w:r>
      <w:r>
        <w:rPr>
          <w:rFonts w:ascii="宋体" w:hAnsi="宋体" w:cs="仿宋"/>
          <w:color w:val="000000"/>
          <w:sz w:val="32"/>
          <w:szCs w:val="32"/>
        </w:rPr>
        <w:t>47</w:t>
      </w:r>
      <w:r>
        <w:rPr>
          <w:rFonts w:hint="eastAsia" w:ascii="宋体" w:hAnsi="宋体" w:cs="仿宋"/>
          <w:color w:val="000000"/>
          <w:sz w:val="32"/>
          <w:szCs w:val="32"/>
        </w:rPr>
        <w:t>个，建筑面积</w:t>
      </w:r>
      <w:r>
        <w:rPr>
          <w:rFonts w:ascii="宋体" w:hAnsi="宋体" w:cs="仿宋"/>
          <w:color w:val="000000"/>
          <w:sz w:val="32"/>
          <w:szCs w:val="32"/>
        </w:rPr>
        <w:t>239.01</w:t>
      </w:r>
      <w:r>
        <w:rPr>
          <w:rFonts w:hint="eastAsia" w:ascii="宋体" w:hAnsi="宋体" w:cs="仿宋"/>
          <w:color w:val="000000"/>
          <w:sz w:val="32"/>
          <w:szCs w:val="32"/>
        </w:rPr>
        <w:t>万㎡；竣工验收备案</w:t>
      </w:r>
      <w:r>
        <w:rPr>
          <w:rFonts w:ascii="宋体" w:hAnsi="宋体" w:cs="仿宋"/>
          <w:color w:val="000000"/>
          <w:sz w:val="32"/>
          <w:szCs w:val="32"/>
        </w:rPr>
        <w:t>100</w:t>
      </w:r>
      <w:r>
        <w:rPr>
          <w:rFonts w:hint="eastAsia" w:ascii="宋体" w:hAnsi="宋体" w:cs="仿宋"/>
          <w:color w:val="000000"/>
          <w:sz w:val="32"/>
          <w:szCs w:val="32"/>
        </w:rPr>
        <w:t>个单位工程；</w:t>
      </w:r>
      <w:r>
        <w:rPr>
          <w:rFonts w:ascii="宋体" w:hAnsi="宋体" w:cs="仿宋"/>
          <w:sz w:val="32"/>
          <w:szCs w:val="32"/>
        </w:rPr>
        <w:t>200</w:t>
      </w:r>
      <w:r>
        <w:rPr>
          <w:rFonts w:hint="eastAsia" w:ascii="宋体" w:hAnsi="宋体" w:cs="仿宋"/>
          <w:sz w:val="32"/>
          <w:szCs w:val="32"/>
        </w:rPr>
        <w:t>余个项目参与工程质量管理和安全生产标准化考评，考评覆盖率</w:t>
      </w:r>
      <w:r>
        <w:rPr>
          <w:rFonts w:ascii="宋体" w:hAnsi="宋体" w:cs="仿宋"/>
          <w:sz w:val="32"/>
          <w:szCs w:val="32"/>
        </w:rPr>
        <w:t>100%</w:t>
      </w:r>
      <w:r>
        <w:rPr>
          <w:rFonts w:hint="eastAsia" w:ascii="宋体" w:hAnsi="宋体" w:cs="仿宋"/>
          <w:sz w:val="32"/>
          <w:szCs w:val="32"/>
        </w:rPr>
        <w:t>，单季度考评优良率</w:t>
      </w:r>
      <w:r>
        <w:rPr>
          <w:rFonts w:ascii="宋体" w:hAnsi="宋体" w:cs="仿宋"/>
          <w:sz w:val="32"/>
          <w:szCs w:val="32"/>
        </w:rPr>
        <w:t>20%</w:t>
      </w:r>
      <w:r>
        <w:rPr>
          <w:rFonts w:hint="eastAsia" w:ascii="宋体" w:hAnsi="宋体" w:cs="仿宋"/>
          <w:sz w:val="32"/>
          <w:szCs w:val="32"/>
        </w:rPr>
        <w:t>左右，合格率</w:t>
      </w:r>
      <w:r>
        <w:rPr>
          <w:rFonts w:ascii="宋体" w:hAnsi="宋体" w:cs="仿宋"/>
          <w:sz w:val="32"/>
          <w:szCs w:val="32"/>
        </w:rPr>
        <w:t>98%</w:t>
      </w:r>
      <w:r>
        <w:rPr>
          <w:rFonts w:hint="eastAsia" w:ascii="宋体" w:hAnsi="宋体" w:cs="仿宋"/>
          <w:sz w:val="32"/>
          <w:szCs w:val="32"/>
        </w:rPr>
        <w:t>以上。现场质量安全样板覆盖率</w:t>
      </w:r>
      <w:r>
        <w:rPr>
          <w:rFonts w:ascii="宋体" w:hAnsi="宋体" w:cs="仿宋"/>
          <w:sz w:val="32"/>
          <w:szCs w:val="32"/>
        </w:rPr>
        <w:t>100%</w:t>
      </w:r>
      <w:r>
        <w:rPr>
          <w:rFonts w:hint="eastAsia" w:ascii="宋体" w:hAnsi="宋体" w:cs="仿宋"/>
          <w:sz w:val="32"/>
          <w:szCs w:val="32"/>
        </w:rPr>
        <w:t>以上，中心城区有</w:t>
      </w:r>
      <w:r>
        <w:rPr>
          <w:rFonts w:ascii="宋体" w:hAnsi="宋体" w:cs="仿宋"/>
          <w:sz w:val="32"/>
          <w:szCs w:val="32"/>
        </w:rPr>
        <w:t>54</w:t>
      </w:r>
      <w:r>
        <w:rPr>
          <w:rFonts w:hint="eastAsia" w:ascii="宋体" w:hAnsi="宋体" w:cs="仿宋"/>
          <w:sz w:val="32"/>
          <w:szCs w:val="32"/>
        </w:rPr>
        <w:t>个项目获评</w:t>
      </w:r>
      <w:r>
        <w:rPr>
          <w:rFonts w:ascii="宋体" w:hAnsi="宋体" w:cs="仿宋"/>
          <w:sz w:val="32"/>
          <w:szCs w:val="32"/>
        </w:rPr>
        <w:t>2019</w:t>
      </w:r>
      <w:r>
        <w:rPr>
          <w:rFonts w:hint="eastAsia" w:ascii="宋体" w:hAnsi="宋体" w:cs="仿宋"/>
          <w:sz w:val="32"/>
          <w:szCs w:val="32"/>
        </w:rPr>
        <w:t>年省级安全生产标准化考评优良工地，</w:t>
      </w:r>
      <w:r>
        <w:rPr>
          <w:rFonts w:ascii="宋体" w:hAnsi="宋体" w:cs="仿宋"/>
          <w:sz w:val="32"/>
          <w:szCs w:val="32"/>
        </w:rPr>
        <w:t>47</w:t>
      </w:r>
      <w:r>
        <w:rPr>
          <w:rFonts w:hint="eastAsia" w:ascii="宋体" w:hAnsi="宋体" w:cs="仿宋"/>
          <w:sz w:val="32"/>
          <w:szCs w:val="32"/>
        </w:rPr>
        <w:t>个项目获评</w:t>
      </w:r>
      <w:r>
        <w:rPr>
          <w:rFonts w:ascii="宋体" w:hAnsi="宋体" w:cs="仿宋"/>
          <w:sz w:val="32"/>
          <w:szCs w:val="32"/>
        </w:rPr>
        <w:t>2019</w:t>
      </w:r>
      <w:r>
        <w:rPr>
          <w:rFonts w:hint="eastAsia" w:ascii="宋体" w:hAnsi="宋体" w:cs="仿宋"/>
          <w:sz w:val="32"/>
          <w:szCs w:val="32"/>
        </w:rPr>
        <w:t>年省级质量管理标准化考评优良工地，</w:t>
      </w:r>
      <w:r>
        <w:rPr>
          <w:rFonts w:ascii="宋体" w:hAnsi="宋体" w:cs="仿宋"/>
          <w:sz w:val="32"/>
          <w:szCs w:val="32"/>
        </w:rPr>
        <w:t>74</w:t>
      </w:r>
      <w:r>
        <w:rPr>
          <w:rFonts w:hint="eastAsia" w:ascii="宋体" w:hAnsi="宋体" w:cs="仿宋"/>
          <w:sz w:val="32"/>
          <w:szCs w:val="32"/>
        </w:rPr>
        <w:t>个项目获评</w:t>
      </w:r>
      <w:r>
        <w:rPr>
          <w:rFonts w:ascii="宋体" w:hAnsi="宋体" w:cs="仿宋"/>
          <w:sz w:val="32"/>
          <w:szCs w:val="32"/>
        </w:rPr>
        <w:t>2019</w:t>
      </w:r>
      <w:r>
        <w:rPr>
          <w:rFonts w:hint="eastAsia" w:ascii="宋体" w:hAnsi="宋体" w:cs="仿宋"/>
          <w:sz w:val="32"/>
          <w:szCs w:val="32"/>
        </w:rPr>
        <w:t>年市级质量管理标准化考评优良工地。上半年共受理质量安全投诉</w:t>
      </w:r>
      <w:r>
        <w:rPr>
          <w:rFonts w:ascii="宋体" w:hAnsi="宋体" w:cs="仿宋"/>
          <w:sz w:val="32"/>
          <w:szCs w:val="32"/>
        </w:rPr>
        <w:t xml:space="preserve"> 1233 </w:t>
      </w:r>
      <w:r>
        <w:rPr>
          <w:rFonts w:hint="eastAsia" w:ascii="宋体" w:hAnsi="宋体" w:cs="仿宋"/>
          <w:sz w:val="32"/>
          <w:szCs w:val="32"/>
        </w:rPr>
        <w:t>起，其中质量投诉</w:t>
      </w:r>
      <w:r>
        <w:rPr>
          <w:rFonts w:ascii="宋体" w:hAnsi="宋体" w:cs="仿宋"/>
          <w:sz w:val="32"/>
          <w:szCs w:val="32"/>
        </w:rPr>
        <w:t>88</w:t>
      </w:r>
      <w:r>
        <w:rPr>
          <w:rFonts w:hint="eastAsia" w:ascii="宋体" w:hAnsi="宋体" w:cs="仿宋"/>
          <w:sz w:val="32"/>
          <w:szCs w:val="32"/>
        </w:rPr>
        <w:t>起，噪音投诉</w:t>
      </w:r>
      <w:r>
        <w:rPr>
          <w:rFonts w:ascii="宋体" w:hAnsi="宋体" w:cs="仿宋"/>
          <w:sz w:val="32"/>
          <w:szCs w:val="32"/>
        </w:rPr>
        <w:t>634</w:t>
      </w:r>
      <w:r>
        <w:rPr>
          <w:rFonts w:hint="eastAsia" w:ascii="宋体" w:hAnsi="宋体" w:cs="仿宋"/>
          <w:sz w:val="32"/>
          <w:szCs w:val="32"/>
        </w:rPr>
        <w:t>余起，质量信访投诉</w:t>
      </w:r>
      <w:r>
        <w:rPr>
          <w:rFonts w:ascii="宋体" w:hAnsi="宋体" w:cs="仿宋"/>
          <w:sz w:val="32"/>
          <w:szCs w:val="32"/>
        </w:rPr>
        <w:t>25</w:t>
      </w:r>
      <w:r>
        <w:rPr>
          <w:rFonts w:hint="eastAsia" w:ascii="宋体" w:hAnsi="宋体" w:cs="仿宋"/>
          <w:sz w:val="32"/>
          <w:szCs w:val="32"/>
        </w:rPr>
        <w:t>起，处理率</w:t>
      </w:r>
      <w:r>
        <w:rPr>
          <w:rFonts w:ascii="宋体" w:hAnsi="宋体" w:cs="仿宋"/>
          <w:sz w:val="32"/>
          <w:szCs w:val="32"/>
        </w:rPr>
        <w:t>100%</w:t>
      </w:r>
      <w:r>
        <w:rPr>
          <w:rFonts w:hint="eastAsia" w:ascii="宋体" w:hAnsi="宋体" w:cs="仿宋"/>
          <w:sz w:val="32"/>
          <w:szCs w:val="32"/>
        </w:rPr>
        <w:t>、回复率</w:t>
      </w:r>
      <w:r>
        <w:rPr>
          <w:rFonts w:ascii="宋体" w:hAnsi="宋体" w:cs="仿宋"/>
          <w:sz w:val="32"/>
          <w:szCs w:val="32"/>
        </w:rPr>
        <w:t>100%</w:t>
      </w:r>
      <w:r>
        <w:rPr>
          <w:rFonts w:hint="eastAsia" w:ascii="宋体" w:hAnsi="宋体" w:cs="仿宋"/>
          <w:sz w:val="32"/>
          <w:szCs w:val="32"/>
        </w:rPr>
        <w:t>。</w:t>
      </w:r>
    </w:p>
    <w:p>
      <w:pPr>
        <w:spacing w:line="630" w:lineRule="exact"/>
        <w:ind w:firstLine="640" w:firstLineChars="200"/>
        <w:textAlignment w:val="baseline"/>
        <w:rPr>
          <w:rFonts w:ascii="宋体" w:cs="楷体"/>
          <w:b/>
          <w:bCs/>
          <w:color w:val="000000"/>
          <w:sz w:val="32"/>
          <w:szCs w:val="32"/>
        </w:rPr>
      </w:pPr>
      <w:r>
        <w:rPr>
          <w:rFonts w:hint="eastAsia" w:ascii="宋体" w:hAnsi="宋体" w:cs="楷体"/>
          <w:b/>
          <w:bCs/>
          <w:color w:val="000000"/>
          <w:sz w:val="32"/>
          <w:szCs w:val="32"/>
        </w:rPr>
        <w:t>（一）加强监督服务，确保质量安全</w:t>
      </w:r>
    </w:p>
    <w:p>
      <w:pPr>
        <w:spacing w:line="630" w:lineRule="exact"/>
        <w:ind w:firstLine="640" w:firstLineChars="200"/>
        <w:textAlignment w:val="baseline"/>
        <w:rPr>
          <w:rFonts w:ascii="宋体" w:cs="仿宋"/>
          <w:b/>
          <w:color w:val="000000"/>
          <w:sz w:val="32"/>
          <w:szCs w:val="32"/>
        </w:rPr>
      </w:pPr>
      <w:r>
        <w:rPr>
          <w:rFonts w:hint="eastAsia" w:ascii="宋体" w:hAnsi="宋体" w:cs="仿宋"/>
          <w:b/>
          <w:bCs/>
          <w:color w:val="000000"/>
          <w:sz w:val="32"/>
          <w:szCs w:val="32"/>
        </w:rPr>
        <w:t>一是工地疫情防控和复工复产“两手抓”。</w:t>
      </w:r>
      <w:r>
        <w:rPr>
          <w:rFonts w:hint="eastAsia" w:ascii="宋体" w:hAnsi="宋体" w:cs="仿宋"/>
          <w:color w:val="000000"/>
          <w:sz w:val="32"/>
          <w:szCs w:val="32"/>
        </w:rPr>
        <w:t>在新冠疫情最吃紧时期，我站派出多名骨干力量助力“君山人民医院新冠肺炎集中治疗点”、“岳阳县人民医院新冠肺炎后备集中治疗点”建设，对医院改造建设全过程进行质量安全驻点监督，协助市局按时、保质完成市委市政府交办的抢建任务。我站还派出多人参加中心城区联防联控工作组，冒着被感染风险，实行“白加黑”、“</w:t>
      </w:r>
      <w:r>
        <w:rPr>
          <w:rFonts w:ascii="宋体" w:hAnsi="宋体" w:cs="仿宋"/>
          <w:color w:val="000000"/>
          <w:sz w:val="32"/>
          <w:szCs w:val="32"/>
        </w:rPr>
        <w:t>5+2</w:t>
      </w:r>
      <w:r>
        <w:rPr>
          <w:rFonts w:hint="eastAsia" w:ascii="宋体" w:hAnsi="宋体" w:cs="仿宋"/>
          <w:color w:val="000000"/>
          <w:sz w:val="32"/>
          <w:szCs w:val="32"/>
        </w:rPr>
        <w:t>”联防联控，并与市委组织部成立</w:t>
      </w:r>
      <w:r>
        <w:rPr>
          <w:rFonts w:ascii="宋体" w:hAnsi="宋体" w:cs="仿宋"/>
          <w:color w:val="000000"/>
          <w:sz w:val="32"/>
          <w:szCs w:val="32"/>
        </w:rPr>
        <w:t>12</w:t>
      </w:r>
      <w:r>
        <w:rPr>
          <w:rFonts w:hint="eastAsia" w:ascii="宋体" w:hAnsi="宋体" w:cs="仿宋"/>
          <w:color w:val="000000"/>
          <w:sz w:val="32"/>
          <w:szCs w:val="32"/>
        </w:rPr>
        <w:t>个联点服务组，向企业赠送防疫物资和帮扶企业解决实际困难，最终实现复工率</w:t>
      </w:r>
      <w:r>
        <w:rPr>
          <w:rFonts w:ascii="宋体" w:hAnsi="宋体" w:cs="仿宋"/>
          <w:color w:val="000000"/>
          <w:sz w:val="32"/>
          <w:szCs w:val="32"/>
        </w:rPr>
        <w:t>100%</w:t>
      </w:r>
      <w:r>
        <w:rPr>
          <w:rFonts w:hint="eastAsia" w:ascii="宋体" w:hAnsi="宋体" w:cs="仿宋"/>
          <w:color w:val="000000"/>
          <w:sz w:val="32"/>
          <w:szCs w:val="32"/>
        </w:rPr>
        <w:t>的目标。</w:t>
      </w:r>
    </w:p>
    <w:p>
      <w:pPr>
        <w:spacing w:line="630" w:lineRule="exact"/>
        <w:ind w:firstLine="640" w:firstLineChars="200"/>
        <w:textAlignment w:val="baseline"/>
        <w:rPr>
          <w:rFonts w:ascii="宋体" w:cs="仿宋"/>
          <w:b/>
          <w:color w:val="000000"/>
          <w:sz w:val="32"/>
          <w:szCs w:val="32"/>
        </w:rPr>
      </w:pPr>
      <w:r>
        <w:rPr>
          <w:rFonts w:hint="eastAsia" w:ascii="宋体" w:hAnsi="宋体" w:cs="仿宋"/>
          <w:b/>
          <w:bCs/>
          <w:color w:val="000000"/>
          <w:sz w:val="32"/>
          <w:szCs w:val="32"/>
        </w:rPr>
        <w:t>二是加强建筑起重机械安全监督。</w:t>
      </w:r>
      <w:r>
        <w:rPr>
          <w:rFonts w:hint="eastAsia" w:ascii="宋体" w:hAnsi="宋体" w:cs="仿宋"/>
          <w:color w:val="000000"/>
          <w:sz w:val="32"/>
          <w:szCs w:val="32"/>
        </w:rPr>
        <w:t>深刻汲取华容“</w:t>
      </w:r>
      <w:r>
        <w:rPr>
          <w:rFonts w:ascii="宋体" w:hAnsi="宋体" w:cs="仿宋"/>
          <w:color w:val="000000"/>
          <w:sz w:val="32"/>
          <w:szCs w:val="32"/>
        </w:rPr>
        <w:t>1.23</w:t>
      </w:r>
      <w:r>
        <w:rPr>
          <w:rFonts w:hint="eastAsia" w:ascii="宋体" w:hAnsi="宋体" w:cs="仿宋"/>
          <w:color w:val="000000"/>
          <w:sz w:val="32"/>
          <w:szCs w:val="32"/>
        </w:rPr>
        <w:t>”塔吊坍塌事故教训，继续严格落实机械监督管理各项制度，建立企业强化日常管理、政府监督抽检、社会机构预防服务的事故预防机制，多次委托第三方实施机械监督抽检起重机械、爬架、吊篮等</w:t>
      </w:r>
      <w:r>
        <w:rPr>
          <w:rFonts w:ascii="宋体" w:hAnsi="宋体" w:cs="仿宋"/>
          <w:color w:val="000000"/>
          <w:sz w:val="32"/>
          <w:szCs w:val="32"/>
        </w:rPr>
        <w:t>1000</w:t>
      </w:r>
      <w:r>
        <w:rPr>
          <w:rFonts w:hint="eastAsia" w:ascii="宋体" w:hAnsi="宋体" w:cs="仿宋"/>
          <w:color w:val="000000"/>
          <w:sz w:val="32"/>
          <w:szCs w:val="32"/>
        </w:rPr>
        <w:t>余次，消除安全隐患</w:t>
      </w:r>
      <w:r>
        <w:rPr>
          <w:rFonts w:ascii="宋体" w:hAnsi="宋体" w:cs="仿宋"/>
          <w:color w:val="000000"/>
          <w:sz w:val="32"/>
          <w:szCs w:val="32"/>
        </w:rPr>
        <w:t>6000</w:t>
      </w:r>
      <w:r>
        <w:rPr>
          <w:rFonts w:hint="eastAsia" w:ascii="宋体" w:hAnsi="宋体" w:cs="仿宋"/>
          <w:color w:val="000000"/>
          <w:sz w:val="32"/>
          <w:szCs w:val="32"/>
        </w:rPr>
        <w:t>余条，停工整改近</w:t>
      </w:r>
      <w:r>
        <w:rPr>
          <w:rFonts w:ascii="宋体" w:hAnsi="宋体" w:cs="仿宋"/>
          <w:color w:val="000000"/>
          <w:sz w:val="32"/>
          <w:szCs w:val="32"/>
        </w:rPr>
        <w:t>100</w:t>
      </w:r>
      <w:r>
        <w:rPr>
          <w:rFonts w:hint="eastAsia" w:ascii="宋体" w:hAnsi="宋体" w:cs="仿宋"/>
          <w:color w:val="000000"/>
          <w:sz w:val="32"/>
          <w:szCs w:val="32"/>
        </w:rPr>
        <w:t>台设备，拆除不合格设备数台，通报和警示了</w:t>
      </w:r>
      <w:r>
        <w:rPr>
          <w:rFonts w:ascii="宋体" w:hAnsi="宋体" w:cs="仿宋"/>
          <w:color w:val="000000"/>
          <w:sz w:val="32"/>
          <w:szCs w:val="32"/>
        </w:rPr>
        <w:t>50</w:t>
      </w:r>
      <w:r>
        <w:rPr>
          <w:rFonts w:hint="eastAsia" w:ascii="宋体" w:hAnsi="宋体" w:cs="仿宋"/>
          <w:color w:val="000000"/>
          <w:sz w:val="32"/>
          <w:szCs w:val="32"/>
        </w:rPr>
        <w:t>余个项目和企业。</w:t>
      </w:r>
    </w:p>
    <w:p>
      <w:pPr>
        <w:spacing w:line="630" w:lineRule="exact"/>
        <w:ind w:firstLine="640" w:firstLineChars="200"/>
        <w:textAlignment w:val="baseline"/>
        <w:rPr>
          <w:rFonts w:ascii="宋体" w:cs="仿宋"/>
          <w:b/>
          <w:color w:val="000000"/>
          <w:sz w:val="32"/>
          <w:szCs w:val="32"/>
        </w:rPr>
      </w:pPr>
      <w:r>
        <w:rPr>
          <w:rFonts w:hint="eastAsia" w:ascii="宋体" w:hAnsi="宋体" w:cs="仿宋"/>
          <w:b/>
          <w:bCs/>
          <w:color w:val="000000"/>
          <w:sz w:val="32"/>
          <w:szCs w:val="32"/>
        </w:rPr>
        <w:t>三是开展质量安全隐患专项整治。</w:t>
      </w:r>
      <w:r>
        <w:rPr>
          <w:rFonts w:hint="eastAsia" w:ascii="宋体" w:hAnsi="宋体" w:cs="仿宋"/>
          <w:color w:val="000000"/>
          <w:sz w:val="32"/>
          <w:szCs w:val="32"/>
        </w:rPr>
        <w:t>建立常态化的质量安全隐患检查制度，每月开展各种主题的专项检查，先后开展脚手架及支模架、深基坑、建筑起重机械、建筑扬尘、消防安全、劳务实名制、预拌混凝土质量、监理企业、检测企业等</w:t>
      </w:r>
      <w:r>
        <w:rPr>
          <w:rFonts w:ascii="宋体" w:hAnsi="宋体" w:cs="仿宋"/>
          <w:color w:val="000000"/>
          <w:sz w:val="32"/>
          <w:szCs w:val="32"/>
        </w:rPr>
        <w:t>10</w:t>
      </w:r>
      <w:r>
        <w:rPr>
          <w:rFonts w:hint="eastAsia" w:ascii="宋体" w:hAnsi="宋体" w:cs="仿宋"/>
          <w:color w:val="000000"/>
          <w:sz w:val="32"/>
          <w:szCs w:val="32"/>
        </w:rPr>
        <w:t>余次专项检查，消除了大量质量安全隐患。</w:t>
      </w:r>
    </w:p>
    <w:p>
      <w:pPr>
        <w:spacing w:line="630" w:lineRule="exact"/>
        <w:ind w:firstLine="640" w:firstLineChars="200"/>
        <w:textAlignment w:val="baseline"/>
        <w:rPr>
          <w:rFonts w:ascii="宋体" w:cs="仿宋"/>
          <w:b/>
          <w:color w:val="000000"/>
          <w:sz w:val="32"/>
          <w:szCs w:val="32"/>
        </w:rPr>
      </w:pPr>
      <w:r>
        <w:rPr>
          <w:rFonts w:hint="eastAsia" w:ascii="宋体" w:hAnsi="宋体" w:cs="仿宋"/>
          <w:b/>
          <w:bCs/>
          <w:color w:val="000000"/>
          <w:sz w:val="32"/>
          <w:szCs w:val="32"/>
        </w:rPr>
        <w:t>四是开展质量安全服务活动。</w:t>
      </w:r>
    </w:p>
    <w:p>
      <w:pPr>
        <w:spacing w:line="630" w:lineRule="exact"/>
        <w:ind w:firstLine="640" w:firstLineChars="200"/>
        <w:textAlignment w:val="baseline"/>
        <w:rPr>
          <w:rFonts w:ascii="宋体" w:cs="仿宋"/>
          <w:b/>
          <w:color w:val="000000"/>
          <w:sz w:val="32"/>
          <w:szCs w:val="32"/>
        </w:rPr>
      </w:pPr>
      <w:r>
        <w:rPr>
          <w:rFonts w:hint="eastAsia" w:ascii="宋体" w:hAnsi="宋体" w:cs="仿宋"/>
          <w:b/>
          <w:bCs/>
          <w:color w:val="000000"/>
          <w:sz w:val="32"/>
          <w:szCs w:val="32"/>
        </w:rPr>
        <w:t>检测比赛：</w:t>
      </w:r>
      <w:r>
        <w:rPr>
          <w:rFonts w:hint="eastAsia" w:ascii="宋体" w:hAnsi="宋体" w:cs="仿宋"/>
          <w:color w:val="000000"/>
          <w:sz w:val="32"/>
          <w:szCs w:val="32"/>
        </w:rPr>
        <w:t>组织开展了岳阳市检测技能大赛，并组织市、县区组队参赛全省检测技能比武。</w:t>
      </w:r>
      <w:r>
        <w:rPr>
          <w:rFonts w:hint="eastAsia" w:ascii="宋体" w:hAnsi="宋体" w:cs="仿宋"/>
          <w:b/>
          <w:bCs/>
          <w:color w:val="000000"/>
          <w:sz w:val="32"/>
          <w:szCs w:val="32"/>
        </w:rPr>
        <w:t>项目观摩：</w:t>
      </w:r>
      <w:r>
        <w:rPr>
          <w:rFonts w:hint="eastAsia" w:ascii="宋体" w:hAnsi="宋体" w:cs="仿宋"/>
          <w:color w:val="000000"/>
          <w:sz w:val="32"/>
          <w:szCs w:val="32"/>
        </w:rPr>
        <w:t>深入开展城市建设安全专项整治三年行动，先后在祥源·城市之光、际华城市康养、华为新金宝项目、市妇幼保健医院迁建项目开展岳阳市质量安全观摩活动和安全事故应急救援演练观摩会，近</w:t>
      </w:r>
      <w:r>
        <w:rPr>
          <w:rFonts w:ascii="宋体" w:hAnsi="宋体" w:cs="仿宋"/>
          <w:color w:val="000000"/>
          <w:sz w:val="32"/>
          <w:szCs w:val="32"/>
        </w:rPr>
        <w:t>2500</w:t>
      </w:r>
      <w:r>
        <w:rPr>
          <w:rFonts w:hint="eastAsia" w:ascii="宋体" w:hAnsi="宋体" w:cs="仿宋"/>
          <w:color w:val="000000"/>
          <w:sz w:val="32"/>
          <w:szCs w:val="32"/>
        </w:rPr>
        <w:t>人参加了活动。</w:t>
      </w:r>
      <w:r>
        <w:rPr>
          <w:rFonts w:hint="eastAsia" w:ascii="宋体" w:hAnsi="宋体" w:cs="仿宋"/>
          <w:b/>
          <w:bCs/>
          <w:color w:val="000000"/>
          <w:sz w:val="32"/>
          <w:szCs w:val="32"/>
        </w:rPr>
        <w:t>宣传教育：</w:t>
      </w:r>
      <w:r>
        <w:rPr>
          <w:rFonts w:ascii="宋体" w:hAnsi="宋体" w:cs="仿宋"/>
          <w:color w:val="000000"/>
          <w:sz w:val="32"/>
          <w:szCs w:val="32"/>
        </w:rPr>
        <w:t>6</w:t>
      </w:r>
      <w:r>
        <w:rPr>
          <w:rFonts w:hint="eastAsia" w:ascii="宋体" w:hAnsi="宋体" w:cs="仿宋"/>
          <w:color w:val="000000"/>
          <w:sz w:val="32"/>
          <w:szCs w:val="32"/>
        </w:rPr>
        <w:t>月份，积极参加岳阳市“安全生产月宣传咨询日暨安全宣传“五进”活动和市局组织的质量安全宣传车巡回宣传教育，发放主题宣传扇</w:t>
      </w:r>
      <w:r>
        <w:rPr>
          <w:rFonts w:ascii="宋体" w:hAnsi="宋体" w:cs="仿宋"/>
          <w:color w:val="000000"/>
          <w:sz w:val="32"/>
          <w:szCs w:val="32"/>
        </w:rPr>
        <w:t>200</w:t>
      </w:r>
      <w:r>
        <w:rPr>
          <w:rFonts w:hint="eastAsia" w:ascii="宋体" w:hAnsi="宋体" w:cs="仿宋"/>
          <w:color w:val="000000"/>
          <w:sz w:val="32"/>
          <w:szCs w:val="32"/>
        </w:rPr>
        <w:t>把、“关注安全”宣传图册</w:t>
      </w:r>
      <w:r>
        <w:rPr>
          <w:rFonts w:ascii="宋体" w:hAnsi="宋体" w:cs="仿宋"/>
          <w:color w:val="000000"/>
          <w:sz w:val="32"/>
          <w:szCs w:val="32"/>
        </w:rPr>
        <w:t>500</w:t>
      </w:r>
      <w:r>
        <w:rPr>
          <w:rFonts w:hint="eastAsia" w:ascii="宋体" w:hAnsi="宋体" w:cs="仿宋"/>
          <w:color w:val="000000"/>
          <w:sz w:val="32"/>
          <w:szCs w:val="32"/>
        </w:rPr>
        <w:t>份；巡回宣传</w:t>
      </w:r>
      <w:r>
        <w:rPr>
          <w:rFonts w:ascii="宋体" w:hAnsi="宋体" w:cs="仿宋"/>
          <w:color w:val="000000"/>
          <w:sz w:val="32"/>
          <w:szCs w:val="32"/>
        </w:rPr>
        <w:t>10</w:t>
      </w:r>
      <w:r>
        <w:rPr>
          <w:rFonts w:hint="eastAsia" w:ascii="宋体" w:hAnsi="宋体" w:cs="仿宋"/>
          <w:color w:val="000000"/>
          <w:sz w:val="32"/>
          <w:szCs w:val="32"/>
        </w:rPr>
        <w:t>余个项目，发放《工程质量安全手册（试行）》等资料</w:t>
      </w:r>
      <w:r>
        <w:rPr>
          <w:rFonts w:ascii="宋体" w:hAnsi="宋体" w:cs="仿宋"/>
          <w:color w:val="000000"/>
          <w:sz w:val="32"/>
          <w:szCs w:val="32"/>
        </w:rPr>
        <w:t>200</w:t>
      </w:r>
      <w:r>
        <w:rPr>
          <w:rFonts w:hint="eastAsia" w:ascii="宋体" w:hAnsi="宋体" w:cs="仿宋"/>
          <w:color w:val="000000"/>
          <w:sz w:val="32"/>
          <w:szCs w:val="32"/>
        </w:rPr>
        <w:t>余本，宣传册</w:t>
      </w:r>
      <w:r>
        <w:rPr>
          <w:rFonts w:ascii="宋体" w:hAnsi="宋体" w:cs="仿宋"/>
          <w:color w:val="000000"/>
          <w:sz w:val="32"/>
          <w:szCs w:val="32"/>
        </w:rPr>
        <w:t>320</w:t>
      </w:r>
      <w:r>
        <w:rPr>
          <w:rFonts w:hint="eastAsia" w:ascii="宋体" w:hAnsi="宋体" w:cs="仿宋"/>
          <w:color w:val="000000"/>
          <w:sz w:val="32"/>
          <w:szCs w:val="32"/>
        </w:rPr>
        <w:t>多份、宣传单</w:t>
      </w:r>
      <w:r>
        <w:rPr>
          <w:rFonts w:ascii="宋体" w:hAnsi="宋体" w:cs="仿宋"/>
          <w:color w:val="000000"/>
          <w:sz w:val="32"/>
          <w:szCs w:val="32"/>
        </w:rPr>
        <w:t>900</w:t>
      </w:r>
      <w:r>
        <w:rPr>
          <w:rFonts w:hint="eastAsia" w:ascii="宋体" w:hAnsi="宋体" w:cs="仿宋"/>
          <w:color w:val="000000"/>
          <w:sz w:val="32"/>
          <w:szCs w:val="32"/>
        </w:rPr>
        <w:t>多份，培训教育</w:t>
      </w:r>
      <w:r>
        <w:rPr>
          <w:rFonts w:ascii="宋体" w:hAnsi="宋体" w:cs="仿宋"/>
          <w:color w:val="000000"/>
          <w:sz w:val="32"/>
          <w:szCs w:val="32"/>
        </w:rPr>
        <w:t>870</w:t>
      </w:r>
      <w:r>
        <w:rPr>
          <w:rFonts w:hint="eastAsia" w:ascii="宋体" w:hAnsi="宋体" w:cs="仿宋"/>
          <w:color w:val="000000"/>
          <w:sz w:val="32"/>
          <w:szCs w:val="32"/>
        </w:rPr>
        <w:t>余人，巡回里程</w:t>
      </w:r>
      <w:r>
        <w:rPr>
          <w:rFonts w:ascii="宋体" w:hAnsi="宋体" w:cs="仿宋"/>
          <w:color w:val="000000"/>
          <w:sz w:val="32"/>
          <w:szCs w:val="32"/>
        </w:rPr>
        <w:t>320</w:t>
      </w:r>
      <w:r>
        <w:rPr>
          <w:rFonts w:hint="eastAsia" w:ascii="宋体" w:hAnsi="宋体" w:cs="仿宋"/>
          <w:color w:val="000000"/>
          <w:sz w:val="32"/>
          <w:szCs w:val="32"/>
        </w:rPr>
        <w:t>公里。</w:t>
      </w:r>
      <w:r>
        <w:rPr>
          <w:rFonts w:ascii="宋体" w:hAnsi="宋体" w:cs="仿宋"/>
          <w:color w:val="000000"/>
          <w:sz w:val="32"/>
          <w:szCs w:val="32"/>
        </w:rPr>
        <w:t>7</w:t>
      </w:r>
      <w:r>
        <w:rPr>
          <w:rFonts w:hint="eastAsia" w:ascii="宋体" w:hAnsi="宋体" w:cs="仿宋"/>
          <w:color w:val="000000"/>
          <w:sz w:val="32"/>
          <w:szCs w:val="32"/>
        </w:rPr>
        <w:t>月份、</w:t>
      </w:r>
      <w:r>
        <w:rPr>
          <w:rFonts w:ascii="宋体" w:hAnsi="宋体" w:cs="仿宋"/>
          <w:color w:val="000000"/>
          <w:sz w:val="32"/>
          <w:szCs w:val="32"/>
        </w:rPr>
        <w:t>8</w:t>
      </w:r>
      <w:r>
        <w:rPr>
          <w:rFonts w:hint="eastAsia" w:ascii="宋体" w:hAnsi="宋体" w:cs="仿宋"/>
          <w:color w:val="000000"/>
          <w:sz w:val="32"/>
          <w:szCs w:val="32"/>
        </w:rPr>
        <w:t>月份，我站开展“安全应急救援知识进工地、送服务活动”，邀请专业培训机构分别在福天城、华为新金宝、中创空天等项目，开展了消防安全知识的培训及消防应急演练、应急救护演练、职业病防治讲座、传染病预防讲座，针对企业易突发事件进行理论学习和实践练习，并将新冠和各类传染病的防治知识结合学习，做到教学通俗易懂，实用性、可操作性强。</w:t>
      </w:r>
      <w:r>
        <w:rPr>
          <w:rFonts w:ascii="宋体" w:hAnsi="宋体" w:cs="仿宋"/>
          <w:color w:val="000000"/>
          <w:sz w:val="32"/>
          <w:szCs w:val="32"/>
        </w:rPr>
        <w:t>9</w:t>
      </w:r>
      <w:r>
        <w:rPr>
          <w:rFonts w:hint="eastAsia" w:ascii="宋体" w:hAnsi="宋体" w:cs="仿宋"/>
          <w:color w:val="000000"/>
          <w:sz w:val="32"/>
          <w:szCs w:val="32"/>
        </w:rPr>
        <w:t>月、</w:t>
      </w:r>
      <w:r>
        <w:rPr>
          <w:rFonts w:ascii="宋体" w:hAnsi="宋体" w:cs="仿宋"/>
          <w:color w:val="000000"/>
          <w:sz w:val="32"/>
          <w:szCs w:val="32"/>
        </w:rPr>
        <w:t>10</w:t>
      </w:r>
      <w:r>
        <w:rPr>
          <w:rFonts w:hint="eastAsia" w:ascii="宋体" w:hAnsi="宋体" w:cs="仿宋"/>
          <w:color w:val="000000"/>
          <w:sz w:val="32"/>
          <w:szCs w:val="32"/>
        </w:rPr>
        <w:t>月份，举办两场红十字初级救护员培训班，企业自愿报名、免费学习并取证。聘请的社会专业培训机构，做到课程新颖，内容贴近实际，学习完后进行理论、实践考核，</w:t>
      </w:r>
      <w:r>
        <w:rPr>
          <w:rFonts w:ascii="宋体" w:hAnsi="宋体" w:cs="仿宋"/>
          <w:color w:val="000000"/>
          <w:sz w:val="32"/>
          <w:szCs w:val="32"/>
        </w:rPr>
        <w:t>100</w:t>
      </w:r>
      <w:r>
        <w:rPr>
          <w:rFonts w:hint="eastAsia" w:ascii="宋体" w:hAnsi="宋体" w:cs="仿宋"/>
          <w:color w:val="000000"/>
          <w:sz w:val="32"/>
          <w:szCs w:val="32"/>
        </w:rPr>
        <w:t>多人通过考试获得红十字初级救护员证，通过率</w:t>
      </w:r>
      <w:r>
        <w:rPr>
          <w:rFonts w:ascii="宋体" w:hAnsi="宋体" w:cs="仿宋"/>
          <w:color w:val="000000"/>
          <w:sz w:val="32"/>
          <w:szCs w:val="32"/>
        </w:rPr>
        <w:t>86%</w:t>
      </w:r>
      <w:r>
        <w:rPr>
          <w:rFonts w:hint="eastAsia" w:ascii="宋体" w:hAnsi="宋体" w:cs="仿宋"/>
          <w:color w:val="000000"/>
          <w:sz w:val="32"/>
          <w:szCs w:val="32"/>
        </w:rPr>
        <w:t>。</w:t>
      </w:r>
      <w:r>
        <w:rPr>
          <w:rFonts w:ascii="宋体" w:hAnsi="宋体" w:cs="仿宋"/>
          <w:color w:val="000000"/>
          <w:sz w:val="32"/>
          <w:szCs w:val="32"/>
        </w:rPr>
        <w:t>12</w:t>
      </w:r>
      <w:r>
        <w:rPr>
          <w:rFonts w:hint="eastAsia" w:ascii="宋体" w:hAnsi="宋体" w:cs="仿宋"/>
          <w:color w:val="000000"/>
          <w:sz w:val="32"/>
          <w:szCs w:val="32"/>
        </w:rPr>
        <w:t>月份经开区分站、新港区分站分别召集辖区内所有在建项目建设、施工、监理单位负责人就岁末年初安全生产工作进行了部署安排。楼区分站因疫情防控要求推迟进行。</w:t>
      </w:r>
    </w:p>
    <w:p>
      <w:pPr>
        <w:spacing w:line="630" w:lineRule="exact"/>
        <w:ind w:firstLine="640" w:firstLineChars="200"/>
        <w:textAlignment w:val="baseline"/>
        <w:rPr>
          <w:rFonts w:ascii="宋体" w:cs="楷体"/>
          <w:b/>
          <w:bCs/>
          <w:color w:val="000000"/>
          <w:sz w:val="32"/>
          <w:szCs w:val="32"/>
        </w:rPr>
      </w:pPr>
      <w:r>
        <w:rPr>
          <w:rFonts w:hint="eastAsia" w:ascii="宋体" w:hAnsi="宋体" w:cs="楷体"/>
          <w:b/>
          <w:bCs/>
          <w:color w:val="000000"/>
          <w:sz w:val="32"/>
          <w:szCs w:val="32"/>
        </w:rPr>
        <w:t>（二）加强房屋安全管理，维护公共安全</w:t>
      </w:r>
    </w:p>
    <w:p>
      <w:pPr>
        <w:spacing w:line="630" w:lineRule="exact"/>
        <w:ind w:firstLine="640" w:firstLineChars="200"/>
        <w:textAlignment w:val="baseline"/>
        <w:rPr>
          <w:rFonts w:ascii="宋体" w:cs="仿宋"/>
          <w:color w:val="000000"/>
          <w:sz w:val="32"/>
          <w:szCs w:val="32"/>
        </w:rPr>
      </w:pPr>
      <w:r>
        <w:rPr>
          <w:rFonts w:hint="eastAsia" w:ascii="宋体" w:hAnsi="宋体" w:cs="仿宋"/>
          <w:b/>
          <w:bCs/>
          <w:color w:val="000000"/>
          <w:sz w:val="32"/>
          <w:szCs w:val="32"/>
        </w:rPr>
        <w:t>一是严把房屋安全使用关。</w:t>
      </w:r>
      <w:r>
        <w:rPr>
          <w:rFonts w:hint="eastAsia" w:ascii="宋体" w:hAnsi="宋体" w:cs="仿宋"/>
          <w:color w:val="000000"/>
          <w:sz w:val="32"/>
          <w:szCs w:val="32"/>
        </w:rPr>
        <w:t>房屋安全事关人民群众生命财产安全</w:t>
      </w:r>
      <w:r>
        <w:rPr>
          <w:rFonts w:ascii="宋体" w:cs="仿宋"/>
          <w:color w:val="000000"/>
          <w:sz w:val="32"/>
          <w:szCs w:val="32"/>
        </w:rPr>
        <w:t>,</w:t>
      </w:r>
      <w:r>
        <w:rPr>
          <w:rFonts w:hint="eastAsia" w:ascii="宋体" w:hAnsi="宋体" w:cs="仿宋"/>
          <w:color w:val="000000"/>
          <w:sz w:val="32"/>
          <w:szCs w:val="32"/>
        </w:rPr>
        <w:t>事关社会和谐稳定。福建泉州隔离酒店坍塌事故，记忆犹新。为服务好群众，我站优化和简化工作流程，全年共受理房屋安全鉴定</w:t>
      </w:r>
      <w:r>
        <w:rPr>
          <w:rFonts w:ascii="宋体" w:hAnsi="宋体" w:cs="仿宋"/>
          <w:color w:val="000000"/>
          <w:sz w:val="32"/>
          <w:szCs w:val="32"/>
        </w:rPr>
        <w:t>50</w:t>
      </w:r>
      <w:r>
        <w:rPr>
          <w:rFonts w:hint="eastAsia" w:ascii="宋体" w:hAnsi="宋体" w:cs="仿宋"/>
          <w:color w:val="000000"/>
          <w:sz w:val="32"/>
          <w:szCs w:val="32"/>
        </w:rPr>
        <w:t>起，其中火灾</w:t>
      </w:r>
      <w:r>
        <w:rPr>
          <w:rFonts w:ascii="宋体" w:hAnsi="宋体" w:cs="仿宋"/>
          <w:color w:val="000000"/>
          <w:sz w:val="32"/>
          <w:szCs w:val="32"/>
        </w:rPr>
        <w:t>1</w:t>
      </w:r>
      <w:r>
        <w:rPr>
          <w:rFonts w:hint="eastAsia" w:ascii="宋体" w:hAnsi="宋体" w:cs="仿宋"/>
          <w:color w:val="000000"/>
          <w:sz w:val="32"/>
          <w:szCs w:val="32"/>
        </w:rPr>
        <w:t>起，危险房屋</w:t>
      </w:r>
      <w:r>
        <w:rPr>
          <w:rFonts w:ascii="宋体" w:hAnsi="宋体" w:cs="仿宋"/>
          <w:color w:val="000000"/>
          <w:sz w:val="32"/>
          <w:szCs w:val="32"/>
        </w:rPr>
        <w:t>28</w:t>
      </w:r>
      <w:r>
        <w:rPr>
          <w:rFonts w:hint="eastAsia" w:ascii="宋体" w:hAnsi="宋体" w:cs="仿宋"/>
          <w:color w:val="000000"/>
          <w:sz w:val="32"/>
          <w:szCs w:val="32"/>
        </w:rPr>
        <w:t>起，房屋可靠性鉴定</w:t>
      </w:r>
      <w:r>
        <w:rPr>
          <w:rFonts w:ascii="宋体" w:hAnsi="宋体" w:cs="仿宋"/>
          <w:color w:val="000000"/>
          <w:sz w:val="32"/>
          <w:szCs w:val="32"/>
        </w:rPr>
        <w:t>14</w:t>
      </w:r>
      <w:r>
        <w:rPr>
          <w:rFonts w:hint="eastAsia" w:ascii="宋体" w:hAnsi="宋体" w:cs="仿宋"/>
          <w:color w:val="000000"/>
          <w:sz w:val="32"/>
          <w:szCs w:val="32"/>
        </w:rPr>
        <w:t>起，特种行业</w:t>
      </w:r>
      <w:r>
        <w:rPr>
          <w:rFonts w:ascii="宋体" w:hAnsi="宋体" w:cs="仿宋"/>
          <w:color w:val="000000"/>
          <w:sz w:val="32"/>
          <w:szCs w:val="32"/>
        </w:rPr>
        <w:t>7</w:t>
      </w:r>
      <w:r>
        <w:rPr>
          <w:rFonts w:hint="eastAsia" w:ascii="宋体" w:hAnsi="宋体" w:cs="仿宋"/>
          <w:color w:val="000000"/>
          <w:sz w:val="32"/>
          <w:szCs w:val="32"/>
        </w:rPr>
        <w:t>起。共发出</w:t>
      </w:r>
      <w:r>
        <w:rPr>
          <w:rFonts w:ascii="宋体" w:hAnsi="宋体" w:cs="仿宋"/>
          <w:color w:val="000000"/>
          <w:sz w:val="32"/>
          <w:szCs w:val="32"/>
        </w:rPr>
        <w:t>28</w:t>
      </w:r>
      <w:r>
        <w:rPr>
          <w:rFonts w:hint="eastAsia" w:ascii="宋体" w:hAnsi="宋体" w:cs="仿宋"/>
          <w:color w:val="000000"/>
          <w:sz w:val="32"/>
          <w:szCs w:val="32"/>
        </w:rPr>
        <w:t>份房屋安全鉴定报告。其中危险房屋</w:t>
      </w:r>
      <w:r>
        <w:rPr>
          <w:rFonts w:ascii="宋体" w:hAnsi="宋体" w:cs="仿宋"/>
          <w:color w:val="000000"/>
          <w:sz w:val="32"/>
          <w:szCs w:val="32"/>
        </w:rPr>
        <w:t>D</w:t>
      </w:r>
      <w:r>
        <w:rPr>
          <w:rFonts w:hint="eastAsia" w:ascii="宋体" w:hAnsi="宋体" w:cs="仿宋"/>
          <w:color w:val="000000"/>
          <w:sz w:val="32"/>
          <w:szCs w:val="32"/>
        </w:rPr>
        <w:t>级报告</w:t>
      </w:r>
      <w:r>
        <w:rPr>
          <w:rFonts w:ascii="宋体" w:hAnsi="宋体" w:cs="仿宋"/>
          <w:color w:val="000000"/>
          <w:sz w:val="32"/>
          <w:szCs w:val="32"/>
        </w:rPr>
        <w:t>6</w:t>
      </w:r>
      <w:r>
        <w:rPr>
          <w:rFonts w:hint="eastAsia" w:ascii="宋体" w:hAnsi="宋体" w:cs="仿宋"/>
          <w:color w:val="000000"/>
          <w:sz w:val="32"/>
          <w:szCs w:val="32"/>
        </w:rPr>
        <w:t>份，危险房屋</w:t>
      </w:r>
      <w:r>
        <w:rPr>
          <w:rFonts w:ascii="宋体" w:hAnsi="宋体" w:cs="仿宋"/>
          <w:color w:val="000000"/>
          <w:sz w:val="32"/>
          <w:szCs w:val="32"/>
        </w:rPr>
        <w:t>C</w:t>
      </w:r>
      <w:r>
        <w:rPr>
          <w:rFonts w:hint="eastAsia" w:ascii="宋体" w:hAnsi="宋体" w:cs="仿宋"/>
          <w:color w:val="000000"/>
          <w:sz w:val="32"/>
          <w:szCs w:val="32"/>
        </w:rPr>
        <w:t>级报告</w:t>
      </w:r>
      <w:r>
        <w:rPr>
          <w:rFonts w:ascii="宋体" w:hAnsi="宋体" w:cs="仿宋"/>
          <w:color w:val="000000"/>
          <w:sz w:val="32"/>
          <w:szCs w:val="32"/>
        </w:rPr>
        <w:t>2</w:t>
      </w:r>
      <w:r>
        <w:rPr>
          <w:rFonts w:hint="eastAsia" w:ascii="宋体" w:hAnsi="宋体" w:cs="仿宋"/>
          <w:color w:val="000000"/>
          <w:sz w:val="32"/>
          <w:szCs w:val="32"/>
        </w:rPr>
        <w:t>份，房屋可靠性报告</w:t>
      </w:r>
      <w:r>
        <w:rPr>
          <w:rFonts w:ascii="宋体" w:hAnsi="宋体" w:cs="仿宋"/>
          <w:color w:val="000000"/>
          <w:sz w:val="32"/>
          <w:szCs w:val="32"/>
        </w:rPr>
        <w:t>14</w:t>
      </w:r>
      <w:r>
        <w:rPr>
          <w:rFonts w:hint="eastAsia" w:ascii="宋体" w:hAnsi="宋体" w:cs="仿宋"/>
          <w:color w:val="000000"/>
          <w:sz w:val="32"/>
          <w:szCs w:val="32"/>
        </w:rPr>
        <w:t>份，特种行业报告</w:t>
      </w:r>
      <w:r>
        <w:rPr>
          <w:rFonts w:ascii="宋体" w:hAnsi="宋体" w:cs="仿宋"/>
          <w:color w:val="000000"/>
          <w:sz w:val="32"/>
          <w:szCs w:val="32"/>
        </w:rPr>
        <w:t>6</w:t>
      </w:r>
      <w:r>
        <w:rPr>
          <w:rFonts w:hint="eastAsia" w:ascii="宋体" w:hAnsi="宋体" w:cs="仿宋"/>
          <w:color w:val="000000"/>
          <w:sz w:val="32"/>
          <w:szCs w:val="32"/>
        </w:rPr>
        <w:t>份。</w:t>
      </w:r>
      <w:r>
        <w:rPr>
          <w:rFonts w:hint="eastAsia" w:ascii="宋体" w:hAnsi="宋体" w:cs="仿宋"/>
          <w:b/>
          <w:bCs/>
          <w:color w:val="000000"/>
          <w:sz w:val="32"/>
          <w:szCs w:val="32"/>
        </w:rPr>
        <w:t>二是加强检测单位监督。</w:t>
      </w:r>
      <w:r>
        <w:rPr>
          <w:rFonts w:hint="eastAsia" w:ascii="宋体" w:hAnsi="宋体" w:cs="仿宋"/>
          <w:color w:val="000000"/>
          <w:sz w:val="32"/>
          <w:szCs w:val="32"/>
        </w:rPr>
        <w:t>为确保检测报告真实性、可靠性，组织对科正、湘建、元天、勘测设计院等检测公司进行了实地考察。对湘岳医院、南方建材等房屋可靠性鉴定的检测方案进行了审核，并对检测实施行为进行监督管理。</w:t>
      </w:r>
      <w:r>
        <w:rPr>
          <w:rFonts w:hint="eastAsia" w:ascii="宋体" w:hAnsi="宋体" w:cs="仿宋"/>
          <w:b/>
          <w:bCs/>
          <w:color w:val="000000"/>
          <w:sz w:val="32"/>
          <w:szCs w:val="32"/>
        </w:rPr>
        <w:t>三是完善既有建筑加装电梯工程和装饰装修工程监督管理。</w:t>
      </w:r>
      <w:r>
        <w:rPr>
          <w:rFonts w:hint="eastAsia" w:ascii="宋体" w:hAnsi="宋体" w:cs="仿宋"/>
          <w:color w:val="000000"/>
          <w:sz w:val="32"/>
          <w:szCs w:val="32"/>
        </w:rPr>
        <w:t>既有建筑加装电梯工作是一项民生工作，</w:t>
      </w:r>
      <w:r>
        <w:rPr>
          <w:rFonts w:ascii="宋体" w:hAnsi="宋体" w:cs="仿宋"/>
          <w:color w:val="000000"/>
          <w:sz w:val="32"/>
          <w:szCs w:val="32"/>
        </w:rPr>
        <w:t>41</w:t>
      </w:r>
      <w:r>
        <w:rPr>
          <w:rFonts w:hint="eastAsia" w:ascii="宋体" w:hAnsi="宋体" w:cs="仿宋"/>
          <w:color w:val="000000"/>
          <w:sz w:val="32"/>
          <w:szCs w:val="32"/>
        </w:rPr>
        <w:t>台加装电梯已纳入监督。在装饰装修项目监督方面，制定装饰装修项目监督流程，并配合局消防验收科对装饰装修工程项目进行消防工程验收。</w:t>
      </w:r>
      <w:r>
        <w:rPr>
          <w:rFonts w:hint="eastAsia" w:ascii="宋体" w:hAnsi="宋体" w:cs="仿宋"/>
          <w:b/>
          <w:bCs/>
          <w:color w:val="000000"/>
          <w:sz w:val="32"/>
          <w:szCs w:val="32"/>
        </w:rPr>
        <w:t>四是推动房屋安全立法工作。</w:t>
      </w:r>
      <w:r>
        <w:rPr>
          <w:rFonts w:hint="eastAsia" w:ascii="宋体" w:hAnsi="宋体" w:cs="仿宋"/>
          <w:color w:val="000000"/>
          <w:sz w:val="32"/>
          <w:szCs w:val="32"/>
        </w:rPr>
        <w:t>积极配合相关部门开展房屋安全立法工作，多次参与立法调研和考察，并提出意见。</w:t>
      </w:r>
    </w:p>
    <w:p>
      <w:pPr>
        <w:spacing w:line="630" w:lineRule="exact"/>
        <w:ind w:firstLine="640" w:firstLineChars="200"/>
        <w:textAlignment w:val="baseline"/>
        <w:rPr>
          <w:rFonts w:ascii="宋体" w:cs="楷体"/>
          <w:b/>
          <w:bCs/>
          <w:color w:val="000000"/>
          <w:sz w:val="32"/>
          <w:szCs w:val="32"/>
        </w:rPr>
      </w:pPr>
      <w:r>
        <w:rPr>
          <w:rFonts w:hint="eastAsia" w:ascii="宋体" w:hAnsi="宋体" w:cs="楷体"/>
          <w:b/>
          <w:bCs/>
          <w:color w:val="000000"/>
          <w:sz w:val="32"/>
          <w:szCs w:val="32"/>
        </w:rPr>
        <w:t>（三）抓好其他中心工作，全力服务大局</w:t>
      </w:r>
    </w:p>
    <w:p>
      <w:pPr>
        <w:spacing w:line="630" w:lineRule="exact"/>
        <w:ind w:firstLine="640" w:firstLineChars="200"/>
        <w:textAlignment w:val="baseline"/>
        <w:rPr>
          <w:rFonts w:ascii="宋体" w:cs="仿宋"/>
          <w:sz w:val="32"/>
          <w:szCs w:val="32"/>
        </w:rPr>
      </w:pPr>
      <w:r>
        <w:rPr>
          <w:rFonts w:hint="eastAsia" w:ascii="宋体" w:hAnsi="宋体" w:cs="仿宋"/>
          <w:color w:val="000000"/>
          <w:sz w:val="32"/>
          <w:szCs w:val="32"/>
        </w:rPr>
        <w:t>我站牢固树立大局意识，继续认真完成扬尘治理、文明卫生城市迎检、劳务实名制、优化营商环境和行政审批制度改革等其他中心工作。</w:t>
      </w:r>
      <w:r>
        <w:rPr>
          <w:rFonts w:hint="eastAsia" w:ascii="宋体" w:hAnsi="宋体" w:cs="仿宋"/>
          <w:b/>
          <w:bCs/>
          <w:color w:val="000000"/>
          <w:sz w:val="32"/>
          <w:szCs w:val="32"/>
        </w:rPr>
        <w:t>一是建筑工地扬尘防治常态化。</w:t>
      </w:r>
      <w:r>
        <w:rPr>
          <w:rFonts w:hint="eastAsia" w:ascii="宋体" w:hAnsi="宋体" w:cs="仿宋"/>
          <w:color w:val="000000"/>
          <w:sz w:val="32"/>
          <w:szCs w:val="32"/>
        </w:rPr>
        <w:t>在日常监督中，做到扬尘污染随时发现、随时制止、随时处理，单位主要领导不定期组织突击性检查，通过红黄牌警示、立案查处等强有力的手段，严格落实“蓝天保卫战”的要求，履行好监督职责。</w:t>
      </w:r>
      <w:r>
        <w:rPr>
          <w:rFonts w:hint="eastAsia" w:ascii="宋体" w:hAnsi="宋体" w:cs="仿宋"/>
          <w:b/>
          <w:bCs/>
          <w:color w:val="000000"/>
          <w:sz w:val="32"/>
          <w:szCs w:val="32"/>
        </w:rPr>
        <w:t>二是优化营商环境。</w:t>
      </w:r>
      <w:r>
        <w:rPr>
          <w:rFonts w:hint="eastAsia" w:ascii="宋体" w:hAnsi="宋体" w:cs="仿宋"/>
          <w:color w:val="000000"/>
          <w:sz w:val="32"/>
          <w:szCs w:val="32"/>
        </w:rPr>
        <w:t>在全面优化营商环境和深化改革要求下，认真学习和贯彻市委、政府优化营商环境的要求。坚持以人民为中心，以服务对象为中心，以服务对象满意为目标，不断转变工作方式和改善工作态度，务求公正廉明开展工作。在国家营商环境测评考试时，我站独立负责建筑许可一级指标中</w:t>
      </w:r>
      <w:r>
        <w:rPr>
          <w:rFonts w:ascii="宋体" w:hAnsi="宋体" w:cs="仿宋"/>
          <w:color w:val="000000"/>
          <w:sz w:val="32"/>
          <w:szCs w:val="32"/>
        </w:rPr>
        <w:t>3</w:t>
      </w:r>
      <w:r>
        <w:rPr>
          <w:rFonts w:hint="eastAsia" w:ascii="宋体" w:hAnsi="宋体" w:cs="仿宋"/>
          <w:color w:val="000000"/>
          <w:sz w:val="32"/>
          <w:szCs w:val="32"/>
        </w:rPr>
        <w:t>个二级测评指标之一的质量指数控制指标，并派出</w:t>
      </w:r>
      <w:r>
        <w:rPr>
          <w:rFonts w:ascii="宋体" w:hAnsi="宋体" w:cs="仿宋"/>
          <w:color w:val="000000"/>
          <w:sz w:val="32"/>
          <w:szCs w:val="32"/>
        </w:rPr>
        <w:t>1</w:t>
      </w:r>
      <w:r>
        <w:rPr>
          <w:rFonts w:hint="eastAsia" w:ascii="宋体" w:hAnsi="宋体" w:cs="仿宋"/>
          <w:color w:val="000000"/>
          <w:sz w:val="32"/>
          <w:szCs w:val="32"/>
        </w:rPr>
        <w:t>名主力选手代表全市参赛，认真搭建后台支援队伍全力支援前方填报，做到高效联动。</w:t>
      </w:r>
      <w:r>
        <w:rPr>
          <w:rFonts w:hint="eastAsia" w:ascii="宋体" w:hAnsi="宋体" w:cs="仿宋"/>
          <w:b/>
          <w:bCs/>
          <w:color w:val="000000"/>
          <w:sz w:val="32"/>
          <w:szCs w:val="32"/>
        </w:rPr>
        <w:t>三是加强特殊时期安全防范工作。</w:t>
      </w:r>
      <w:r>
        <w:rPr>
          <w:rFonts w:hint="eastAsia" w:ascii="宋体" w:hAnsi="宋体" w:cs="仿宋"/>
          <w:color w:val="000000"/>
          <w:sz w:val="32"/>
          <w:szCs w:val="32"/>
        </w:rPr>
        <w:t>大风、大雨、严寒等恶劣极端天气发生时，我站强化预警和应急响应，督促项目强化预防措施，做好隐患排查，建立应急值班制度，确保安全平稳，人民生命财产得到保障。</w:t>
      </w:r>
    </w:p>
    <w:p>
      <w:pPr>
        <w:spacing w:line="630" w:lineRule="exact"/>
        <w:ind w:firstLine="640" w:firstLineChars="200"/>
        <w:textAlignment w:val="baseline"/>
        <w:rPr>
          <w:rFonts w:ascii="宋体" w:cs="黑体"/>
          <w:bCs/>
          <w:color w:val="000000"/>
          <w:sz w:val="32"/>
          <w:szCs w:val="32"/>
        </w:rPr>
      </w:pPr>
      <w:r>
        <w:rPr>
          <w:rFonts w:hint="eastAsia" w:ascii="宋体" w:hAnsi="宋体" w:cs="黑体"/>
          <w:bCs/>
          <w:color w:val="000000"/>
          <w:sz w:val="32"/>
          <w:szCs w:val="32"/>
        </w:rPr>
        <w:t>三、存在的问题及不足，来年工作计划</w:t>
      </w:r>
    </w:p>
    <w:p>
      <w:pPr>
        <w:spacing w:line="630" w:lineRule="exact"/>
        <w:ind w:firstLine="640" w:firstLineChars="200"/>
        <w:textAlignment w:val="baseline"/>
        <w:rPr>
          <w:rFonts w:ascii="宋体" w:cs="楷体"/>
          <w:b/>
          <w:bCs/>
          <w:color w:val="000000"/>
          <w:sz w:val="32"/>
          <w:szCs w:val="32"/>
        </w:rPr>
      </w:pPr>
      <w:r>
        <w:rPr>
          <w:rFonts w:hint="eastAsia" w:ascii="宋体" w:hAnsi="宋体" w:cs="楷体"/>
          <w:b/>
          <w:bCs/>
          <w:color w:val="000000"/>
          <w:sz w:val="32"/>
          <w:szCs w:val="32"/>
        </w:rPr>
        <w:t>（一）存在的问题及不足</w:t>
      </w:r>
    </w:p>
    <w:p>
      <w:pPr>
        <w:spacing w:line="630" w:lineRule="exact"/>
        <w:ind w:firstLine="640" w:firstLineChars="200"/>
        <w:textAlignment w:val="baseline"/>
        <w:rPr>
          <w:rFonts w:ascii="宋体" w:cs="仿宋"/>
          <w:color w:val="000000"/>
          <w:sz w:val="32"/>
          <w:szCs w:val="32"/>
        </w:rPr>
      </w:pPr>
      <w:r>
        <w:rPr>
          <w:rFonts w:ascii="宋体" w:hAnsi="宋体" w:cs="仿宋"/>
          <w:b/>
          <w:bCs/>
          <w:color w:val="000000"/>
          <w:sz w:val="32"/>
          <w:szCs w:val="32"/>
        </w:rPr>
        <w:t>1</w:t>
      </w:r>
      <w:r>
        <w:rPr>
          <w:rFonts w:hint="eastAsia" w:ascii="宋体" w:hAnsi="宋体" w:cs="仿宋"/>
          <w:b/>
          <w:bCs/>
          <w:color w:val="000000"/>
          <w:sz w:val="32"/>
          <w:szCs w:val="32"/>
        </w:rPr>
        <w:t>、工作保障力度有待提升。</w:t>
      </w:r>
      <w:r>
        <w:rPr>
          <w:rFonts w:hint="eastAsia" w:ascii="宋体" w:hAnsi="宋体" w:cs="仿宋"/>
          <w:color w:val="000000"/>
          <w:sz w:val="32"/>
          <w:szCs w:val="32"/>
        </w:rPr>
        <w:t>目前，我站的工作范围、职责发生了一些变化，工作量增加了不少，工作任务相对繁重，甚至是住建领域之前的短板工作。一方面制度保障不够。这些工作大多缺乏经验、缺乏成熟的工作体系，如房屋安全、装饰装修监督管理等，制度建设还不够，各项相关保障力度都还不够，需要进一步提升。另一方面，后勤保障不够。单位合并后自收自支人员，财政未给与资金保障，出现了经费短缺的问题。单位外勤岗位较多，而公务出行的车辆保障不到位，也影响了部分干部职工的工作积极性。</w:t>
      </w:r>
    </w:p>
    <w:p>
      <w:pPr>
        <w:spacing w:line="630" w:lineRule="exact"/>
        <w:ind w:firstLine="640" w:firstLineChars="200"/>
        <w:textAlignment w:val="baseline"/>
        <w:rPr>
          <w:rFonts w:ascii="宋体" w:cs="仿宋"/>
          <w:color w:val="000000"/>
          <w:sz w:val="32"/>
          <w:szCs w:val="32"/>
        </w:rPr>
      </w:pPr>
      <w:r>
        <w:rPr>
          <w:rFonts w:ascii="宋体" w:hAnsi="宋体" w:cs="仿宋"/>
          <w:b/>
          <w:bCs/>
          <w:color w:val="000000"/>
          <w:sz w:val="32"/>
          <w:szCs w:val="32"/>
        </w:rPr>
        <w:t>2</w:t>
      </w:r>
      <w:r>
        <w:rPr>
          <w:rFonts w:hint="eastAsia" w:ascii="宋体" w:hAnsi="宋体" w:cs="仿宋"/>
          <w:b/>
          <w:bCs/>
          <w:color w:val="000000"/>
          <w:sz w:val="32"/>
          <w:szCs w:val="32"/>
        </w:rPr>
        <w:t>、各部门、人员忙闲不均。</w:t>
      </w:r>
      <w:r>
        <w:rPr>
          <w:rFonts w:hint="eastAsia" w:ascii="宋体" w:hAnsi="宋体" w:cs="仿宋"/>
          <w:color w:val="000000"/>
          <w:sz w:val="32"/>
          <w:szCs w:val="32"/>
        </w:rPr>
        <w:t>当前，我站各项业务工作都处于全面推进、落实阶段，势必对工作状态、素质、作风提出了更高的要求。大部分同志经常加班加点，真正的“</w:t>
      </w:r>
      <w:r>
        <w:rPr>
          <w:rFonts w:ascii="宋体" w:hAnsi="宋体" w:cs="仿宋"/>
          <w:color w:val="000000"/>
          <w:sz w:val="32"/>
          <w:szCs w:val="32"/>
        </w:rPr>
        <w:t>5+2</w:t>
      </w:r>
      <w:r>
        <w:rPr>
          <w:rFonts w:hint="eastAsia" w:ascii="宋体" w:hAnsi="宋体" w:cs="仿宋"/>
          <w:color w:val="000000"/>
          <w:sz w:val="32"/>
          <w:szCs w:val="32"/>
        </w:rPr>
        <w:t>”、“白加黑”，但也有个别同志思想观念和工作作风适应不了新常态的要求，工作中出现推诿，“慵、懒、散”现象时有发生。要加强人员履职教育和纪检监察力度，端正工作态度和整顿工作作风，戒庸、戒懒、戒散。</w:t>
      </w:r>
    </w:p>
    <w:p>
      <w:pPr>
        <w:spacing w:line="630" w:lineRule="exact"/>
        <w:ind w:firstLine="640" w:firstLineChars="200"/>
        <w:textAlignment w:val="baseline"/>
        <w:rPr>
          <w:rFonts w:ascii="宋体" w:cs="仿宋"/>
          <w:color w:val="000000"/>
          <w:sz w:val="32"/>
          <w:szCs w:val="32"/>
        </w:rPr>
      </w:pPr>
      <w:r>
        <w:rPr>
          <w:rFonts w:ascii="宋体" w:hAnsi="宋体" w:cs="仿宋"/>
          <w:b/>
          <w:bCs/>
          <w:color w:val="000000"/>
          <w:sz w:val="32"/>
          <w:szCs w:val="32"/>
        </w:rPr>
        <w:t>3</w:t>
      </w:r>
      <w:r>
        <w:rPr>
          <w:rFonts w:hint="eastAsia" w:ascii="宋体" w:hAnsi="宋体" w:cs="仿宋"/>
          <w:b/>
          <w:bCs/>
          <w:color w:val="000000"/>
          <w:sz w:val="32"/>
          <w:szCs w:val="32"/>
        </w:rPr>
        <w:t>、抓工作系统性不够。</w:t>
      </w:r>
      <w:r>
        <w:rPr>
          <w:rFonts w:hint="eastAsia" w:ascii="宋体" w:hAnsi="宋体" w:cs="仿宋"/>
          <w:color w:val="000000"/>
          <w:sz w:val="32"/>
          <w:szCs w:val="32"/>
        </w:rPr>
        <w:t>我站工作涉及面广，很多工作是相辅相成的有机整体，我们在抓工作时存在系统性不够，高度和广度不够。有的同志是“科室”思维，看问题、想事情，只管做具体工作即可。在工作中缺乏前瞻性、创造性和担当性，只求做完，不求做好、做深。这种错误观念需要及时纠正，每个单位、科室都要善于系统思考问题，解决问题，完成工作，实在解决不了的问题要及时报告分管领导、主要领导协调解决。要明白工作做得不扎实，不仅仅是科室的问题，更是全站的问题。因此，在思考问题、开展工作时要站在全站的高度、全局的高度，甚至是全市的高度。要认真学习、思考、总结、提升，提高站位，避免陷入低层级工作中，工作不仅累，而且还做不出成绩。</w:t>
      </w:r>
    </w:p>
    <w:p>
      <w:pPr>
        <w:spacing w:line="630" w:lineRule="exact"/>
        <w:ind w:firstLine="640" w:firstLineChars="200"/>
        <w:textAlignment w:val="baseline"/>
        <w:rPr>
          <w:rFonts w:ascii="宋体" w:cs="楷体"/>
          <w:b/>
          <w:bCs/>
          <w:color w:val="000000"/>
          <w:sz w:val="32"/>
          <w:szCs w:val="32"/>
        </w:rPr>
      </w:pPr>
      <w:r>
        <w:rPr>
          <w:rFonts w:hint="eastAsia" w:ascii="宋体" w:hAnsi="宋体" w:cs="楷体"/>
          <w:b/>
          <w:bCs/>
          <w:color w:val="000000"/>
          <w:sz w:val="32"/>
          <w:szCs w:val="32"/>
        </w:rPr>
        <w:t>（二）明年的工作思路</w:t>
      </w:r>
    </w:p>
    <w:p>
      <w:pPr>
        <w:spacing w:line="630" w:lineRule="exact"/>
        <w:ind w:firstLine="640" w:firstLineChars="200"/>
        <w:textAlignment w:val="baseline"/>
        <w:rPr>
          <w:rFonts w:ascii="宋体" w:cs="仿宋"/>
          <w:b/>
          <w:color w:val="000000"/>
          <w:sz w:val="32"/>
          <w:szCs w:val="32"/>
        </w:rPr>
      </w:pPr>
      <w:r>
        <w:rPr>
          <w:rFonts w:ascii="宋体" w:hAnsi="宋体" w:cs="仿宋"/>
          <w:b/>
          <w:bCs/>
          <w:color w:val="000000"/>
          <w:sz w:val="32"/>
          <w:szCs w:val="32"/>
        </w:rPr>
        <w:t>1</w:t>
      </w:r>
      <w:r>
        <w:rPr>
          <w:rFonts w:hint="eastAsia" w:ascii="宋体" w:hAnsi="宋体" w:cs="仿宋"/>
          <w:b/>
          <w:bCs/>
          <w:color w:val="000000"/>
          <w:sz w:val="32"/>
          <w:szCs w:val="32"/>
        </w:rPr>
        <w:t>、紧扣一条主线：以安全稳定、高质量发展为主线，坚持标本兼治固安全，筑牢高质量发展新防线，全力推动全市质量安全监督工作再创新业绩、再上新台阶、再谱新篇章。</w:t>
      </w:r>
    </w:p>
    <w:p>
      <w:pPr>
        <w:spacing w:line="630" w:lineRule="exact"/>
        <w:ind w:firstLine="640" w:firstLineChars="200"/>
        <w:textAlignment w:val="baseline"/>
        <w:rPr>
          <w:rFonts w:ascii="宋体" w:cs="仿宋"/>
          <w:b/>
          <w:color w:val="000000"/>
          <w:sz w:val="32"/>
          <w:szCs w:val="32"/>
        </w:rPr>
      </w:pPr>
      <w:r>
        <w:rPr>
          <w:rFonts w:hint="eastAsia" w:ascii="宋体" w:hAnsi="宋体" w:cs="仿宋"/>
          <w:color w:val="000000"/>
          <w:sz w:val="32"/>
          <w:szCs w:val="32"/>
        </w:rPr>
        <w:t>一是拧紧安全生产“责任链”。强化建设单位首要责任，压牢压实施工单位主要责任、监理单位监理责任及其他责任单位的主体责任。精准压实监管责任，坚持一岗双责、党政同责，所有工程项目明确质量安全监督责任人，定人、定岗、定项目，所有在建项目必须有负责干部联系。</w:t>
      </w:r>
    </w:p>
    <w:p>
      <w:pPr>
        <w:spacing w:line="630" w:lineRule="exact"/>
        <w:ind w:firstLine="640" w:firstLineChars="200"/>
        <w:textAlignment w:val="baseline"/>
        <w:rPr>
          <w:rFonts w:ascii="宋体" w:cs="仿宋"/>
          <w:b/>
          <w:color w:val="000000"/>
          <w:sz w:val="32"/>
          <w:szCs w:val="32"/>
        </w:rPr>
      </w:pPr>
      <w:r>
        <w:rPr>
          <w:rFonts w:hint="eastAsia" w:ascii="宋体" w:hAnsi="宋体" w:cs="仿宋"/>
          <w:color w:val="000000"/>
          <w:sz w:val="32"/>
          <w:szCs w:val="32"/>
        </w:rPr>
        <w:t>二是织密安全发展“防护网”。坚持安全隐患治理不放松，红线底线不突破，建立企业全面自查、监督机构抽查的安全防范机制，加大执法、处罚力度，着力消除妨害安全生产的每一处隐患、堵塞监督管理的每一个漏洞，合力织密、织牢安全生产的防护网、责任网，每位同志在项目巡查过程中要善于发现、勤于登记、及时反馈、限期整改。坚决维护人民群众生命财产安全，为岳阳建筑高质量发展保驾护航。</w:t>
      </w:r>
    </w:p>
    <w:p>
      <w:pPr>
        <w:spacing w:line="630" w:lineRule="exact"/>
        <w:ind w:firstLine="640" w:firstLineChars="200"/>
        <w:textAlignment w:val="baseline"/>
        <w:rPr>
          <w:rFonts w:ascii="宋体" w:cs="仿宋"/>
          <w:b/>
          <w:bCs/>
          <w:color w:val="000000"/>
          <w:sz w:val="32"/>
          <w:szCs w:val="32"/>
        </w:rPr>
      </w:pPr>
      <w:r>
        <w:rPr>
          <w:rFonts w:hint="eastAsia" w:ascii="宋体" w:hAnsi="宋体" w:cs="仿宋"/>
          <w:color w:val="000000"/>
          <w:sz w:val="32"/>
          <w:szCs w:val="32"/>
        </w:rPr>
        <w:t>三是以“科学规范”为导向，提升监督管理水平。坚持依法行政，监管与服务并重，优化事前审批，提供优质监督服务，强化事中事后监管，严格质量安全监督和执法，加快“智慧住建”建设，推进监管水平再上台阶。</w:t>
      </w:r>
    </w:p>
    <w:p>
      <w:pPr>
        <w:spacing w:line="630" w:lineRule="exact"/>
        <w:ind w:firstLine="640" w:firstLineChars="200"/>
        <w:textAlignment w:val="baseline"/>
        <w:rPr>
          <w:rFonts w:ascii="宋体" w:cs="仿宋"/>
          <w:color w:val="000000"/>
          <w:sz w:val="32"/>
          <w:szCs w:val="32"/>
        </w:rPr>
      </w:pPr>
      <w:r>
        <w:rPr>
          <w:rFonts w:ascii="宋体" w:hAnsi="宋体" w:cs="仿宋"/>
          <w:b/>
          <w:bCs/>
          <w:color w:val="000000"/>
          <w:sz w:val="32"/>
          <w:szCs w:val="32"/>
        </w:rPr>
        <w:t>2</w:t>
      </w:r>
      <w:r>
        <w:rPr>
          <w:rFonts w:hint="eastAsia" w:ascii="宋体" w:hAnsi="宋体" w:cs="仿宋"/>
          <w:b/>
          <w:bCs/>
          <w:color w:val="000000"/>
          <w:sz w:val="32"/>
          <w:szCs w:val="32"/>
        </w:rPr>
        <w:t>、突出“两个重点”：一是以人民为中心，扎实开展建筑施工领域安全生产专项整治三年行动，全面提升安全防范能力。</w:t>
      </w:r>
      <w:r>
        <w:rPr>
          <w:rFonts w:hint="eastAsia" w:ascii="宋体" w:hAnsi="宋体" w:cs="仿宋"/>
          <w:color w:val="000000"/>
          <w:sz w:val="32"/>
          <w:szCs w:val="32"/>
        </w:rPr>
        <w:t>提升建筑工地安全管理水平，全面建立工地现场</w:t>
      </w:r>
      <w:r>
        <w:rPr>
          <w:rFonts w:ascii="宋体" w:cs="仿宋"/>
          <w:color w:val="000000"/>
          <w:sz w:val="32"/>
          <w:szCs w:val="32"/>
        </w:rPr>
        <w:t>-</w:t>
      </w:r>
      <w:r>
        <w:rPr>
          <w:rFonts w:hint="eastAsia" w:ascii="宋体" w:hAnsi="宋体" w:cs="仿宋"/>
          <w:color w:val="000000"/>
          <w:sz w:val="32"/>
          <w:szCs w:val="32"/>
        </w:rPr>
        <w:t>监管中心互联的“智慧工地”；深化施工安全专项治理，开展消防、脚手架、防护、临时用电、起重机械等专项隐患排查；提升安全标准化水平，强化危大工程安全整治；加强教育培训，提升从业人员安全意识；强化社会监督，完善信用激励惩戒机制；实施联合惩戒，加大监督执法力度，全面落实企业责任；继续推行施工安全生产责任保险，推动建立市场化事故预防机制，充分发挥事前预防、事后保障作用。</w:t>
      </w:r>
      <w:r>
        <w:rPr>
          <w:rFonts w:hint="eastAsia" w:ascii="宋体" w:hAnsi="宋体" w:cs="仿宋"/>
          <w:b/>
          <w:bCs/>
          <w:color w:val="000000"/>
          <w:sz w:val="32"/>
          <w:szCs w:val="32"/>
        </w:rPr>
        <w:t>二是本着“质量强市”的目标，坚持以初心勾线，匠心施彩，积极助力全市建筑工程的质量提升。</w:t>
      </w:r>
      <w:r>
        <w:rPr>
          <w:rFonts w:hint="eastAsia" w:ascii="宋体" w:hAnsi="宋体" w:cs="仿宋"/>
          <w:color w:val="000000"/>
          <w:sz w:val="32"/>
          <w:szCs w:val="32"/>
        </w:rPr>
        <w:t>深入开展住宅工程质量通病专项治理，提升住宅品质，减少质量问题投诉；探索实施质量潜在缺陷保险制度，健全政府监管、社会参与的质量保障新模式；整治建筑预拌混凝土质量问题，建立预拌混凝土与质量检测动态监管平台，着力规范工程质量检测市场秩序，联动查处重点材料质量违法违规行为；全面推进“双随机一公开”监管工作制度，将其应用于建筑材料抽测工作；加大工程质量巡查暗访力度，在我市形成工程质量监管高压态势。</w:t>
      </w:r>
    </w:p>
    <w:p>
      <w:pPr>
        <w:spacing w:line="630" w:lineRule="exact"/>
        <w:ind w:firstLine="640" w:firstLineChars="200"/>
        <w:textAlignment w:val="baseline"/>
        <w:rPr>
          <w:rFonts w:ascii="宋体" w:cs="仿宋"/>
          <w:color w:val="000000"/>
          <w:sz w:val="32"/>
          <w:szCs w:val="32"/>
        </w:rPr>
      </w:pPr>
      <w:r>
        <w:rPr>
          <w:rFonts w:ascii="宋体" w:hAnsi="宋体" w:cs="仿宋"/>
          <w:b/>
          <w:bCs/>
          <w:color w:val="000000"/>
          <w:sz w:val="32"/>
          <w:szCs w:val="32"/>
        </w:rPr>
        <w:t>3</w:t>
      </w:r>
      <w:r>
        <w:rPr>
          <w:rFonts w:hint="eastAsia" w:ascii="宋体" w:hAnsi="宋体" w:cs="仿宋"/>
          <w:b/>
          <w:bCs/>
          <w:color w:val="000000"/>
          <w:sz w:val="32"/>
          <w:szCs w:val="32"/>
        </w:rPr>
        <w:t>、主抓五大建设：抓政治能力建设、制度建设、人才队伍建设、内部信息化建设、监督规范化建设，以安全质量为本，促单位内部提升和行业质量安全提升。</w:t>
      </w:r>
      <w:r>
        <w:rPr>
          <w:rFonts w:hint="eastAsia" w:ascii="宋体" w:hAnsi="宋体" w:cs="仿宋"/>
          <w:color w:val="000000"/>
          <w:sz w:val="32"/>
          <w:szCs w:val="32"/>
        </w:rPr>
        <w:t>一是进一步加强单位政治能力建设，坚持党的核心领导地位，搭建好党委班子、支部班子，加强政治学习，牢固树立“四个意识”</w:t>
      </w:r>
      <w:r>
        <w:rPr>
          <w:rFonts w:ascii="宋体" w:cs="仿宋"/>
          <w:color w:val="000000"/>
          <w:sz w:val="32"/>
          <w:szCs w:val="32"/>
        </w:rPr>
        <w:t>,</w:t>
      </w:r>
      <w:r>
        <w:rPr>
          <w:rFonts w:hint="eastAsia" w:ascii="宋体" w:hAnsi="宋体" w:cs="仿宋"/>
          <w:color w:val="000000"/>
          <w:sz w:val="32"/>
          <w:szCs w:val="32"/>
        </w:rPr>
        <w:t>坚定“四个自信”。二是在机构改革中，不断优化调整单位内部管理制度、业务工作制度，按制按章办事，建立高效的单位运行机制。三是围绕基层党建和干部队伍工作，强化党支部的“五化”建设夯基固本，全面抓好党风廉政建设，切实优化机构人事，重点聚焦执行力提升，为住建事业发展提供坚强组织保障和强大精神动力。四是完善内部信息化建设，建立内部高效联动的工作信息平台，监督信息互相平台，确保政令畅通、信息流转高效。五是加强监督工作规范化考核，提升个人素质，提升整体监督水平，打造全省一流的监督队伍。</w:t>
      </w:r>
    </w:p>
    <w:p>
      <w:pPr>
        <w:spacing w:line="630" w:lineRule="exact"/>
        <w:ind w:firstLine="640" w:firstLineChars="200"/>
        <w:textAlignment w:val="baseline"/>
        <w:rPr>
          <w:rFonts w:ascii="宋体" w:cs="仿宋"/>
          <w:color w:val="000000"/>
          <w:sz w:val="32"/>
          <w:szCs w:val="32"/>
        </w:rPr>
      </w:pPr>
      <w:r>
        <w:rPr>
          <w:rFonts w:hint="eastAsia" w:ascii="宋体" w:hAnsi="宋体" w:cs="仿宋"/>
          <w:color w:val="000000"/>
          <w:sz w:val="32"/>
          <w:szCs w:val="32"/>
        </w:rPr>
        <w:t>同志们，我们从事的是质量安全监督工作，责任重大、使命神圣。“人民至上，生命至上”发展理念不能忘，“牢记初心，牢记使命”不能忘。我们都是党的干部，从事的是保护人民群众生命财产安全的底线工作不能破。我们要锤炼过硬的政治素养、良好的思辩能力、清晰的逻辑思维、扎实的业务功底，进一步提升建筑产品质量、杜绝人员安全事故的发生。凝心聚力、合心合力，再创辉煌！</w:t>
      </w:r>
    </w:p>
    <w:p>
      <w:pPr>
        <w:spacing w:line="600" w:lineRule="exact"/>
        <w:ind w:firstLine="640" w:firstLineChars="200"/>
        <w:textAlignment w:val="baseline"/>
        <w:rPr>
          <w:rFonts w:ascii="宋体" w:cs="仿宋"/>
          <w:color w:val="000000"/>
          <w:sz w:val="32"/>
          <w:szCs w:val="32"/>
        </w:rPr>
      </w:pPr>
    </w:p>
    <w:p>
      <w:pPr>
        <w:spacing w:line="600" w:lineRule="exact"/>
        <w:ind w:firstLine="640" w:firstLineChars="200"/>
        <w:textAlignment w:val="baseline"/>
        <w:rPr>
          <w:rFonts w:ascii="宋体" w:cs="仿宋"/>
          <w:color w:val="000000"/>
          <w:sz w:val="32"/>
          <w:szCs w:val="32"/>
        </w:rPr>
      </w:pPr>
    </w:p>
    <w:p>
      <w:pPr>
        <w:rPr>
          <w:rFonts w:ascii="宋体"/>
          <w:sz w:val="28"/>
          <w:szCs w:val="28"/>
        </w:rPr>
      </w:pPr>
    </w:p>
    <w:p>
      <w:pPr>
        <w:rPr>
          <w:rFonts w:ascii="宋体"/>
          <w:sz w:val="28"/>
          <w:szCs w:val="28"/>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___WRD_EMBED_SUB_47">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大标宋简体">
    <w:altName w:val="微软雅黑"/>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I5YjRiZWVkNDY0YzcxOTUwY2ZkYjBmZGI0MzRjYTUifQ=="/>
  </w:docVars>
  <w:rsids>
    <w:rsidRoot w:val="004506F9"/>
    <w:rsid w:val="00007518"/>
    <w:rsid w:val="0002229B"/>
    <w:rsid w:val="000273BD"/>
    <w:rsid w:val="000415B7"/>
    <w:rsid w:val="00041E3F"/>
    <w:rsid w:val="00055DAA"/>
    <w:rsid w:val="00061F7B"/>
    <w:rsid w:val="000658A3"/>
    <w:rsid w:val="00070B6C"/>
    <w:rsid w:val="00074155"/>
    <w:rsid w:val="000901C3"/>
    <w:rsid w:val="0009240E"/>
    <w:rsid w:val="000A3F69"/>
    <w:rsid w:val="000D5DEE"/>
    <w:rsid w:val="000E3EB2"/>
    <w:rsid w:val="00103957"/>
    <w:rsid w:val="00122517"/>
    <w:rsid w:val="001228A2"/>
    <w:rsid w:val="00144D90"/>
    <w:rsid w:val="00152C6D"/>
    <w:rsid w:val="00162D39"/>
    <w:rsid w:val="001678BD"/>
    <w:rsid w:val="00183765"/>
    <w:rsid w:val="00184DC8"/>
    <w:rsid w:val="00185DB4"/>
    <w:rsid w:val="00197735"/>
    <w:rsid w:val="001A521F"/>
    <w:rsid w:val="001A67DB"/>
    <w:rsid w:val="001C3C29"/>
    <w:rsid w:val="001C7D63"/>
    <w:rsid w:val="001D0239"/>
    <w:rsid w:val="001D4F1A"/>
    <w:rsid w:val="001D51E5"/>
    <w:rsid w:val="001E0265"/>
    <w:rsid w:val="001E080D"/>
    <w:rsid w:val="001E53D0"/>
    <w:rsid w:val="001F0C3B"/>
    <w:rsid w:val="00202C82"/>
    <w:rsid w:val="00204670"/>
    <w:rsid w:val="00210B4D"/>
    <w:rsid w:val="002129A4"/>
    <w:rsid w:val="00214427"/>
    <w:rsid w:val="00226CB7"/>
    <w:rsid w:val="00241703"/>
    <w:rsid w:val="00247979"/>
    <w:rsid w:val="00264552"/>
    <w:rsid w:val="00264EF9"/>
    <w:rsid w:val="00265724"/>
    <w:rsid w:val="0027426B"/>
    <w:rsid w:val="002848C4"/>
    <w:rsid w:val="002866AC"/>
    <w:rsid w:val="0028740D"/>
    <w:rsid w:val="002D7169"/>
    <w:rsid w:val="002E03A1"/>
    <w:rsid w:val="002E0A30"/>
    <w:rsid w:val="002E7E2C"/>
    <w:rsid w:val="002F225E"/>
    <w:rsid w:val="003130C4"/>
    <w:rsid w:val="00316C4B"/>
    <w:rsid w:val="0032192B"/>
    <w:rsid w:val="003219A8"/>
    <w:rsid w:val="003479BD"/>
    <w:rsid w:val="00353197"/>
    <w:rsid w:val="00363FEA"/>
    <w:rsid w:val="00370A54"/>
    <w:rsid w:val="0037197D"/>
    <w:rsid w:val="003768D5"/>
    <w:rsid w:val="003A0D5A"/>
    <w:rsid w:val="003C47E6"/>
    <w:rsid w:val="003C4FC2"/>
    <w:rsid w:val="003D5590"/>
    <w:rsid w:val="00401EB1"/>
    <w:rsid w:val="004024E4"/>
    <w:rsid w:val="00405CBE"/>
    <w:rsid w:val="00407B3A"/>
    <w:rsid w:val="00416E61"/>
    <w:rsid w:val="0042650B"/>
    <w:rsid w:val="0042790C"/>
    <w:rsid w:val="004506F9"/>
    <w:rsid w:val="00453DED"/>
    <w:rsid w:val="00465F67"/>
    <w:rsid w:val="004717A2"/>
    <w:rsid w:val="00473DF3"/>
    <w:rsid w:val="00475784"/>
    <w:rsid w:val="00487911"/>
    <w:rsid w:val="00491741"/>
    <w:rsid w:val="004B1C1E"/>
    <w:rsid w:val="004D1155"/>
    <w:rsid w:val="004F5EA3"/>
    <w:rsid w:val="00500E5F"/>
    <w:rsid w:val="00510C86"/>
    <w:rsid w:val="005122EF"/>
    <w:rsid w:val="0051441A"/>
    <w:rsid w:val="00517C33"/>
    <w:rsid w:val="00523314"/>
    <w:rsid w:val="00523644"/>
    <w:rsid w:val="0054069E"/>
    <w:rsid w:val="005432F4"/>
    <w:rsid w:val="00544866"/>
    <w:rsid w:val="0056125E"/>
    <w:rsid w:val="005724B0"/>
    <w:rsid w:val="005767CC"/>
    <w:rsid w:val="00584AF3"/>
    <w:rsid w:val="00590D9F"/>
    <w:rsid w:val="00591ACD"/>
    <w:rsid w:val="00595D26"/>
    <w:rsid w:val="005A74E6"/>
    <w:rsid w:val="005B404E"/>
    <w:rsid w:val="005B74B2"/>
    <w:rsid w:val="005C7186"/>
    <w:rsid w:val="005D4D55"/>
    <w:rsid w:val="005E2CFB"/>
    <w:rsid w:val="005F3D1C"/>
    <w:rsid w:val="006106D4"/>
    <w:rsid w:val="0062251F"/>
    <w:rsid w:val="0062378F"/>
    <w:rsid w:val="00635EFB"/>
    <w:rsid w:val="0064093B"/>
    <w:rsid w:val="00641842"/>
    <w:rsid w:val="0065077B"/>
    <w:rsid w:val="00651EEC"/>
    <w:rsid w:val="00670F95"/>
    <w:rsid w:val="00691E8C"/>
    <w:rsid w:val="006A22C4"/>
    <w:rsid w:val="006A351B"/>
    <w:rsid w:val="006A5962"/>
    <w:rsid w:val="006B0422"/>
    <w:rsid w:val="006C1B53"/>
    <w:rsid w:val="006D7730"/>
    <w:rsid w:val="006E5284"/>
    <w:rsid w:val="006E65B6"/>
    <w:rsid w:val="006F3EB5"/>
    <w:rsid w:val="00702E34"/>
    <w:rsid w:val="00703AA8"/>
    <w:rsid w:val="00704395"/>
    <w:rsid w:val="00717006"/>
    <w:rsid w:val="00717621"/>
    <w:rsid w:val="00720FF1"/>
    <w:rsid w:val="0072404D"/>
    <w:rsid w:val="00727A53"/>
    <w:rsid w:val="007317F9"/>
    <w:rsid w:val="00743E3A"/>
    <w:rsid w:val="00770C9A"/>
    <w:rsid w:val="00780D99"/>
    <w:rsid w:val="00787B42"/>
    <w:rsid w:val="007952D6"/>
    <w:rsid w:val="007B0189"/>
    <w:rsid w:val="007B6A0B"/>
    <w:rsid w:val="007C4539"/>
    <w:rsid w:val="007D0DAF"/>
    <w:rsid w:val="007D2CF9"/>
    <w:rsid w:val="007D7A2F"/>
    <w:rsid w:val="007D7E05"/>
    <w:rsid w:val="007F3657"/>
    <w:rsid w:val="007F3BF7"/>
    <w:rsid w:val="007F6D98"/>
    <w:rsid w:val="00812ED5"/>
    <w:rsid w:val="008277D9"/>
    <w:rsid w:val="0083078E"/>
    <w:rsid w:val="0084478C"/>
    <w:rsid w:val="008662D0"/>
    <w:rsid w:val="0086638C"/>
    <w:rsid w:val="00870C8B"/>
    <w:rsid w:val="00890DBA"/>
    <w:rsid w:val="008A3E8D"/>
    <w:rsid w:val="008A4B89"/>
    <w:rsid w:val="008C74B7"/>
    <w:rsid w:val="0090521E"/>
    <w:rsid w:val="009227D6"/>
    <w:rsid w:val="009237C4"/>
    <w:rsid w:val="009402B7"/>
    <w:rsid w:val="00942FA0"/>
    <w:rsid w:val="00943D8B"/>
    <w:rsid w:val="00944C48"/>
    <w:rsid w:val="00950252"/>
    <w:rsid w:val="00966C98"/>
    <w:rsid w:val="00967F5D"/>
    <w:rsid w:val="009932C1"/>
    <w:rsid w:val="009A0F95"/>
    <w:rsid w:val="009A5E23"/>
    <w:rsid w:val="009A7F3D"/>
    <w:rsid w:val="009B1DC8"/>
    <w:rsid w:val="009B3ADF"/>
    <w:rsid w:val="009C3B52"/>
    <w:rsid w:val="009C7E38"/>
    <w:rsid w:val="009E6817"/>
    <w:rsid w:val="009E6E9A"/>
    <w:rsid w:val="00A003E2"/>
    <w:rsid w:val="00A01D2B"/>
    <w:rsid w:val="00A17280"/>
    <w:rsid w:val="00A262BA"/>
    <w:rsid w:val="00A42218"/>
    <w:rsid w:val="00A6750A"/>
    <w:rsid w:val="00A70249"/>
    <w:rsid w:val="00A70B02"/>
    <w:rsid w:val="00A71D9F"/>
    <w:rsid w:val="00A76218"/>
    <w:rsid w:val="00A835E4"/>
    <w:rsid w:val="00A86A45"/>
    <w:rsid w:val="00A92E9F"/>
    <w:rsid w:val="00A951A8"/>
    <w:rsid w:val="00AB5D1A"/>
    <w:rsid w:val="00AE1C10"/>
    <w:rsid w:val="00B33BEA"/>
    <w:rsid w:val="00B428A5"/>
    <w:rsid w:val="00B560E1"/>
    <w:rsid w:val="00B57C9F"/>
    <w:rsid w:val="00B63572"/>
    <w:rsid w:val="00B72A13"/>
    <w:rsid w:val="00B74AA2"/>
    <w:rsid w:val="00B845B3"/>
    <w:rsid w:val="00B85D8B"/>
    <w:rsid w:val="00B86FC6"/>
    <w:rsid w:val="00BB4304"/>
    <w:rsid w:val="00BB4A40"/>
    <w:rsid w:val="00BC17CB"/>
    <w:rsid w:val="00BD6C3E"/>
    <w:rsid w:val="00BE3674"/>
    <w:rsid w:val="00BF6DE6"/>
    <w:rsid w:val="00C002E9"/>
    <w:rsid w:val="00C07FED"/>
    <w:rsid w:val="00C10681"/>
    <w:rsid w:val="00C25520"/>
    <w:rsid w:val="00C3049A"/>
    <w:rsid w:val="00C31B1E"/>
    <w:rsid w:val="00C444D8"/>
    <w:rsid w:val="00C551CE"/>
    <w:rsid w:val="00C77645"/>
    <w:rsid w:val="00C928AB"/>
    <w:rsid w:val="00CE04C3"/>
    <w:rsid w:val="00CE76A0"/>
    <w:rsid w:val="00D030A0"/>
    <w:rsid w:val="00D05F0E"/>
    <w:rsid w:val="00D148C6"/>
    <w:rsid w:val="00D17A8A"/>
    <w:rsid w:val="00D415BA"/>
    <w:rsid w:val="00D47A91"/>
    <w:rsid w:val="00D50621"/>
    <w:rsid w:val="00D62232"/>
    <w:rsid w:val="00D644EE"/>
    <w:rsid w:val="00DB082F"/>
    <w:rsid w:val="00DB612C"/>
    <w:rsid w:val="00DD06FF"/>
    <w:rsid w:val="00DD5FE9"/>
    <w:rsid w:val="00DD61CC"/>
    <w:rsid w:val="00E00C7A"/>
    <w:rsid w:val="00E077EE"/>
    <w:rsid w:val="00E37D6C"/>
    <w:rsid w:val="00E55B68"/>
    <w:rsid w:val="00E55F68"/>
    <w:rsid w:val="00E6174C"/>
    <w:rsid w:val="00E67BE6"/>
    <w:rsid w:val="00E71939"/>
    <w:rsid w:val="00E8683C"/>
    <w:rsid w:val="00E87A34"/>
    <w:rsid w:val="00E95A37"/>
    <w:rsid w:val="00E9607D"/>
    <w:rsid w:val="00EA2B72"/>
    <w:rsid w:val="00EA2D47"/>
    <w:rsid w:val="00ED021D"/>
    <w:rsid w:val="00ED16AD"/>
    <w:rsid w:val="00EF000B"/>
    <w:rsid w:val="00F27113"/>
    <w:rsid w:val="00F3089D"/>
    <w:rsid w:val="00F355FE"/>
    <w:rsid w:val="00F40428"/>
    <w:rsid w:val="00F527CB"/>
    <w:rsid w:val="00F56389"/>
    <w:rsid w:val="00F74360"/>
    <w:rsid w:val="00F80BEE"/>
    <w:rsid w:val="00F86D1C"/>
    <w:rsid w:val="00FB1B2D"/>
    <w:rsid w:val="00FB462F"/>
    <w:rsid w:val="00FD5316"/>
    <w:rsid w:val="00FE16FA"/>
    <w:rsid w:val="00FE328A"/>
    <w:rsid w:val="00FE534B"/>
    <w:rsid w:val="00FE5F1F"/>
    <w:rsid w:val="00FE6269"/>
    <w:rsid w:val="00FE68F3"/>
    <w:rsid w:val="33A216B4"/>
    <w:rsid w:val="3EE8033C"/>
    <w:rsid w:val="47F10619"/>
    <w:rsid w:val="4CE6319D"/>
    <w:rsid w:val="501E45F8"/>
    <w:rsid w:val="577F7FC8"/>
    <w:rsid w:val="771C0E3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Balloon Text Char"/>
    <w:basedOn w:val="6"/>
    <w:link w:val="2"/>
    <w:semiHidden/>
    <w:qFormat/>
    <w:locked/>
    <w:uiPriority w:val="99"/>
    <w:rPr>
      <w:rFonts w:cs="Times New Roman"/>
      <w:sz w:val="18"/>
      <w:szCs w:val="18"/>
    </w:rPr>
  </w:style>
  <w:style w:type="character" w:customStyle="1" w:styleId="8">
    <w:name w:val="Footer Char"/>
    <w:basedOn w:val="6"/>
    <w:link w:val="3"/>
    <w:qFormat/>
    <w:locked/>
    <w:uiPriority w:val="99"/>
    <w:rPr>
      <w:rFonts w:cs="Times New Roman"/>
      <w:sz w:val="18"/>
      <w:szCs w:val="18"/>
    </w:rPr>
  </w:style>
  <w:style w:type="character" w:customStyle="1" w:styleId="9">
    <w:name w:val="Header Char"/>
    <w:basedOn w:val="6"/>
    <w:link w:val="4"/>
    <w:qFormat/>
    <w:locked/>
    <w:uiPriority w:val="99"/>
    <w:rPr>
      <w:rFonts w:cs="Times New Roman"/>
      <w:sz w:val="18"/>
      <w:szCs w:val="18"/>
    </w:rPr>
  </w:style>
  <w:style w:type="paragraph" w:customStyle="1" w:styleId="10">
    <w:name w:val="Default"/>
    <w:qFormat/>
    <w:uiPriority w:val="99"/>
    <w:pPr>
      <w:widowControl w:val="0"/>
      <w:autoSpaceDE w:val="0"/>
      <w:autoSpaceDN w:val="0"/>
      <w:adjustRightInd w:val="0"/>
    </w:pPr>
    <w:rPr>
      <w:rFonts w:ascii="黑体" w:hAnsi="Calibri" w:eastAsia="黑体" w:cs="黑体"/>
      <w:color w:val="000000"/>
      <w:kern w:val="0"/>
      <w:sz w:val="24"/>
      <w:szCs w:val="24"/>
      <w:lang w:val="en-US" w:eastAsia="zh-CN" w:bidi="ar-SA"/>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48</Pages>
  <Words>20673</Words>
  <Characters>24171</Characters>
  <Lines>0</Lines>
  <Paragraphs>0</Paragraphs>
  <TotalTime>2</TotalTime>
  <ScaleCrop>false</ScaleCrop>
  <LinksUpToDate>false</LinksUpToDate>
  <CharactersWithSpaces>25434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2021-09-14T03:14:00Z</dcterms:created>
  <dc:creator>李航 null</dc:creator>
  <cp:lastModifiedBy>三月芳菲</cp:lastModifiedBy>
  <cp:lastPrinted>2021-07-28T00:12:00Z</cp:lastPrinted>
  <dcterms:modified xsi:type="dcterms:W3CDTF">2022-06-13T03:20:16Z</dcterms:modified>
  <dc:title>2020年度</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5DA9A80AE2CA437EB434EACDA22FAD0E</vt:lpwstr>
  </property>
</Properties>
</file>