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岳阳市食品药品监督管理专项</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5</w:t>
      </w:r>
      <w:r>
        <w:rPr>
          <w:rFonts w:hint="eastAsia" w:eastAsia="仿宋_GB2312"/>
          <w:sz w:val="32"/>
        </w:rPr>
        <w:t xml:space="preserve"> 月 </w:t>
      </w:r>
      <w:r>
        <w:rPr>
          <w:rFonts w:hint="eastAsia" w:eastAsia="仿宋_GB2312"/>
          <w:sz w:val="32"/>
          <w:lang w:val="en-US" w:eastAsia="zh-CN"/>
        </w:rPr>
        <w:t>30</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rPr>
        <w:t>岳阳市财政局（制）</w:t>
      </w:r>
    </w:p>
    <w:p>
      <w:pPr>
        <w:spacing w:line="348" w:lineRule="auto"/>
        <w:jc w:val="center"/>
        <w:rPr>
          <w:rFonts w:hint="eastAsia"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530"/>
        <w:gridCol w:w="802"/>
        <w:gridCol w:w="306"/>
        <w:gridCol w:w="44"/>
        <w:gridCol w:w="573"/>
        <w:gridCol w:w="730"/>
        <w:gridCol w:w="440"/>
        <w:gridCol w:w="577"/>
        <w:gridCol w:w="5"/>
        <w:gridCol w:w="1615"/>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hint="eastAsia" w:eastAsia="仿宋_GB2312"/>
                <w:b/>
                <w:sz w:val="24"/>
              </w:rPr>
            </w:pPr>
          </w:p>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4"/>
            <w:vAlign w:val="center"/>
          </w:tcPr>
          <w:p>
            <w:pPr>
              <w:rPr>
                <w:rFonts w:hint="eastAsia" w:eastAsia="仿宋_GB2312"/>
                <w:sz w:val="24"/>
                <w:lang w:eastAsia="zh-CN"/>
              </w:rPr>
            </w:pPr>
            <w:r>
              <w:rPr>
                <w:rFonts w:hint="eastAsia" w:eastAsia="仿宋_GB2312"/>
                <w:sz w:val="24"/>
                <w:lang w:eastAsia="zh-CN"/>
              </w:rPr>
              <w:t>李青松</w:t>
            </w:r>
          </w:p>
        </w:tc>
        <w:tc>
          <w:tcPr>
            <w:tcW w:w="1347" w:type="dxa"/>
            <w:gridSpan w:val="3"/>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0730-8224907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4"/>
            <w:vAlign w:val="center"/>
          </w:tcPr>
          <w:p>
            <w:pPr>
              <w:rPr>
                <w:rFonts w:hint="default" w:eastAsia="仿宋_GB2312"/>
                <w:sz w:val="24"/>
                <w:lang w:val="en-US" w:eastAsia="zh-CN"/>
              </w:rPr>
            </w:pPr>
            <w:r>
              <w:rPr>
                <w:rFonts w:hint="eastAsia" w:eastAsia="仿宋_GB2312"/>
                <w:sz w:val="24"/>
                <w:lang w:eastAsia="zh-CN"/>
              </w:rPr>
              <w:t>岳阳市岳阳区青年中路</w:t>
            </w:r>
            <w:r>
              <w:rPr>
                <w:rFonts w:hint="eastAsia" w:eastAsia="仿宋_GB2312"/>
                <w:sz w:val="24"/>
                <w:lang w:val="en-US" w:eastAsia="zh-CN"/>
              </w:rPr>
              <w:t>72号</w:t>
            </w:r>
          </w:p>
        </w:tc>
        <w:tc>
          <w:tcPr>
            <w:tcW w:w="1347" w:type="dxa"/>
            <w:gridSpan w:val="3"/>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602"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565</w:t>
            </w:r>
          </w:p>
        </w:tc>
        <w:tc>
          <w:tcPr>
            <w:tcW w:w="153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1108"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565</w:t>
            </w:r>
          </w:p>
        </w:tc>
        <w:tc>
          <w:tcPr>
            <w:tcW w:w="1787"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577"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565</w:t>
            </w:r>
          </w:p>
        </w:tc>
        <w:tc>
          <w:tcPr>
            <w:tcW w:w="1620" w:type="dxa"/>
            <w:gridSpan w:val="2"/>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602" w:type="dxa"/>
            <w:tcBorders>
              <w:bottom w:val="single" w:color="auto" w:sz="4" w:space="0"/>
            </w:tcBorders>
            <w:vAlign w:val="center"/>
          </w:tcPr>
          <w:p>
            <w:pPr>
              <w:rPr>
                <w:rFonts w:eastAsia="仿宋_GB2312"/>
                <w:spacing w:val="-6"/>
                <w:sz w:val="24"/>
              </w:rPr>
            </w:pPr>
          </w:p>
        </w:tc>
        <w:tc>
          <w:tcPr>
            <w:tcW w:w="153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1108" w:type="dxa"/>
            <w:gridSpan w:val="2"/>
            <w:tcBorders>
              <w:bottom w:val="single" w:color="auto" w:sz="4" w:space="0"/>
            </w:tcBorders>
            <w:vAlign w:val="center"/>
          </w:tcPr>
          <w:p>
            <w:pPr>
              <w:rPr>
                <w:rFonts w:eastAsia="仿宋_GB2312"/>
                <w:spacing w:val="-6"/>
                <w:sz w:val="24"/>
              </w:rPr>
            </w:pPr>
          </w:p>
        </w:tc>
        <w:tc>
          <w:tcPr>
            <w:tcW w:w="1787" w:type="dxa"/>
            <w:gridSpan w:val="4"/>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577" w:type="dxa"/>
            <w:tcBorders>
              <w:bottom w:val="single" w:color="auto" w:sz="4" w:space="0"/>
            </w:tcBorders>
            <w:vAlign w:val="center"/>
          </w:tcPr>
          <w:p>
            <w:pPr>
              <w:rPr>
                <w:rFonts w:eastAsia="仿宋_GB2312"/>
                <w:spacing w:val="-6"/>
                <w:sz w:val="24"/>
              </w:rPr>
            </w:pPr>
          </w:p>
        </w:tc>
        <w:tc>
          <w:tcPr>
            <w:tcW w:w="1620"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02" w:type="dxa"/>
            <w:tcBorders>
              <w:bottom w:val="single" w:color="auto" w:sz="4" w:space="0"/>
            </w:tcBorders>
            <w:vAlign w:val="center"/>
          </w:tcPr>
          <w:p>
            <w:pPr>
              <w:rPr>
                <w:rFonts w:eastAsia="仿宋_GB2312"/>
                <w:sz w:val="24"/>
              </w:rPr>
            </w:pPr>
          </w:p>
        </w:tc>
        <w:tc>
          <w:tcPr>
            <w:tcW w:w="1530" w:type="dxa"/>
            <w:tcBorders>
              <w:bottom w:val="single" w:color="auto" w:sz="4" w:space="0"/>
            </w:tcBorders>
            <w:vAlign w:val="center"/>
          </w:tcPr>
          <w:p>
            <w:pPr>
              <w:rPr>
                <w:rFonts w:eastAsia="仿宋_GB2312"/>
                <w:sz w:val="24"/>
              </w:rPr>
            </w:pPr>
            <w:r>
              <w:rPr>
                <w:rFonts w:hint="eastAsia" w:eastAsia="仿宋_GB2312"/>
                <w:sz w:val="24"/>
              </w:rPr>
              <w:t>省财政</w:t>
            </w:r>
          </w:p>
        </w:tc>
        <w:tc>
          <w:tcPr>
            <w:tcW w:w="1108" w:type="dxa"/>
            <w:gridSpan w:val="2"/>
            <w:tcBorders>
              <w:bottom w:val="single" w:color="auto" w:sz="4" w:space="0"/>
            </w:tcBorders>
            <w:vAlign w:val="center"/>
          </w:tcPr>
          <w:p>
            <w:pPr>
              <w:rPr>
                <w:rFonts w:eastAsia="仿宋_GB2312"/>
                <w:sz w:val="24"/>
              </w:rPr>
            </w:pPr>
          </w:p>
        </w:tc>
        <w:tc>
          <w:tcPr>
            <w:tcW w:w="1787" w:type="dxa"/>
            <w:gridSpan w:val="4"/>
            <w:tcBorders>
              <w:bottom w:val="single" w:color="auto" w:sz="4" w:space="0"/>
            </w:tcBorders>
            <w:vAlign w:val="center"/>
          </w:tcPr>
          <w:p>
            <w:pPr>
              <w:rPr>
                <w:rFonts w:eastAsia="仿宋_GB2312"/>
                <w:sz w:val="24"/>
              </w:rPr>
            </w:pPr>
            <w:r>
              <w:rPr>
                <w:rFonts w:hint="eastAsia" w:eastAsia="仿宋_GB2312"/>
                <w:sz w:val="24"/>
              </w:rPr>
              <w:t>省财政</w:t>
            </w:r>
          </w:p>
        </w:tc>
        <w:tc>
          <w:tcPr>
            <w:tcW w:w="577" w:type="dxa"/>
            <w:tcBorders>
              <w:bottom w:val="single" w:color="auto" w:sz="4" w:space="0"/>
            </w:tcBorders>
            <w:vAlign w:val="center"/>
          </w:tcPr>
          <w:p>
            <w:pPr>
              <w:rPr>
                <w:rFonts w:eastAsia="仿宋_GB2312"/>
                <w:sz w:val="24"/>
              </w:rPr>
            </w:pP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02"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565</w:t>
            </w:r>
          </w:p>
        </w:tc>
        <w:tc>
          <w:tcPr>
            <w:tcW w:w="1530" w:type="dxa"/>
            <w:tcBorders>
              <w:bottom w:val="single" w:color="auto" w:sz="4" w:space="0"/>
            </w:tcBorders>
            <w:vAlign w:val="center"/>
          </w:tcPr>
          <w:p>
            <w:pPr>
              <w:rPr>
                <w:rFonts w:eastAsia="仿宋_GB2312"/>
                <w:sz w:val="24"/>
              </w:rPr>
            </w:pPr>
            <w:r>
              <w:rPr>
                <w:rFonts w:hint="eastAsia" w:eastAsia="仿宋_GB2312"/>
                <w:sz w:val="24"/>
              </w:rPr>
              <w:t>市财政</w:t>
            </w:r>
          </w:p>
        </w:tc>
        <w:tc>
          <w:tcPr>
            <w:tcW w:w="1108"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565</w:t>
            </w:r>
          </w:p>
        </w:tc>
        <w:tc>
          <w:tcPr>
            <w:tcW w:w="1787" w:type="dxa"/>
            <w:gridSpan w:val="4"/>
            <w:tcBorders>
              <w:bottom w:val="single" w:color="auto" w:sz="4" w:space="0"/>
            </w:tcBorders>
            <w:vAlign w:val="center"/>
          </w:tcPr>
          <w:p>
            <w:pPr>
              <w:rPr>
                <w:rFonts w:eastAsia="仿宋_GB2312"/>
                <w:sz w:val="24"/>
              </w:rPr>
            </w:pPr>
            <w:r>
              <w:rPr>
                <w:rFonts w:hint="eastAsia" w:eastAsia="仿宋_GB2312"/>
                <w:sz w:val="24"/>
              </w:rPr>
              <w:t>市财政</w:t>
            </w:r>
          </w:p>
        </w:tc>
        <w:tc>
          <w:tcPr>
            <w:tcW w:w="577"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565</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02" w:type="dxa"/>
            <w:tcBorders>
              <w:bottom w:val="single" w:color="auto" w:sz="4" w:space="0"/>
            </w:tcBorders>
            <w:vAlign w:val="center"/>
          </w:tcPr>
          <w:p>
            <w:pPr>
              <w:rPr>
                <w:rFonts w:eastAsia="仿宋_GB2312"/>
                <w:sz w:val="24"/>
              </w:rPr>
            </w:pPr>
          </w:p>
        </w:tc>
        <w:tc>
          <w:tcPr>
            <w:tcW w:w="153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1108" w:type="dxa"/>
            <w:gridSpan w:val="2"/>
            <w:tcBorders>
              <w:bottom w:val="single" w:color="auto" w:sz="4" w:space="0"/>
            </w:tcBorders>
            <w:vAlign w:val="center"/>
          </w:tcPr>
          <w:p>
            <w:pPr>
              <w:rPr>
                <w:rFonts w:eastAsia="仿宋_GB2312"/>
                <w:sz w:val="24"/>
              </w:rPr>
            </w:pPr>
          </w:p>
        </w:tc>
        <w:tc>
          <w:tcPr>
            <w:tcW w:w="1787" w:type="dxa"/>
            <w:gridSpan w:val="4"/>
            <w:tcBorders>
              <w:bottom w:val="single" w:color="auto" w:sz="4" w:space="0"/>
            </w:tcBorders>
            <w:vAlign w:val="center"/>
          </w:tcPr>
          <w:p>
            <w:pPr>
              <w:rPr>
                <w:rFonts w:eastAsia="仿宋_GB2312"/>
                <w:sz w:val="24"/>
              </w:rPr>
            </w:pPr>
            <w:r>
              <w:rPr>
                <w:rFonts w:hint="eastAsia" w:eastAsia="仿宋_GB2312"/>
                <w:sz w:val="24"/>
              </w:rPr>
              <w:t>县市区财政</w:t>
            </w:r>
          </w:p>
        </w:tc>
        <w:tc>
          <w:tcPr>
            <w:tcW w:w="577" w:type="dxa"/>
            <w:tcBorders>
              <w:bottom w:val="single" w:color="auto" w:sz="4" w:space="0"/>
            </w:tcBorders>
            <w:vAlign w:val="center"/>
          </w:tcPr>
          <w:p>
            <w:pPr>
              <w:rPr>
                <w:rFonts w:eastAsia="仿宋_GB2312"/>
                <w:sz w:val="24"/>
              </w:rPr>
            </w:pP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02" w:type="dxa"/>
            <w:tcBorders>
              <w:bottom w:val="single" w:color="auto" w:sz="4" w:space="0"/>
            </w:tcBorders>
            <w:vAlign w:val="center"/>
          </w:tcPr>
          <w:p>
            <w:pPr>
              <w:rPr>
                <w:rFonts w:eastAsia="仿宋_GB2312"/>
                <w:sz w:val="24"/>
              </w:rPr>
            </w:pPr>
          </w:p>
        </w:tc>
        <w:tc>
          <w:tcPr>
            <w:tcW w:w="1530" w:type="dxa"/>
            <w:tcBorders>
              <w:bottom w:val="single" w:color="auto" w:sz="4" w:space="0"/>
            </w:tcBorders>
            <w:vAlign w:val="center"/>
          </w:tcPr>
          <w:p>
            <w:pPr>
              <w:rPr>
                <w:rFonts w:eastAsia="仿宋_GB2312"/>
                <w:sz w:val="24"/>
              </w:rPr>
            </w:pPr>
            <w:r>
              <w:rPr>
                <w:rFonts w:hint="eastAsia" w:eastAsia="仿宋_GB2312"/>
                <w:sz w:val="24"/>
              </w:rPr>
              <w:t>其它</w:t>
            </w:r>
          </w:p>
        </w:tc>
        <w:tc>
          <w:tcPr>
            <w:tcW w:w="1108" w:type="dxa"/>
            <w:gridSpan w:val="2"/>
            <w:tcBorders>
              <w:bottom w:val="single" w:color="auto" w:sz="4" w:space="0"/>
            </w:tcBorders>
            <w:vAlign w:val="center"/>
          </w:tcPr>
          <w:p>
            <w:pPr>
              <w:rPr>
                <w:rFonts w:eastAsia="仿宋_GB2312"/>
                <w:sz w:val="24"/>
              </w:rPr>
            </w:pPr>
          </w:p>
        </w:tc>
        <w:tc>
          <w:tcPr>
            <w:tcW w:w="1787" w:type="dxa"/>
            <w:gridSpan w:val="4"/>
            <w:tcBorders>
              <w:bottom w:val="single" w:color="auto" w:sz="4" w:space="0"/>
            </w:tcBorders>
            <w:vAlign w:val="center"/>
          </w:tcPr>
          <w:p>
            <w:pPr>
              <w:rPr>
                <w:rFonts w:eastAsia="仿宋_GB2312"/>
                <w:sz w:val="24"/>
              </w:rPr>
            </w:pPr>
            <w:r>
              <w:rPr>
                <w:rFonts w:hint="eastAsia" w:eastAsia="仿宋_GB2312"/>
                <w:sz w:val="24"/>
              </w:rPr>
              <w:t>其它</w:t>
            </w:r>
          </w:p>
        </w:tc>
        <w:tc>
          <w:tcPr>
            <w:tcW w:w="577" w:type="dxa"/>
            <w:tcBorders>
              <w:bottom w:val="single" w:color="auto" w:sz="4" w:space="0"/>
            </w:tcBorders>
            <w:vAlign w:val="center"/>
          </w:tcPr>
          <w:p>
            <w:pPr>
              <w:rPr>
                <w:rFonts w:eastAsia="仿宋_GB2312"/>
                <w:sz w:val="24"/>
              </w:rPr>
            </w:pP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2682" w:type="dxa"/>
            <w:gridSpan w:val="4"/>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25" w:type="dxa"/>
            <w:gridSpan w:val="5"/>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会计凭证号</w:t>
            </w:r>
          </w:p>
        </w:tc>
        <w:tc>
          <w:tcPr>
            <w:tcW w:w="2311" w:type="dxa"/>
            <w:gridSpan w:val="2"/>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食品经营科欧首魁报差旅费开支57#2013804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器械科廖桦报差旅费开支50#2013804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1,080.00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药品生产指导协调科方兵报差旅费开支55#2013804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药品生产指导协调科方兵报差旅费开支53#2013804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药品生产指导协调科李再新报差旅费开支54#2013804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829.00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药品生产指导协调科李再新报差旅费开支52#2013804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728.00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特化科程冬英等报差旅费开支45#2013804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4,670.00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13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朱冬香等报差旅费开支2013801</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2,396.00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18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药品流通科李韬报差旅费开支2013804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840.00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35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药品流通科吴小红报差旅费开支2013804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829.00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36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药品流通科吴小红报差旅费开支2013804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1,202.00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37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宋锦峰等报差旅费开支2013804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4,176.00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1月份记账 58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药品流通科陈洪岩报差旅费开支14#2013804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14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药品流通科李韬报差旅费开支13#2013804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15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药品流通科陈洪岩报差旅费开支52#2013804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876.00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19</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药品流通科王云等报差旅费开支53#2013804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21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不良反应中心宋锦峰等报差旅费开支46#2013804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988.50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31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不良反应中心宋锦峰报差旅费开支47#2013804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360.00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33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方鹤群胡岳军报差旅费开支36#2013804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1,197.00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40</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食品安全协调科下拨华容岳阳县食品安全经费2299901</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42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肖赳报统计局食品安全群众满意度调查费用2013804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65,000.00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43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吴敏等报差旅费开支59#2013804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49</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蒋金阶报公务接待开支60#2013804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695.00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51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刘翔华等报差旅费开支61#2013804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52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吴立华报药品流通科工作调度会议用餐开支2013804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63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不良反应中心宋锦峰报药品和医疗器械监测专项经费开支62#2013804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31,360.00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86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钟进华报公务接待开支60#2013804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950.00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103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药品生产指导协调科方兵报差旅费开支2013804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1,720.00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108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药品生产指导协调科李再新报差旅费开支103#2013804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4,173.00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记2月份账 109</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谭伟报加班开支35#2013804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221.00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2月份记账 112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胡絮报食品安全协调科购置食品安全考核软件开支2#2013802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75,000.00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3月份记账 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胡絮报食品经营安全监管科印制健康码开支3#2013804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13,000.00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3月份记账 12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张忠报差旅费开支19#2013804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3月份记账 23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3月份记账 24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方兵报差旅费开支21#2013804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440.00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3月份记账 25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638.00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3月份记账 26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抽检科拨检测中心食品抽检费开支7#2013802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210,000.00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3月份记账 67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王银祥报差旅费开支60#2013804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3月份记账 71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不良反应中心宋锦锋报差旅费开支2013802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向阳报差旅费开支2013810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1,260.00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程冬英报差旅费开支2013804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2,600.00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甘果平等报差旅费开支2013804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10</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甘果平报差旅费开支2013804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11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廖桦报差旅费开支2013804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2,520.00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12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刘林报差旅费开支2013802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16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李韬等报差旅费开支2013804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918.00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20</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21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480.00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22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蒋金阶报长江禁捕倡议书登报费开支2013804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28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方鹤群报疫情防控一线工作慰问开支2013801</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31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34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2,012.00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35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36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刘兴友报差旅费开支2013804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499.00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37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胡絮报印刷费开支2013810食品经营监管科</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48,000.00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46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钟进华报差旅费开支2013804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2,579.00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52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向阳报差旅费开支2013810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720.00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53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肖赳报差旅费开支2013810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58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党朝阳报党校学习伙食费开支2013810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540.00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61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朱冬香报差旅费开支2013804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70</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食品生产科王银祥报会议资料印刷开支2013802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1,575.00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75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李金望报差旅费开支2013802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76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李金望报差旅费开支2013802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1,497.00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77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黄少华报特化科培训开支2013802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13,590.00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81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程冬英报差旅费开支2013802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85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440.00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86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1,584.00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87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88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789.50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103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吴小红报培训费开支2013802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960.00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104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黄少华报疫苗管理会议场地租赁费开支2013802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109</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2,264.00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4月份记账 113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崔爱武等报差旅费开支2013802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949.50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程冬英报差旅费开支2013802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22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程冬英等报差旅费开支2013802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1,996.00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23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朱冬香等报差旅费开支2013802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39</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不良反应中心报培训请老师授课费等开支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4,329.50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41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刘翔华等报差旅费开支2013802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1,590.00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44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符德华报培训开支2013802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1,554.00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54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黄少华报医疗器械管理会议开支2013802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6,109.00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62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黄少华报药品流通科药品监管会议开支2013802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10,244.00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65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吴立华报不良反应中心培训开支2013802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74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1,480.00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80</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胡岳军报差旅费开支2013802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458.00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87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528.00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88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万鸿飞报差旅费开支2013802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89</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万鸿飞报差旅费开支2013802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599.00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96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钟进华报差旅费开支2013804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1,098.00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97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周民等报差旅费开支2013804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1,299.00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99</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欧首魁等报差旅费开支2013802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103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方鹤群报差旅费开支2013802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560.00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104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2,118.00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105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廖桦等报差旅费开支2013802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1,160.00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记5月份账 114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万鸿飞等报差旅费开支2013802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115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符德华报购食品快检剂开支2013802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116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117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118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119</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2,257.00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5月份记账 132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960.00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880.00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李金望报差旅费开支2013802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1,494.00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12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李金望等报差旅费开支2013802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2,477.50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13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蔡庆报差旅费开支2013802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3,538.00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26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34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许文智报差旅费开支2013802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35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欧首魁报差旅费开支2013802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36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欧首魁报差旅费开支2013802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37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蒋金阶报差旅费开支2013802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2,420.00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38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欧首魁报差旅费开支2013802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2,476.00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45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李韬、陈洪岩报差旅费开支2013802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3,768.00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46</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690.00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47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48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胡絮报不良反应中心印刷荣誉证书、奖牌等开支2013802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10,326.00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52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谭伟报差旅费开支2013802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53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谭伟报差旅费开支2013802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54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胡絮报不良反应中心印制食品生产许可现场核查评分记录表开支2013802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57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舒志敏报差旅费开支2013810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61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319.00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99</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479.50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101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王银祥报差旅费开支2013802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107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王银祥报差旅费开支2013802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6月份记账 108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黄少华报不良反应中心培训用餐开支2013802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992.00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胡絮报不良反应中心药品器械评审费开支2013802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19,800.00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28</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29</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吴敏等报差旅费开支2013802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41</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刘兴友等报差旅费开支2013802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814.00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42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蒋金阶等报差旅费开支2013804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2,374.50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45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蒋金阶报差旅费开支2013804</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47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3,300.00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52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780.00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53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780.00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54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胡絮报特化科印刷资料等开支2013802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19,900.00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57</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1,416.00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63</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64</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钟进华报差旅费开支2013815</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72</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75</w:t>
            </w:r>
          </w:p>
        </w:tc>
        <w:tc>
          <w:tcPr>
            <w:tcW w:w="2316" w:type="dxa"/>
            <w:gridSpan w:val="3"/>
            <w:tcBorders>
              <w:bottom w:val="single" w:color="auto" w:sz="4" w:space="0"/>
            </w:tcBorders>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76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王银祥报差旅费开支2013802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79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王银祥报差旅费开支2013802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80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方鹤群报差旅费开支2013802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81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蒋金阶等报差旅费开支2013802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992.00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82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程冬英等报差旅费开支2013802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4,096.00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84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85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86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欧阳毅等报差旅费开支2013802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1,678.00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88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黄少华报不良反应中心培训开支2013802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660.00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94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胡絮报食品安全周宣传展板印刷开支2013802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3,200.00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95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谭伟报差旅费开支2013810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100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谭伟报差旅费开支2013810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101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谭伟报差旅费开支2013810</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102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姚丽雅报差旅费开支2013802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105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姚丽雅报差旅费开支2013802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106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姚丽雅报差旅费开支2013802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107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甘果平报差旅费开支2013802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3,160.00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108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王佩文报食品安全协调科会议费开支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6,517.00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128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王佩文报食品安全协调科先进奖励费开支2013802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87,000.00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128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王佩文报食品安全协调科资料印刷费开支2013802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9,450.00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128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王银祥报差旅费开支2013802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133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240.00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134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1,640.00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136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崔爱武报差旅费开支2013802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499.00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138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拨楼区化妆品安全宣传周活动经费2013802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40,326.60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7月份记账 140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程冬英报差旅费开支2013802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3,116.00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1,216.00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12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13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480.00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14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刘翔华报差旅费开支2013802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19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宋锦锋报差旅费开支2013802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31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邓宇报差旅费开支2013802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33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邓宇报通信费开支2013801</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19,800.00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34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吴小红报禁毒广告视频制作开支2013802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41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吴小红报禁毒广告印制开支2013802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41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47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朱桃报差旅费开支2013899</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50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朱桃报差旅费开支2013899</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51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朱桃等报差旅费开支2013899</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52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廖桦报差旅费开支2013802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1,880.00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62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方舒报核酸检测费用开支2013802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742.80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75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2,895.00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76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廖桦报差旅费开支2013802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1,259.00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84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廖桦报差旅费开支2013802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85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廖桦报差旅费开支2013802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1,579.00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86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万鸿飞等报差旅费开支2013802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20,221.50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92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邓宇报党校学习伙食补助开支2013802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1,920.00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95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李韬等报差旅费开支2013802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4,232.00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97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抽检科付检测中心2021年度食品检测经费2013802</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1,600,000.00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8月份记账 107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方鹤群等报差旅费开支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蒋金阶等报差旅费开支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胡絮报药品流通管理科印刷疫情防控手册等开支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7,370.00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16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胡絮报餐饮科印刷宣传资料等开支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21,000.00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23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29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姚丽雅报差旅费开支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32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蒋金阶等报差旅费开支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34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程冬英报公务接待开支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980.00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41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3,073.00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43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欧阳毅报差旅费开支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3,296.00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44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欧阳毅报差旅费开支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1,996.00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45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520.00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46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440.00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47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姚丽雅报差旅费开支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48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程冬英报差旅费开支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49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欧阳毅报差旅费开支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51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53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胡絮报药品流通科公益活动志愿者保险开支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14,950.00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56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廖桦报差旅费开支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1,740.00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63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抽检科付检测中心药品监督抽检经费开支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992,000.00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9月份记账 75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肖赳、王佩雯等报差旅费开支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4,980.00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2,396.00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3,717.00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肖赳报差旅费开支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王佩雯报差旅费开支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5,024.00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李金望报差旅费开支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11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李金望报差旅费开支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12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王银祥报食品生产监管科培训开支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33,290.00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13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1,760.00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26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1,518.00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27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728.00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28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陈洪岩报差旅费开支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1,314.00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30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王银祥报购文件袋笔记本等开支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522.00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31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胡絮报抽检科印刷资料开支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28,800.00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35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姚丽雅报差旅费开支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1,927.00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38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2,496.00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39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吴敏报差旅费开支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41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宋锦峰报差旅费开支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1,497.00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52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宋锦峰报差旅费开支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560.00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53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3,036.00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63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欧首魁报差旅费开支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74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方鹤群报差旅费开支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79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罗毅报差旅费开支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89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3,264.00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90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张忠报差旅费开支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1,006.00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96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甘果平预借培训费</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10月份记账 97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吴立华报药品流通科会议就餐开支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2000.00</w:t>
            </w:r>
          </w:p>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吴立华报食品协调科会议用餐开支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李格文报差旅费开支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499.00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10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胡岳军报差旅费开支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628.00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11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程冬英、邓新华等报差旅费开支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4,786.00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23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甘果平报差旅费开支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6,706.00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26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甘果平报差旅费开支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26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30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崔爱武报2021年药品抽样30批开支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5,869.80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34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廖桦报差旅费开支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2,120.00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38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李金望报差旅费开支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41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李金望报差旅费开支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260.00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42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李金望报差旅费开支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480.00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44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499.00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47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许文智报差旅费开支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660.00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48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李再新报差旅费开支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49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5,261.00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53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2,432.00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54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蒋金阶报差旅费开支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1,694.00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61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廖小君报差旅费开支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2,509.50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63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蔡林华等报对全市区域食品生产企业开展飞行检查差旅费开支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70,004.00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69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王佩文报差旅费开支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70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肖赳报差旅费开支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71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刘兴友报差旅费开支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408.00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74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王如松报差旅费开支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1,410.00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75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蒋金阶等报差旅费开支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2,054.00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80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4,846.00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90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宋锦锋等报差旅费开支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540.00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92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钟进华等报差旅费开支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1,491.00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100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钟进华等报差旅费开支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102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陈洪岩等报差旅费开支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2,154.00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110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陈洪岩等报差旅费开支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3,588.00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11月份记账 111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王佩文报差旅费开支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319.00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欧阳毅等报差旅费开支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5,228.00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李金望报差旅费开支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803.20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万鸿飞报差旅费开支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万鸿飞报差旅费开支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530.00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26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5,121.00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50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51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1,427.50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52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宋锦锋等报差旅费开支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56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邓宇报差旅费开支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453.00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65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药品流通科付付禁毒联点单位临湘白羊田镇禁毒经费开支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69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吴小红等报差旅费开支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1,464.00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71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陈洪岩等报差旅费开支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2,038.00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97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李韬等报差旅费开支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98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刘兴友等报差旅费开支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9,000.00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132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胡絮报抽检科购办公用品开支抽检秘书处</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39,000.00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133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肖赳报差旅费开支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134</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刘翔华肖赳等报差旅费开支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13,210.00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135</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胡絮报市场宣传费用开支湖南湘食安鑫传媒公司</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98,000.00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146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崔家武报食品快检费开支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2,580.00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147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许文智报差旅费开支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150</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方兵报差旅费开支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638.00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151</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胡絮报抽检科食用农产品和化妆品抽检费开支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464,999.60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157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胡絮报不良反应中心印制会议资料及法规资料汇编开支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9,798.00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158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胡絮报特化科印制化妆品宣传海报开支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158</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程冬英等报差旅费开支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4,898.00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166</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胡絮报抽检科抽样及送样购办公用品开支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4,617.55</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173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胡絮报抽检科抽样及送样印制抽样专用袋开支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9,250.00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173</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欧首魁报付酒类打假费用开支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38,600.00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179</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欧首魁等报差旅费开支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1,486.00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187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蒋金阶等报差旅费开支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500.00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197</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殷勤报食品购样耗材开支</w:t>
            </w:r>
          </w:p>
        </w:tc>
        <w:tc>
          <w:tcPr>
            <w:tcW w:w="2682"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4,052.00</w:t>
            </w:r>
          </w:p>
        </w:tc>
        <w:tc>
          <w:tcPr>
            <w:tcW w:w="2325"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12月份记账 202</w:t>
            </w: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kern w:val="0"/>
                <w:sz w:val="24"/>
                <w:szCs w:val="24"/>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大米、砖茶抽检费</w:t>
            </w:r>
          </w:p>
        </w:tc>
        <w:tc>
          <w:tcPr>
            <w:tcW w:w="2682" w:type="dxa"/>
            <w:gridSpan w:val="4"/>
            <w:tcBorders>
              <w:bottom w:val="single" w:color="auto" w:sz="4" w:space="0"/>
            </w:tcBorders>
            <w:vAlign w:val="center"/>
          </w:tcPr>
          <w:p>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405000.00</w:t>
            </w:r>
          </w:p>
        </w:tc>
        <w:tc>
          <w:tcPr>
            <w:tcW w:w="2325" w:type="dxa"/>
            <w:gridSpan w:val="5"/>
            <w:tcBorders>
              <w:bottom w:val="single" w:color="auto" w:sz="4" w:space="0"/>
            </w:tcBorders>
            <w:vAlign w:val="center"/>
          </w:tcPr>
          <w:p>
            <w:pPr>
              <w:jc w:val="center"/>
              <w:rPr>
                <w:rFonts w:hint="eastAsia" w:ascii="仿宋_GB2312" w:hAnsi="仿宋_GB2312" w:eastAsia="仿宋_GB2312" w:cs="仿宋_GB2312"/>
                <w:b w:val="0"/>
                <w:bCs w:val="0"/>
                <w:sz w:val="24"/>
                <w:szCs w:val="24"/>
              </w:rPr>
            </w:pP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指标调剂给二级机构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4" w:type="dxa"/>
            <w:gridSpan w:val="3"/>
            <w:tcBorders>
              <w:bottom w:val="single" w:color="auto" w:sz="4" w:space="0"/>
            </w:tcBorders>
            <w:vAlign w:val="center"/>
          </w:tcPr>
          <w:p>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食品安全监管满意杜调查经费</w:t>
            </w:r>
          </w:p>
        </w:tc>
        <w:tc>
          <w:tcPr>
            <w:tcW w:w="2682" w:type="dxa"/>
            <w:gridSpan w:val="4"/>
            <w:tcBorders>
              <w:bottom w:val="single" w:color="auto" w:sz="4" w:space="0"/>
            </w:tcBorders>
            <w:vAlign w:val="center"/>
          </w:tcPr>
          <w:p>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65000</w:t>
            </w:r>
          </w:p>
        </w:tc>
        <w:tc>
          <w:tcPr>
            <w:tcW w:w="2325" w:type="dxa"/>
            <w:gridSpan w:val="5"/>
            <w:tcBorders>
              <w:bottom w:val="single" w:color="auto" w:sz="4" w:space="0"/>
            </w:tcBorders>
            <w:vAlign w:val="center"/>
          </w:tcPr>
          <w:p>
            <w:pPr>
              <w:jc w:val="center"/>
              <w:rPr>
                <w:rFonts w:hint="eastAsia" w:ascii="仿宋_GB2312" w:hAnsi="仿宋_GB2312" w:eastAsia="仿宋_GB2312" w:cs="仿宋_GB2312"/>
                <w:b w:val="0"/>
                <w:bCs w:val="0"/>
                <w:sz w:val="24"/>
                <w:szCs w:val="24"/>
              </w:rPr>
            </w:pPr>
          </w:p>
        </w:tc>
        <w:tc>
          <w:tcPr>
            <w:tcW w:w="2311" w:type="dxa"/>
            <w:gridSpan w:val="2"/>
            <w:tcBorders>
              <w:bottom w:val="single" w:color="auto" w:sz="4" w:space="0"/>
            </w:tcBorders>
            <w:vAlign w:val="center"/>
          </w:tcPr>
          <w:p>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指标调剂给统计局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216" w:type="dxa"/>
            <w:gridSpan w:val="9"/>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893"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216" w:type="dxa"/>
            <w:gridSpan w:val="9"/>
            <w:tcBorders>
              <w:bottom w:val="single" w:color="auto" w:sz="4" w:space="0"/>
            </w:tcBorders>
            <w:vAlign w:val="center"/>
          </w:tcPr>
          <w:p>
            <w:pPr>
              <w:ind w:firstLine="480" w:firstLineChars="200"/>
              <w:jc w:val="left"/>
              <w:rPr>
                <w:rFonts w:eastAsia="仿宋_GB2312"/>
                <w:b/>
                <w:sz w:val="24"/>
              </w:rPr>
            </w:pPr>
            <w:r>
              <w:rPr>
                <w:rFonts w:hint="eastAsia" w:ascii="仿宋_GB2312" w:hAnsi="仿宋_GB2312" w:eastAsia="仿宋_GB2312" w:cs="仿宋_GB2312"/>
                <w:i w:val="0"/>
                <w:color w:val="555555"/>
                <w:sz w:val="24"/>
                <w:szCs w:val="24"/>
                <w:lang w:eastAsia="zh-CN"/>
              </w:rPr>
              <w:t>统筹做好我市疫情防控常态化条件下的食品药品安全监督抽检和风险监测工作，及时发现和处置食品安全隐患，全面掌握我市食品安全总体状况，守护好食品安全防线，保障公众身体健康和生命安全。</w:t>
            </w:r>
          </w:p>
        </w:tc>
        <w:tc>
          <w:tcPr>
            <w:tcW w:w="2893" w:type="dxa"/>
            <w:gridSpan w:val="4"/>
            <w:tcBorders>
              <w:bottom w:val="single" w:color="auto" w:sz="4" w:space="0"/>
            </w:tcBorders>
            <w:vAlign w:val="center"/>
          </w:tcPr>
          <w:p>
            <w:pPr>
              <w:spacing w:line="400" w:lineRule="exact"/>
              <w:ind w:firstLine="480" w:firstLineChars="200"/>
              <w:jc w:val="left"/>
              <w:rPr>
                <w:rFonts w:hint="eastAsia" w:eastAsia="仿宋_GB2312"/>
                <w:b/>
                <w:sz w:val="24"/>
                <w:lang w:eastAsia="zh-CN"/>
              </w:rPr>
            </w:pPr>
            <w:r>
              <w:rPr>
                <w:rFonts w:hint="eastAsia" w:ascii="仿宋_GB2312" w:hAnsi="仿宋_GB2312" w:eastAsia="仿宋_GB2312" w:cs="仿宋_GB2312"/>
                <w:i w:val="0"/>
                <w:color w:val="555555"/>
                <w:sz w:val="24"/>
                <w:szCs w:val="24"/>
              </w:rPr>
              <w:t>全市</w:t>
            </w:r>
            <w:r>
              <w:rPr>
                <w:rFonts w:hint="eastAsia" w:ascii="仿宋_GB2312" w:hAnsi="仿宋_GB2312" w:eastAsia="仿宋_GB2312" w:cs="仿宋_GB2312"/>
                <w:i w:val="0"/>
                <w:color w:val="555555"/>
                <w:sz w:val="24"/>
                <w:szCs w:val="24"/>
                <w:lang w:eastAsia="zh-CN"/>
              </w:rPr>
              <w:t>食品安全检测量达到千人</w:t>
            </w:r>
            <w:r>
              <w:rPr>
                <w:rFonts w:hint="eastAsia" w:ascii="仿宋_GB2312" w:hAnsi="仿宋_GB2312" w:eastAsia="仿宋_GB2312" w:cs="仿宋_GB2312"/>
                <w:i w:val="0"/>
                <w:color w:val="555555"/>
                <w:sz w:val="24"/>
                <w:szCs w:val="24"/>
                <w:lang w:val="en-US" w:eastAsia="zh-CN"/>
              </w:rPr>
              <w:t>4批次以上，</w:t>
            </w:r>
            <w:r>
              <w:rPr>
                <w:rFonts w:hint="eastAsia" w:ascii="仿宋_GB2312" w:hAnsi="仿宋_GB2312" w:eastAsia="仿宋_GB2312" w:cs="仿宋_GB2312"/>
                <w:i w:val="0"/>
                <w:color w:val="555555"/>
                <w:sz w:val="24"/>
                <w:szCs w:val="24"/>
              </w:rPr>
              <w:t>没有发生重大食品药品安全事故，广大人民群众食品药品安全的获得感和满意度明显提升</w:t>
            </w:r>
            <w:r>
              <w:rPr>
                <w:rFonts w:hint="eastAsia" w:ascii="仿宋_GB2312" w:hAnsi="仿宋_GB2312" w:eastAsia="仿宋_GB2312" w:cs="仿宋_GB2312"/>
                <w:i w:val="0"/>
                <w:color w:val="55555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791" w:type="dxa"/>
            <w:gridSpan w:val="2"/>
            <w:vAlign w:val="center"/>
          </w:tcPr>
          <w:p>
            <w:pPr>
              <w:jc w:val="center"/>
              <w:rPr>
                <w:rFonts w:eastAsia="仿宋_GB2312"/>
                <w:sz w:val="24"/>
              </w:rPr>
            </w:pPr>
            <w:r>
              <w:rPr>
                <w:rFonts w:hint="eastAsia" w:eastAsia="仿宋_GB2312"/>
                <w:sz w:val="24"/>
              </w:rPr>
              <w:t>一级指标</w:t>
            </w:r>
          </w:p>
        </w:tc>
        <w:tc>
          <w:tcPr>
            <w:tcW w:w="153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72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17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893" w:type="dxa"/>
            <w:gridSpan w:val="4"/>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473"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项目产出指标</w:t>
            </w:r>
          </w:p>
        </w:tc>
        <w:tc>
          <w:tcPr>
            <w:tcW w:w="1530"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72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食品抽检批次</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1400批次</w:t>
            </w: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1500批次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食用农产品</w:t>
            </w:r>
          </w:p>
        </w:tc>
        <w:tc>
          <w:tcPr>
            <w:tcW w:w="1170"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600批次</w:t>
            </w:r>
          </w:p>
          <w:p>
            <w:pPr>
              <w:jc w:val="center"/>
              <w:rPr>
                <w:rFonts w:hint="default" w:eastAsia="仿宋_GB2312"/>
                <w:sz w:val="24"/>
                <w:lang w:val="en-US" w:eastAsia="zh-CN"/>
              </w:rPr>
            </w:pP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600批次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药品和化妆品</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430批次</w:t>
            </w: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471批次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72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抽检结果公示率及处置率率</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ascii="仿宋_GB2312" w:hAnsi="仿宋_GB2312" w:eastAsia="仿宋_GB2312" w:cs="仿宋_GB2312"/>
                <w:i w:val="0"/>
                <w:caps w:val="0"/>
                <w:color w:val="333333"/>
                <w:spacing w:val="0"/>
                <w:sz w:val="24"/>
                <w:szCs w:val="24"/>
                <w:highlight w:val="none"/>
                <w:lang w:val="en-US" w:eastAsia="zh-CN"/>
              </w:rPr>
              <w:t>不发生</w:t>
            </w:r>
            <w:r>
              <w:rPr>
                <w:rFonts w:hint="eastAsia" w:ascii="仿宋_GB2312" w:hAnsi="仿宋_GB2312" w:eastAsia="仿宋_GB2312" w:cs="仿宋_GB2312"/>
                <w:i w:val="0"/>
                <w:caps w:val="0"/>
                <w:color w:val="333333"/>
                <w:spacing w:val="0"/>
                <w:sz w:val="24"/>
                <w:szCs w:val="24"/>
                <w:highlight w:val="none"/>
              </w:rPr>
              <w:t>影响恶劣的重大执法违法违规事件</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=0次</w:t>
            </w: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食品生产环节发生系统性、区域性安全事故次数</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=0次</w:t>
            </w:r>
          </w:p>
        </w:tc>
        <w:tc>
          <w:tcPr>
            <w:tcW w:w="2893" w:type="dxa"/>
            <w:gridSpan w:val="4"/>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restart"/>
            <w:vAlign w:val="center"/>
          </w:tcPr>
          <w:p>
            <w:pPr>
              <w:spacing w:line="360" w:lineRule="exact"/>
              <w:jc w:val="center"/>
              <w:rPr>
                <w:rFonts w:eastAsia="仿宋_GB2312"/>
                <w:sz w:val="24"/>
              </w:rPr>
            </w:pPr>
            <w:r>
              <w:rPr>
                <w:rFonts w:hint="eastAsia" w:eastAsia="仿宋_GB2312"/>
                <w:sz w:val="24"/>
              </w:rPr>
              <w:t>时效指标</w:t>
            </w:r>
          </w:p>
        </w:tc>
        <w:tc>
          <w:tcPr>
            <w:tcW w:w="1725" w:type="dxa"/>
            <w:gridSpan w:val="4"/>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eastAsia="zh-CN"/>
              </w:rPr>
              <w:t>抽样于</w:t>
            </w:r>
            <w:r>
              <w:rPr>
                <w:rFonts w:hint="eastAsia" w:eastAsia="仿宋_GB2312"/>
                <w:sz w:val="24"/>
                <w:lang w:val="en-US" w:eastAsia="zh-CN"/>
              </w:rPr>
              <w:t>11月10日前</w:t>
            </w: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与时间匹配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eastAsia="zh-CN"/>
              </w:rPr>
              <w:t>检验与</w:t>
            </w:r>
            <w:r>
              <w:rPr>
                <w:rFonts w:hint="eastAsia" w:eastAsia="仿宋_GB2312"/>
                <w:sz w:val="24"/>
                <w:lang w:val="en-US" w:eastAsia="zh-CN"/>
              </w:rPr>
              <w:t>11月30日前</w:t>
            </w: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与时间匹配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restart"/>
            <w:vAlign w:val="center"/>
          </w:tcPr>
          <w:p>
            <w:pPr>
              <w:spacing w:line="360" w:lineRule="exact"/>
              <w:jc w:val="center"/>
              <w:rPr>
                <w:rFonts w:eastAsia="仿宋_GB2312"/>
                <w:sz w:val="24"/>
              </w:rPr>
            </w:pPr>
            <w:r>
              <w:rPr>
                <w:rFonts w:hint="eastAsia" w:eastAsia="仿宋_GB2312"/>
                <w:sz w:val="24"/>
              </w:rPr>
              <w:t>成本指标</w:t>
            </w: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项目效益指标</w:t>
            </w:r>
          </w:p>
        </w:tc>
        <w:tc>
          <w:tcPr>
            <w:tcW w:w="1530" w:type="dxa"/>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72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保障特殊食品安全、推动特殊食品消费环境持续向好</w:t>
            </w: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持续向好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72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食品安全满意度调查</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ascii="东文宋体" w:hAnsi="东文宋体" w:eastAsia="东文宋体" w:cs="东文宋体"/>
                <w:sz w:val="24"/>
                <w:lang w:val="en-US" w:eastAsia="zh-CN"/>
              </w:rPr>
              <w:t>≥8</w:t>
            </w:r>
            <w:r>
              <w:rPr>
                <w:rFonts w:hint="eastAsia" w:eastAsia="仿宋_GB2312"/>
                <w:sz w:val="24"/>
                <w:lang w:val="en-US" w:eastAsia="zh-CN"/>
              </w:rPr>
              <w:t>5%</w:t>
            </w: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530"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4"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318" w:type="dxa"/>
            <w:gridSpan w:val="11"/>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4"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318" w:type="dxa"/>
            <w:gridSpan w:val="11"/>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2"/>
            <w:vAlign w:val="center"/>
          </w:tcPr>
          <w:p>
            <w:pPr>
              <w:jc w:val="center"/>
              <w:rPr>
                <w:rFonts w:eastAsia="仿宋_GB2312"/>
                <w:sz w:val="24"/>
              </w:rPr>
            </w:pPr>
            <w:r>
              <w:rPr>
                <w:rFonts w:hint="eastAsia" w:eastAsia="仿宋_GB2312"/>
                <w:sz w:val="24"/>
              </w:rPr>
              <w:t>职称/职务</w:t>
            </w:r>
          </w:p>
        </w:tc>
        <w:tc>
          <w:tcPr>
            <w:tcW w:w="2093" w:type="dxa"/>
            <w:gridSpan w:val="5"/>
            <w:vAlign w:val="center"/>
          </w:tcPr>
          <w:p>
            <w:pPr>
              <w:jc w:val="center"/>
              <w:rPr>
                <w:rFonts w:eastAsia="仿宋_GB2312"/>
                <w:sz w:val="24"/>
              </w:rPr>
            </w:pPr>
            <w:r>
              <w:rPr>
                <w:rFonts w:hint="eastAsia" w:eastAsia="仿宋_GB2312"/>
                <w:sz w:val="24"/>
              </w:rPr>
              <w:t>单  位</w:t>
            </w:r>
          </w:p>
        </w:tc>
        <w:tc>
          <w:tcPr>
            <w:tcW w:w="2893" w:type="dxa"/>
            <w:gridSpan w:val="4"/>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颜石湘</w:t>
            </w:r>
          </w:p>
        </w:tc>
        <w:tc>
          <w:tcPr>
            <w:tcW w:w="2332" w:type="dxa"/>
            <w:gridSpan w:val="2"/>
            <w:vAlign w:val="center"/>
          </w:tcPr>
          <w:p>
            <w:pPr>
              <w:rPr>
                <w:rFonts w:hint="eastAsia" w:eastAsia="仿宋_GB2312"/>
                <w:sz w:val="24"/>
                <w:lang w:eastAsia="zh-CN"/>
              </w:rPr>
            </w:pPr>
            <w:r>
              <w:rPr>
                <w:rFonts w:hint="eastAsia" w:eastAsia="仿宋_GB2312"/>
                <w:sz w:val="24"/>
                <w:lang w:eastAsia="zh-CN"/>
              </w:rPr>
              <w:t>副局长</w:t>
            </w:r>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钟辉雄</w:t>
            </w:r>
          </w:p>
        </w:tc>
        <w:tc>
          <w:tcPr>
            <w:tcW w:w="2332" w:type="dxa"/>
            <w:gridSpan w:val="2"/>
            <w:vAlign w:val="center"/>
          </w:tcPr>
          <w:p>
            <w:pPr>
              <w:rPr>
                <w:rFonts w:hint="eastAsia" w:eastAsia="仿宋_GB2312"/>
                <w:sz w:val="24"/>
                <w:lang w:eastAsia="zh-CN"/>
              </w:rPr>
            </w:pPr>
            <w:r>
              <w:rPr>
                <w:rFonts w:hint="eastAsia" w:eastAsia="仿宋_GB2312"/>
                <w:sz w:val="24"/>
                <w:lang w:eastAsia="zh-CN"/>
              </w:rPr>
              <w:t>科长</w:t>
            </w:r>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刘新友</w:t>
            </w:r>
          </w:p>
        </w:tc>
        <w:tc>
          <w:tcPr>
            <w:tcW w:w="2332" w:type="dxa"/>
            <w:gridSpan w:val="2"/>
            <w:vAlign w:val="center"/>
          </w:tcPr>
          <w:p>
            <w:pPr>
              <w:rPr>
                <w:rFonts w:hint="eastAsia" w:eastAsia="仿宋_GB2312"/>
                <w:sz w:val="24"/>
                <w:lang w:eastAsia="zh-CN"/>
              </w:rPr>
            </w:pPr>
            <w:r>
              <w:rPr>
                <w:rFonts w:hint="eastAsia" w:eastAsia="仿宋_GB2312"/>
                <w:sz w:val="24"/>
                <w:lang w:eastAsia="zh-CN"/>
              </w:rPr>
              <w:t>科长</w:t>
            </w:r>
            <w:bookmarkStart w:id="0" w:name="_GoBack"/>
            <w:bookmarkEnd w:id="0"/>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欧首魁</w:t>
            </w:r>
          </w:p>
        </w:tc>
        <w:tc>
          <w:tcPr>
            <w:tcW w:w="2332" w:type="dxa"/>
            <w:gridSpan w:val="2"/>
            <w:vAlign w:val="center"/>
          </w:tcPr>
          <w:p>
            <w:pPr>
              <w:rPr>
                <w:rFonts w:hint="eastAsia" w:eastAsia="仿宋_GB2312"/>
                <w:sz w:val="24"/>
                <w:lang w:eastAsia="zh-CN"/>
              </w:rPr>
            </w:pPr>
            <w:r>
              <w:rPr>
                <w:rFonts w:hint="eastAsia" w:eastAsia="仿宋_GB2312"/>
                <w:sz w:val="24"/>
                <w:lang w:eastAsia="zh-CN"/>
              </w:rPr>
              <w:t>科长</w:t>
            </w:r>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val="en-US" w:eastAsia="zh-CN"/>
              </w:rPr>
            </w:pPr>
            <w:r>
              <w:rPr>
                <w:rFonts w:hint="eastAsia" w:eastAsia="仿宋_GB2312"/>
                <w:sz w:val="24"/>
                <w:lang w:val="en-US" w:eastAsia="zh-CN"/>
              </w:rPr>
              <w:t>刘翔华</w:t>
            </w:r>
          </w:p>
        </w:tc>
        <w:tc>
          <w:tcPr>
            <w:tcW w:w="2332" w:type="dxa"/>
            <w:gridSpan w:val="2"/>
            <w:vAlign w:val="center"/>
          </w:tcPr>
          <w:p>
            <w:pPr>
              <w:rPr>
                <w:rFonts w:hint="eastAsia" w:eastAsia="仿宋_GB2312"/>
                <w:sz w:val="24"/>
                <w:lang w:eastAsia="zh-CN"/>
              </w:rPr>
            </w:pPr>
            <w:r>
              <w:rPr>
                <w:rFonts w:hint="eastAsia" w:eastAsia="仿宋_GB2312"/>
                <w:sz w:val="24"/>
                <w:lang w:eastAsia="zh-CN"/>
              </w:rPr>
              <w:t>科长</w:t>
            </w:r>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徐瑶</w:t>
            </w:r>
          </w:p>
        </w:tc>
        <w:tc>
          <w:tcPr>
            <w:tcW w:w="2332" w:type="dxa"/>
            <w:gridSpan w:val="2"/>
            <w:vAlign w:val="center"/>
          </w:tcPr>
          <w:p>
            <w:pPr>
              <w:rPr>
                <w:rFonts w:hint="eastAsia" w:eastAsia="仿宋_GB2312"/>
                <w:sz w:val="24"/>
                <w:lang w:eastAsia="zh-CN"/>
              </w:rPr>
            </w:pPr>
            <w:r>
              <w:rPr>
                <w:rFonts w:hint="eastAsia" w:eastAsia="仿宋_GB2312"/>
                <w:sz w:val="24"/>
                <w:lang w:eastAsia="zh-CN"/>
              </w:rPr>
              <w:t>副科长</w:t>
            </w:r>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徐瑶</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0730-8224907</w:t>
      </w:r>
    </w:p>
    <w:p>
      <w:pPr>
        <w:jc w:val="center"/>
        <w:rPr>
          <w:rFonts w:hint="eastAsia" w:eastAsia="仿宋_GB2312"/>
          <w:b/>
          <w:bCs/>
          <w:sz w:val="36"/>
          <w:szCs w:val="36"/>
        </w:rPr>
      </w:pPr>
      <w:r>
        <w:rPr>
          <w:rFonts w:hint="eastAsia" w:eastAsia="仿宋_GB2312"/>
          <w:b/>
          <w:bCs/>
          <w:sz w:val="36"/>
          <w:szCs w:val="36"/>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36"/>
                <w:szCs w:val="36"/>
              </w:rPr>
            </w:pPr>
            <w:r>
              <w:rPr>
                <w:rFonts w:hint="eastAsia" w:eastAsia="仿宋_GB2312"/>
                <w:b/>
                <w:bCs/>
                <w:sz w:val="36"/>
                <w:szCs w:val="36"/>
              </w:rPr>
              <w:t>五、评价报告综述（文字部分）</w:t>
            </w:r>
          </w:p>
          <w:p>
            <w:pPr>
              <w:spacing w:line="440" w:lineRule="exact"/>
              <w:ind w:firstLine="720" w:firstLineChars="200"/>
              <w:rPr>
                <w:rFonts w:eastAsia="仿宋_GB2312"/>
                <w:sz w:val="36"/>
                <w:szCs w:val="36"/>
              </w:rPr>
            </w:pPr>
          </w:p>
          <w:p>
            <w:pPr>
              <w:numPr>
                <w:ilvl w:val="0"/>
                <w:numId w:val="2"/>
              </w:numPr>
              <w:spacing w:line="560" w:lineRule="exact"/>
              <w:ind w:firstLine="642" w:firstLineChars="200"/>
              <w:rPr>
                <w:rFonts w:hint="eastAsia" w:eastAsia="仿宋_GB2312"/>
                <w:b/>
                <w:bCs/>
                <w:sz w:val="30"/>
                <w:szCs w:val="30"/>
              </w:rPr>
            </w:pPr>
            <w:r>
              <w:rPr>
                <w:rFonts w:hint="eastAsia" w:eastAsia="仿宋_GB2312"/>
                <w:b/>
                <w:bCs/>
                <w:sz w:val="32"/>
                <w:szCs w:val="32"/>
              </w:rPr>
              <w:t>项目基本概况</w:t>
            </w:r>
          </w:p>
          <w:p>
            <w:pPr>
              <w:pStyle w:val="6"/>
              <w:numPr>
                <w:ilvl w:val="0"/>
                <w:numId w:val="0"/>
              </w:numPr>
              <w:shd w:val="clear" w:color="auto" w:fill="FFFFFF"/>
              <w:spacing w:before="0" w:beforeAutospacing="0" w:after="0" w:afterAutospacing="0"/>
              <w:ind w:right="0" w:rightChars="0" w:firstLine="642" w:firstLineChars="200"/>
              <w:rPr>
                <w:rFonts w:hint="eastAsia" w:ascii="仿宋_GB2312" w:eastAsia="仿宋_GB2312"/>
                <w:b/>
                <w:bCs/>
                <w:sz w:val="32"/>
                <w:szCs w:val="32"/>
                <w:lang w:eastAsia="zh-CN"/>
              </w:rPr>
            </w:pPr>
            <w:r>
              <w:rPr>
                <w:rFonts w:hint="eastAsia" w:ascii="仿宋_GB2312" w:eastAsia="仿宋_GB2312"/>
                <w:b/>
                <w:bCs/>
                <w:sz w:val="32"/>
                <w:szCs w:val="32"/>
                <w:lang w:val="en-US" w:eastAsia="zh-CN"/>
              </w:rPr>
              <w:t>1、</w:t>
            </w:r>
            <w:r>
              <w:rPr>
                <w:rFonts w:hint="eastAsia" w:ascii="仿宋_GB2312" w:eastAsia="仿宋_GB2312"/>
                <w:b/>
                <w:bCs/>
                <w:sz w:val="32"/>
                <w:szCs w:val="32"/>
              </w:rPr>
              <w:t>项目</w:t>
            </w:r>
            <w:r>
              <w:rPr>
                <w:rFonts w:hint="eastAsia" w:ascii="仿宋_GB2312" w:eastAsia="仿宋_GB2312"/>
                <w:b/>
                <w:bCs/>
                <w:sz w:val="32"/>
                <w:szCs w:val="32"/>
                <w:lang w:eastAsia="zh-CN"/>
              </w:rPr>
              <w:t>单位基本情况</w:t>
            </w:r>
          </w:p>
          <w:p>
            <w:pPr>
              <w:pStyle w:val="6"/>
              <w:numPr>
                <w:ilvl w:val="0"/>
                <w:numId w:val="0"/>
              </w:numPr>
              <w:shd w:val="clear" w:color="auto" w:fill="FFFFFF"/>
              <w:spacing w:before="0" w:beforeAutospacing="0" w:after="0" w:afterAutospacing="0"/>
              <w:ind w:right="0" w:righ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根据编委核定，我局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28"/>
                <w:szCs w:val="28"/>
              </w:rPr>
              <w:tab/>
            </w:r>
            <w:r>
              <w:rPr>
                <w:rFonts w:hint="eastAsia" w:ascii="仿宋_GB2312" w:eastAsia="仿宋_GB2312"/>
                <w:sz w:val="28"/>
                <w:szCs w:val="28"/>
              </w:rPr>
              <w:t>综合规划和科技信息化科</w:t>
            </w:r>
            <w:r>
              <w:rPr>
                <w:rFonts w:hint="eastAsia" w:ascii="仿宋_GB2312" w:hAnsi="仿宋_GB2312" w:eastAsia="仿宋_GB2312" w:cs="仿宋_GB2312"/>
                <w:sz w:val="28"/>
                <w:szCs w:val="28"/>
              </w:rPr>
              <w:t>、</w:t>
            </w:r>
            <w:r>
              <w:rPr>
                <w:rFonts w:hint="eastAsia" w:ascii="仿宋_GB2312" w:eastAsia="仿宋_GB2312"/>
                <w:sz w:val="28"/>
                <w:szCs w:val="28"/>
              </w:rPr>
              <w:t>政策法规科</w:t>
            </w:r>
            <w:r>
              <w:rPr>
                <w:rFonts w:hint="eastAsia" w:ascii="仿宋_GB2312" w:eastAsia="仿宋_GB2312"/>
                <w:sz w:val="28"/>
                <w:szCs w:val="28"/>
                <w:lang w:eastAsia="zh-CN"/>
              </w:rPr>
              <w:t>、</w:t>
            </w:r>
            <w:r>
              <w:rPr>
                <w:rFonts w:hint="eastAsia" w:ascii="仿宋_GB2312" w:eastAsia="仿宋_GB2312"/>
                <w:sz w:val="28"/>
                <w:szCs w:val="28"/>
              </w:rPr>
              <w:t>信用监督管理科</w:t>
            </w:r>
            <w:r>
              <w:rPr>
                <w:rFonts w:hint="eastAsia" w:ascii="仿宋_GB2312" w:eastAsia="仿宋_GB2312"/>
                <w:sz w:val="28"/>
                <w:szCs w:val="28"/>
                <w:lang w:eastAsia="zh-CN"/>
              </w:rPr>
              <w:t>、</w:t>
            </w:r>
            <w:r>
              <w:rPr>
                <w:rFonts w:hint="eastAsia" w:ascii="仿宋_GB2312" w:eastAsia="仿宋_GB2312"/>
                <w:sz w:val="28"/>
                <w:szCs w:val="28"/>
              </w:rPr>
              <w:t>网络交易监督管理科</w:t>
            </w:r>
            <w:r>
              <w:rPr>
                <w:rFonts w:hint="eastAsia" w:ascii="仿宋_GB2312" w:eastAsia="仿宋_GB2312"/>
                <w:sz w:val="28"/>
                <w:szCs w:val="28"/>
                <w:lang w:eastAsia="zh-CN"/>
              </w:rPr>
              <w:t>、</w:t>
            </w:r>
            <w:r>
              <w:rPr>
                <w:rFonts w:hint="eastAsia" w:ascii="仿宋_GB2312" w:eastAsia="仿宋_GB2312"/>
                <w:sz w:val="28"/>
                <w:szCs w:val="28"/>
              </w:rPr>
              <w:t>广告监督管理科</w:t>
            </w:r>
            <w:r>
              <w:rPr>
                <w:rFonts w:hint="eastAsia" w:ascii="仿宋_GB2312" w:hAnsi="仿宋_GB2312" w:eastAsia="仿宋_GB2312" w:cs="仿宋_GB2312"/>
                <w:sz w:val="28"/>
                <w:szCs w:val="28"/>
              </w:rPr>
              <w:t>、</w:t>
            </w:r>
            <w:r>
              <w:rPr>
                <w:rFonts w:hint="eastAsia" w:ascii="仿宋_GB2312" w:eastAsia="仿宋_GB2312"/>
                <w:sz w:val="28"/>
                <w:szCs w:val="28"/>
              </w:rPr>
              <w:t>登记注册科</w:t>
            </w:r>
            <w:r>
              <w:rPr>
                <w:rFonts w:hint="eastAsia" w:ascii="仿宋_GB2312" w:hAnsi="仿宋_GB2312" w:eastAsia="仿宋_GB2312" w:cs="仿宋_GB2312"/>
                <w:sz w:val="28"/>
                <w:szCs w:val="28"/>
              </w:rPr>
              <w:t>、</w:t>
            </w:r>
            <w:r>
              <w:rPr>
                <w:rFonts w:hint="eastAsia" w:ascii="仿宋_GB2312" w:eastAsia="仿宋_GB2312"/>
                <w:sz w:val="28"/>
                <w:szCs w:val="28"/>
              </w:rPr>
              <w:t>市场规范管理科</w:t>
            </w:r>
            <w:r>
              <w:rPr>
                <w:rFonts w:hint="eastAsia" w:ascii="仿宋_GB2312" w:hAnsi="仿宋_GB2312" w:eastAsia="仿宋_GB2312" w:cs="仿宋_GB2312"/>
                <w:sz w:val="28"/>
                <w:szCs w:val="28"/>
              </w:rPr>
              <w:t>、</w:t>
            </w:r>
            <w:r>
              <w:rPr>
                <w:rFonts w:hint="eastAsia" w:ascii="仿宋_GB2312" w:eastAsia="仿宋_GB2312"/>
                <w:sz w:val="28"/>
                <w:szCs w:val="28"/>
              </w:rPr>
              <w:t>反不正当竞争和反垄断科</w:t>
            </w:r>
            <w:r>
              <w:rPr>
                <w:rFonts w:hint="eastAsia" w:ascii="仿宋_GB2312" w:hAnsi="仿宋_GB2312" w:eastAsia="仿宋_GB2312" w:cs="仿宋_GB2312"/>
                <w:sz w:val="28"/>
                <w:szCs w:val="28"/>
              </w:rPr>
              <w:t>、</w:t>
            </w:r>
            <w:r>
              <w:rPr>
                <w:rFonts w:hint="eastAsia" w:ascii="仿宋_GB2312" w:eastAsia="仿宋_GB2312"/>
                <w:sz w:val="28"/>
                <w:szCs w:val="28"/>
              </w:rPr>
              <w:t>价格监督管理科</w:t>
            </w:r>
            <w:r>
              <w:rPr>
                <w:rFonts w:hint="eastAsia" w:ascii="仿宋_GB2312" w:hAnsi="仿宋_GB2312" w:eastAsia="仿宋_GB2312" w:cs="仿宋_GB2312"/>
                <w:sz w:val="28"/>
                <w:szCs w:val="28"/>
              </w:rPr>
              <w:t>、</w:t>
            </w:r>
            <w:r>
              <w:rPr>
                <w:rFonts w:hint="eastAsia" w:ascii="仿宋_GB2312" w:eastAsia="仿宋_GB2312"/>
                <w:sz w:val="28"/>
                <w:szCs w:val="28"/>
              </w:rPr>
              <w:t>投诉举报科</w:t>
            </w:r>
            <w:r>
              <w:rPr>
                <w:rFonts w:hint="eastAsia" w:ascii="仿宋_GB2312" w:hAnsi="仿宋_GB2312" w:eastAsia="仿宋_GB2312" w:cs="仿宋_GB2312"/>
                <w:sz w:val="28"/>
                <w:szCs w:val="28"/>
              </w:rPr>
              <w:t>、</w:t>
            </w:r>
            <w:r>
              <w:rPr>
                <w:rFonts w:hint="eastAsia" w:ascii="仿宋_GB2312" w:eastAsia="仿宋_GB2312"/>
                <w:sz w:val="28"/>
                <w:szCs w:val="28"/>
              </w:rPr>
              <w:t>质量发展科</w:t>
            </w:r>
            <w:r>
              <w:rPr>
                <w:rFonts w:hint="eastAsia" w:ascii="仿宋_GB2312" w:eastAsia="仿宋_GB2312"/>
                <w:sz w:val="28"/>
                <w:szCs w:val="28"/>
                <w:lang w:eastAsia="zh-CN"/>
              </w:rPr>
              <w:t>、</w:t>
            </w:r>
            <w:r>
              <w:rPr>
                <w:rFonts w:hint="eastAsia" w:ascii="仿宋_GB2312" w:eastAsia="仿宋_GB2312"/>
                <w:sz w:val="28"/>
                <w:szCs w:val="28"/>
              </w:rPr>
              <w:t>产品质量安全监督管理科</w:t>
            </w:r>
            <w:r>
              <w:rPr>
                <w:rFonts w:hint="eastAsia" w:ascii="仿宋_GB2312" w:hAnsi="仿宋_GB2312" w:eastAsia="仿宋_GB2312" w:cs="仿宋_GB2312"/>
                <w:sz w:val="28"/>
                <w:szCs w:val="28"/>
              </w:rPr>
              <w:t>、</w:t>
            </w:r>
            <w:r>
              <w:rPr>
                <w:rFonts w:hint="eastAsia" w:ascii="仿宋_GB2312" w:eastAsia="仿宋_GB2312"/>
                <w:sz w:val="28"/>
                <w:szCs w:val="28"/>
              </w:rPr>
              <w:t>食品安全协调科</w:t>
            </w:r>
            <w:r>
              <w:rPr>
                <w:rFonts w:hint="eastAsia" w:ascii="仿宋_GB2312" w:hAnsi="仿宋_GB2312" w:eastAsia="仿宋_GB2312" w:cs="仿宋_GB2312"/>
                <w:sz w:val="28"/>
                <w:szCs w:val="28"/>
              </w:rPr>
              <w:t>、</w:t>
            </w:r>
            <w:r>
              <w:rPr>
                <w:rFonts w:hint="eastAsia" w:ascii="仿宋_GB2312" w:eastAsia="仿宋_GB2312"/>
                <w:sz w:val="28"/>
                <w:szCs w:val="28"/>
              </w:rPr>
              <w:t>食品生产安全监督管理科</w:t>
            </w:r>
            <w:r>
              <w:rPr>
                <w:rFonts w:hint="eastAsia" w:ascii="仿宋_GB2312" w:eastAsia="仿宋_GB2312"/>
                <w:sz w:val="28"/>
                <w:szCs w:val="28"/>
                <w:lang w:eastAsia="zh-CN"/>
              </w:rPr>
              <w:t>、</w:t>
            </w:r>
            <w:r>
              <w:rPr>
                <w:rFonts w:hint="eastAsia" w:ascii="仿宋_GB2312" w:eastAsia="仿宋_GB2312"/>
                <w:sz w:val="28"/>
                <w:szCs w:val="28"/>
              </w:rPr>
              <w:t>食品经营安全监督管理科</w:t>
            </w:r>
            <w:r>
              <w:rPr>
                <w:rFonts w:hint="eastAsia" w:ascii="仿宋_GB2312" w:eastAsia="仿宋_GB2312"/>
                <w:sz w:val="28"/>
                <w:szCs w:val="28"/>
                <w:lang w:eastAsia="zh-CN"/>
              </w:rPr>
              <w:t>、</w:t>
            </w:r>
            <w:r>
              <w:rPr>
                <w:rFonts w:hint="eastAsia" w:ascii="仿宋_GB2312" w:eastAsia="仿宋_GB2312"/>
                <w:sz w:val="28"/>
                <w:szCs w:val="28"/>
              </w:rPr>
              <w:t>特殊食品和化妆品安全监督管理科</w:t>
            </w:r>
            <w:r>
              <w:rPr>
                <w:rFonts w:hint="eastAsia" w:ascii="仿宋_GB2312" w:eastAsia="仿宋_GB2312"/>
                <w:sz w:val="28"/>
                <w:szCs w:val="28"/>
                <w:lang w:eastAsia="zh-CN"/>
              </w:rPr>
              <w:t>、</w:t>
            </w:r>
            <w:r>
              <w:rPr>
                <w:rFonts w:hint="eastAsia" w:ascii="仿宋_GB2312" w:eastAsia="仿宋_GB2312"/>
                <w:sz w:val="28"/>
                <w:szCs w:val="28"/>
              </w:rPr>
              <w:t>餐饮食品安全监督管理科</w:t>
            </w:r>
            <w:r>
              <w:rPr>
                <w:rFonts w:hint="eastAsia" w:ascii="仿宋_GB2312" w:eastAsia="仿宋_GB2312"/>
                <w:sz w:val="28"/>
                <w:szCs w:val="28"/>
                <w:lang w:eastAsia="zh-CN"/>
              </w:rPr>
              <w:t>、</w:t>
            </w:r>
            <w:r>
              <w:rPr>
                <w:rFonts w:hint="eastAsia" w:ascii="仿宋_GB2312" w:eastAsia="仿宋_GB2312"/>
                <w:sz w:val="28"/>
                <w:szCs w:val="28"/>
              </w:rPr>
              <w:t>抽检监测管理科</w:t>
            </w:r>
            <w:r>
              <w:rPr>
                <w:rFonts w:hint="eastAsia" w:ascii="仿宋_GB2312" w:eastAsia="仿宋_GB2312"/>
                <w:sz w:val="28"/>
                <w:szCs w:val="28"/>
                <w:lang w:eastAsia="zh-CN"/>
              </w:rPr>
              <w:t>、</w:t>
            </w:r>
            <w:r>
              <w:rPr>
                <w:rFonts w:hint="eastAsia" w:ascii="仿宋_GB2312" w:eastAsia="仿宋_GB2312"/>
                <w:sz w:val="28"/>
                <w:szCs w:val="28"/>
              </w:rPr>
              <w:t>药品生产指导协调科</w:t>
            </w:r>
            <w:r>
              <w:rPr>
                <w:rFonts w:hint="eastAsia" w:ascii="仿宋_GB2312" w:eastAsia="仿宋_GB2312"/>
                <w:sz w:val="28"/>
                <w:szCs w:val="28"/>
                <w:lang w:eastAsia="zh-CN"/>
              </w:rPr>
              <w:t>、</w:t>
            </w:r>
            <w:r>
              <w:rPr>
                <w:rFonts w:hint="eastAsia" w:ascii="仿宋_GB2312" w:eastAsia="仿宋_GB2312"/>
                <w:sz w:val="28"/>
                <w:szCs w:val="28"/>
              </w:rPr>
              <w:t>药品流通监督管理科</w:t>
            </w:r>
            <w:r>
              <w:rPr>
                <w:rFonts w:hint="eastAsia" w:ascii="仿宋_GB2312" w:eastAsia="仿宋_GB2312"/>
                <w:sz w:val="28"/>
                <w:szCs w:val="28"/>
                <w:lang w:eastAsia="zh-CN"/>
              </w:rPr>
              <w:t>、</w:t>
            </w:r>
            <w:r>
              <w:rPr>
                <w:rFonts w:hint="eastAsia" w:ascii="仿宋_GB2312" w:eastAsia="仿宋_GB2312"/>
                <w:sz w:val="28"/>
                <w:szCs w:val="28"/>
              </w:rPr>
              <w:t>医疗器械监督管理科</w:t>
            </w:r>
            <w:r>
              <w:rPr>
                <w:rFonts w:hint="eastAsia" w:ascii="仿宋_GB2312" w:eastAsia="仿宋_GB2312"/>
                <w:sz w:val="28"/>
                <w:szCs w:val="28"/>
                <w:lang w:eastAsia="zh-CN"/>
              </w:rPr>
              <w:t>、</w:t>
            </w:r>
            <w:r>
              <w:rPr>
                <w:rFonts w:hint="eastAsia" w:ascii="仿宋_GB2312" w:eastAsia="仿宋_GB2312"/>
                <w:sz w:val="28"/>
                <w:szCs w:val="28"/>
              </w:rPr>
              <w:t>特种设备安全监察科</w:t>
            </w:r>
            <w:r>
              <w:rPr>
                <w:rFonts w:hint="eastAsia" w:ascii="仿宋_GB2312" w:eastAsia="仿宋_GB2312"/>
                <w:sz w:val="28"/>
                <w:szCs w:val="28"/>
                <w:lang w:eastAsia="zh-CN"/>
              </w:rPr>
              <w:t>、</w:t>
            </w:r>
            <w:r>
              <w:rPr>
                <w:rFonts w:hint="eastAsia" w:ascii="仿宋_GB2312" w:eastAsia="仿宋_GB2312"/>
                <w:sz w:val="28"/>
                <w:szCs w:val="28"/>
              </w:rPr>
              <w:t>计量科</w:t>
            </w:r>
            <w:r>
              <w:rPr>
                <w:rFonts w:hint="eastAsia" w:ascii="仿宋_GB2312" w:eastAsia="仿宋_GB2312"/>
                <w:sz w:val="28"/>
                <w:szCs w:val="28"/>
                <w:lang w:eastAsia="zh-CN"/>
              </w:rPr>
              <w:t>、</w:t>
            </w:r>
            <w:r>
              <w:rPr>
                <w:rFonts w:hint="eastAsia" w:ascii="仿宋_GB2312" w:eastAsia="仿宋_GB2312"/>
                <w:sz w:val="28"/>
                <w:szCs w:val="28"/>
              </w:rPr>
              <w:t>标准化科</w:t>
            </w:r>
            <w:r>
              <w:rPr>
                <w:rFonts w:hint="eastAsia" w:ascii="仿宋_GB2312" w:eastAsia="仿宋_GB2312"/>
                <w:sz w:val="28"/>
                <w:szCs w:val="28"/>
                <w:lang w:eastAsia="zh-CN"/>
              </w:rPr>
              <w:t>、</w:t>
            </w:r>
            <w:r>
              <w:rPr>
                <w:rFonts w:hint="eastAsia" w:ascii="仿宋_GB2312" w:eastAsia="仿宋_GB2312"/>
                <w:sz w:val="28"/>
                <w:szCs w:val="28"/>
              </w:rPr>
              <w:t>认证认可监督管理科</w:t>
            </w:r>
            <w:r>
              <w:rPr>
                <w:rFonts w:hint="eastAsia" w:ascii="仿宋_GB2312" w:eastAsia="仿宋_GB2312"/>
                <w:sz w:val="28"/>
                <w:szCs w:val="28"/>
                <w:lang w:eastAsia="zh-CN"/>
              </w:rPr>
              <w:t>、</w:t>
            </w:r>
            <w:r>
              <w:rPr>
                <w:rFonts w:hint="eastAsia" w:ascii="仿宋_GB2312" w:eastAsia="仿宋_GB2312"/>
                <w:sz w:val="28"/>
                <w:szCs w:val="28"/>
              </w:rPr>
              <w:t>知识产权运用促进科</w:t>
            </w:r>
            <w:r>
              <w:rPr>
                <w:rFonts w:hint="eastAsia" w:ascii="仿宋_GB2312" w:eastAsia="仿宋_GB2312"/>
                <w:sz w:val="28"/>
                <w:szCs w:val="28"/>
                <w:lang w:eastAsia="zh-CN"/>
              </w:rPr>
              <w:t>、</w:t>
            </w:r>
            <w:r>
              <w:rPr>
                <w:rFonts w:hint="eastAsia" w:ascii="仿宋_GB2312" w:eastAsia="仿宋_GB2312"/>
                <w:sz w:val="28"/>
                <w:szCs w:val="28"/>
              </w:rPr>
              <w:t>知识产权保护科</w:t>
            </w:r>
            <w:r>
              <w:rPr>
                <w:rFonts w:hint="eastAsia" w:ascii="仿宋_GB2312" w:eastAsia="仿宋_GB2312"/>
                <w:sz w:val="28"/>
                <w:szCs w:val="28"/>
                <w:lang w:eastAsia="zh-CN"/>
              </w:rPr>
              <w:t>、</w:t>
            </w:r>
            <w:r>
              <w:rPr>
                <w:rFonts w:hint="eastAsia" w:ascii="仿宋_GB2312" w:eastAsia="仿宋_GB2312"/>
                <w:sz w:val="28"/>
                <w:szCs w:val="28"/>
              </w:rPr>
              <w:t>消费者权益保护科</w:t>
            </w:r>
            <w:r>
              <w:rPr>
                <w:rFonts w:hint="eastAsia" w:ascii="仿宋_GB2312" w:eastAsia="仿宋_GB2312"/>
                <w:sz w:val="28"/>
                <w:szCs w:val="28"/>
                <w:lang w:eastAsia="zh-CN"/>
              </w:rPr>
              <w:t>、</w:t>
            </w:r>
            <w:r>
              <w:rPr>
                <w:rFonts w:hint="eastAsia" w:ascii="仿宋_GB2312" w:eastAsia="仿宋_GB2312"/>
                <w:sz w:val="28"/>
                <w:szCs w:val="28"/>
              </w:rPr>
              <w:t>财务和审计科</w:t>
            </w:r>
            <w:r>
              <w:rPr>
                <w:rFonts w:hint="eastAsia" w:ascii="仿宋_GB2312" w:eastAsia="仿宋_GB2312"/>
                <w:sz w:val="28"/>
                <w:szCs w:val="28"/>
                <w:lang w:eastAsia="zh-CN"/>
              </w:rPr>
              <w:t>、</w:t>
            </w:r>
            <w:r>
              <w:rPr>
                <w:rFonts w:hint="eastAsia" w:ascii="仿宋_GB2312" w:eastAsia="仿宋_GB2312"/>
                <w:sz w:val="28"/>
                <w:szCs w:val="28"/>
              </w:rPr>
              <w:t>人事科</w:t>
            </w:r>
            <w:r>
              <w:rPr>
                <w:rFonts w:hint="eastAsia" w:ascii="仿宋_GB2312" w:eastAsia="仿宋_GB2312"/>
                <w:sz w:val="28"/>
                <w:szCs w:val="28"/>
                <w:lang w:eastAsia="zh-CN"/>
              </w:rPr>
              <w:t>、</w:t>
            </w:r>
            <w:r>
              <w:rPr>
                <w:rFonts w:hint="eastAsia" w:ascii="仿宋_GB2312" w:eastAsia="仿宋_GB2312"/>
                <w:sz w:val="28"/>
                <w:szCs w:val="28"/>
              </w:rPr>
              <w:t>机关党委（纪委）</w:t>
            </w:r>
            <w:r>
              <w:rPr>
                <w:rFonts w:hint="eastAsia" w:ascii="仿宋_GB2312" w:eastAsia="仿宋_GB2312"/>
                <w:sz w:val="28"/>
                <w:szCs w:val="28"/>
                <w:lang w:eastAsia="zh-CN"/>
              </w:rPr>
              <w:t>、</w:t>
            </w:r>
            <w:r>
              <w:rPr>
                <w:rFonts w:hint="eastAsia" w:ascii="仿宋_GB2312" w:eastAsia="仿宋_GB2312"/>
                <w:sz w:val="28"/>
                <w:szCs w:val="28"/>
              </w:rPr>
              <w:t>离退休人员管理服务科</w:t>
            </w:r>
            <w:r>
              <w:rPr>
                <w:rFonts w:hint="eastAsia" w:ascii="仿宋_GB2312" w:eastAsia="仿宋_GB2312"/>
                <w:sz w:val="28"/>
                <w:szCs w:val="28"/>
                <w:lang w:eastAsia="zh-CN"/>
              </w:rPr>
              <w:t>。</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eastAsia="仿宋_GB2312"/>
                <w:sz w:val="28"/>
                <w:szCs w:val="28"/>
                <w:lang w:eastAsia="zh-CN"/>
              </w:rPr>
              <w:t>副处级综合行政执法支队是岳阳市市场监管综合行政执法支队。</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eastAsia="仿宋_GB2312"/>
                <w:sz w:val="28"/>
                <w:szCs w:val="28"/>
                <w:lang w:eastAsia="zh-CN"/>
              </w:rPr>
              <w:t>直属事业单位为岳阳市质量计量检验检测中心，岳阳市食品药品审评认证与不良反应监测中心，岳阳市市场监督管理局机关事务管理中心，岳阳市消费者维权服务中心。</w:t>
            </w:r>
          </w:p>
          <w:p>
            <w:pPr>
              <w:pStyle w:val="6"/>
              <w:shd w:val="clear" w:color="auto" w:fill="FFFFFF"/>
              <w:spacing w:before="0" w:beforeAutospacing="0" w:after="0" w:afterAutospacing="0"/>
              <w:ind w:firstLine="570"/>
              <w:rPr>
                <w:rFonts w:hint="eastAsia" w:ascii="Arial" w:hAnsi="Arial" w:cs="Arial"/>
                <w:sz w:val="28"/>
              </w:rPr>
            </w:pPr>
            <w:r>
              <w:rPr>
                <w:rFonts w:hint="eastAsia" w:ascii="仿宋_GB2312" w:eastAsia="仿宋_GB2312"/>
                <w:sz w:val="28"/>
                <w:szCs w:val="28"/>
              </w:rPr>
              <w:t>直属</w:t>
            </w:r>
            <w:r>
              <w:rPr>
                <w:rFonts w:hint="eastAsia" w:ascii="仿宋_GB2312" w:eastAsia="仿宋_GB2312"/>
                <w:sz w:val="28"/>
                <w:szCs w:val="28"/>
                <w:lang w:eastAsia="zh-CN"/>
              </w:rPr>
              <w:t>分局</w:t>
            </w:r>
            <w:r>
              <w:rPr>
                <w:rFonts w:hint="eastAsia" w:ascii="仿宋_GB2312" w:eastAsia="仿宋_GB2312"/>
                <w:sz w:val="28"/>
                <w:szCs w:val="28"/>
              </w:rPr>
              <w:t>分别是岳阳市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经济技术开发区分局</w:t>
            </w:r>
            <w:r>
              <w:rPr>
                <w:rFonts w:hint="eastAsia" w:ascii="仿宋_GB2312" w:eastAsia="仿宋_GB2312"/>
                <w:sz w:val="28"/>
                <w:szCs w:val="28"/>
              </w:rPr>
              <w:t>、岳阳市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南湖新区分局</w:t>
            </w:r>
            <w:r>
              <w:rPr>
                <w:rFonts w:hint="eastAsia" w:ascii="仿宋_GB2312" w:eastAsia="仿宋_GB2312"/>
                <w:sz w:val="28"/>
                <w:szCs w:val="28"/>
              </w:rPr>
              <w:t>、岳阳市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城陵矶新港区分局。</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项目基本情况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eastAsia="zh-CN"/>
              </w:rPr>
              <w:t>食品药品监管专项</w:t>
            </w:r>
            <w:r>
              <w:rPr>
                <w:rFonts w:hint="eastAsia" w:ascii="仿宋_GB2312" w:hAnsi="仿宋_GB2312" w:eastAsia="仿宋_GB2312" w:cs="仿宋_GB2312"/>
                <w:b w:val="0"/>
                <w:bCs w:val="0"/>
                <w:sz w:val="28"/>
                <w:szCs w:val="28"/>
                <w:lang w:val="en-US" w:eastAsia="zh-CN"/>
              </w:rPr>
              <w:t>经费（以下简称：项目）</w:t>
            </w:r>
            <w:r>
              <w:rPr>
                <w:rFonts w:hint="eastAsia" w:ascii="仿宋_GB2312" w:hAnsi="仿宋_GB2312" w:eastAsia="仿宋_GB2312" w:cs="仿宋_GB2312"/>
                <w:sz w:val="28"/>
                <w:szCs w:val="28"/>
                <w:lang w:val="en-US" w:eastAsia="zh-CN"/>
              </w:rPr>
              <w:t>主要用于2021年岳阳市农产品和食品、药品及化妆品质量状况的技术监控，监督抽检。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本项目资金使用单位是</w:t>
            </w:r>
            <w:r>
              <w:rPr>
                <w:rFonts w:hint="eastAsia" w:ascii="仿宋_GB2312" w:hAnsi="仿宋_GB2312" w:eastAsia="仿宋_GB2312" w:cs="仿宋_GB2312"/>
                <w:b w:val="0"/>
                <w:bCs w:val="0"/>
                <w:sz w:val="28"/>
                <w:szCs w:val="28"/>
                <w:lang w:eastAsia="zh-CN"/>
              </w:rPr>
              <w:t>岳阳市市场监督管理局</w:t>
            </w:r>
            <w:r>
              <w:rPr>
                <w:rFonts w:hint="eastAsia" w:ascii="仿宋_GB2312" w:hAnsi="仿宋_GB2312" w:eastAsia="仿宋_GB2312" w:cs="仿宋_GB2312"/>
                <w:b w:val="0"/>
                <w:bCs w:val="0"/>
                <w:sz w:val="28"/>
                <w:szCs w:val="28"/>
                <w:lang w:val="en-US" w:eastAsia="zh-CN"/>
              </w:rPr>
              <w:t>机关（以下简称：局机关）食用农产品抽样检测承办机构为湖南鼎誉检验检测股份有限公司，食品、药品、专项抽查承办机构为岳阳市质量计量检验检测中心（本局二级机构），化妆品抽查检测承办机构为深圳市中鼎检测技术有限公司。</w:t>
            </w:r>
          </w:p>
          <w:p>
            <w:pPr>
              <w:widowControl/>
              <w:shd w:val="clear" w:color="auto" w:fill="FFFFFF"/>
              <w:spacing w:line="560" w:lineRule="exact"/>
              <w:ind w:firstLine="642" w:firstLineChars="200"/>
              <w:rPr>
                <w:rFonts w:hint="eastAsia" w:ascii="仿宋_GB2312" w:eastAsia="仿宋_GB2312"/>
                <w:b/>
                <w:bCs/>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项目绩效目标</w:t>
            </w:r>
          </w:p>
          <w:p>
            <w:pPr>
              <w:widowControl/>
              <w:shd w:val="clear" w:color="auto" w:fill="FFFFFF"/>
              <w:spacing w:line="560" w:lineRule="exact"/>
              <w:ind w:firstLine="560" w:firstLineChars="200"/>
              <w:rPr>
                <w:rFonts w:hint="eastAsia" w:ascii="仿宋_GB2312" w:hAnsi="宋体" w:eastAsia="仿宋_GB2312"/>
                <w:color w:val="333333"/>
                <w:sz w:val="28"/>
                <w:szCs w:val="28"/>
                <w:shd w:val="clear" w:color="auto" w:fill="FFFFFF"/>
                <w:lang w:eastAsia="zh-CN"/>
              </w:rPr>
            </w:pPr>
            <w:r>
              <w:rPr>
                <w:rFonts w:hint="eastAsia" w:ascii="仿宋_GB2312" w:hAnsi="宋体" w:eastAsia="仿宋_GB2312"/>
                <w:color w:val="333333"/>
                <w:sz w:val="28"/>
                <w:szCs w:val="28"/>
                <w:shd w:val="clear" w:color="auto" w:fill="FFFFFF"/>
                <w:lang w:eastAsia="zh-CN"/>
              </w:rPr>
              <w:t>总体目标：对我市食品、药品、医疗器械、保健品、化妆品的质量状况进行技术监控，规范食品、药品、保健食品、化妆品进行监督抽检抽验，以提高食品药品质量安全水平为目标，坚决守住不发生源发性系统性区域性的重大食品药品安全问题、不发生群体性的重大食品药品安全事故、不发生影响恶劣的重大执法违法违规事件，确保公众的饮食用药安全。坚持问题导向，通过抽验达到食品药品（含保健食品、化妆品、医疗器械，下同）问题早发现，违法违规行为早查处，安全风险早防控，全面掌握食品药品质量安全状况，切实提高监管效能和食品药品安全保障水平。</w:t>
            </w:r>
          </w:p>
          <w:p>
            <w:pPr>
              <w:numPr>
                <w:ilvl w:val="0"/>
                <w:numId w:val="2"/>
              </w:numPr>
              <w:spacing w:line="560" w:lineRule="exact"/>
              <w:ind w:left="0" w:leftChars="0" w:firstLine="602" w:firstLineChars="200"/>
              <w:rPr>
                <w:rFonts w:hint="eastAsia" w:eastAsia="仿宋_GB2312"/>
                <w:b/>
                <w:bCs/>
                <w:sz w:val="30"/>
                <w:szCs w:val="30"/>
              </w:rPr>
            </w:pPr>
            <w:r>
              <w:rPr>
                <w:rFonts w:hint="eastAsia" w:eastAsia="仿宋_GB2312"/>
                <w:b/>
                <w:bCs/>
                <w:sz w:val="30"/>
                <w:szCs w:val="30"/>
              </w:rPr>
              <w:t>项目资金使用及管理情况</w:t>
            </w:r>
          </w:p>
          <w:p>
            <w:pPr>
              <w:widowControl/>
              <w:shd w:val="clear" w:color="auto" w:fill="FFFFFF"/>
              <w:spacing w:line="560" w:lineRule="exact"/>
              <w:ind w:firstLine="642" w:firstLineChars="200"/>
              <w:rPr>
                <w:rFonts w:hint="eastAsia" w:ascii="仿宋_GB2312" w:hAnsi="宋体" w:eastAsia="仿宋_GB2312"/>
                <w:b/>
                <w:bCs/>
                <w:color w:val="333333"/>
                <w:sz w:val="32"/>
                <w:szCs w:val="32"/>
                <w:shd w:val="clear" w:color="auto" w:fill="FFFFFF"/>
                <w:lang w:eastAsia="zh-CN"/>
              </w:rPr>
            </w:pPr>
            <w:r>
              <w:rPr>
                <w:rFonts w:hint="eastAsia" w:ascii="仿宋_GB2312" w:hAnsi="宋体" w:eastAsia="仿宋_GB2312"/>
                <w:b/>
                <w:bCs/>
                <w:color w:val="333333"/>
                <w:sz w:val="32"/>
                <w:szCs w:val="32"/>
                <w:shd w:val="clear" w:color="auto" w:fill="FFFFFF"/>
              </w:rPr>
              <w:t>1、</w:t>
            </w:r>
            <w:r>
              <w:rPr>
                <w:rFonts w:hint="eastAsia" w:ascii="仿宋_GB2312" w:hAnsi="宋体" w:eastAsia="仿宋_GB2312"/>
                <w:b/>
                <w:bCs/>
                <w:color w:val="333333"/>
                <w:sz w:val="32"/>
                <w:szCs w:val="32"/>
                <w:shd w:val="clear" w:color="auto" w:fill="FFFFFF"/>
                <w:lang w:eastAsia="zh-CN"/>
              </w:rPr>
              <w:t>项目资金到位情况</w:t>
            </w:r>
          </w:p>
          <w:p>
            <w:pPr>
              <w:numPr>
                <w:ilvl w:val="0"/>
                <w:numId w:val="0"/>
              </w:numPr>
              <w:spacing w:line="560" w:lineRule="exact"/>
              <w:ind w:firstLine="560" w:firstLineChars="200"/>
              <w:rPr>
                <w:rFonts w:hint="default" w:ascii="仿宋_GB2312" w:hAnsi="宋体" w:eastAsia="仿宋_GB2312"/>
                <w:color w:val="FFFFFF" w:themeColor="background1"/>
                <w:sz w:val="28"/>
                <w:szCs w:val="28"/>
                <w:highlight w:val="none"/>
                <w:shd w:val="clear" w:color="FFFFFF" w:fill="D9D9D9"/>
                <w:lang w:val="en-US" w:eastAsia="zh-CN"/>
              </w:rPr>
            </w:pPr>
            <w:r>
              <w:rPr>
                <w:rFonts w:hint="eastAsia" w:ascii="仿宋_GB2312" w:hAnsi="宋体" w:eastAsia="仿宋_GB2312"/>
                <w:color w:val="333333"/>
                <w:sz w:val="28"/>
                <w:szCs w:val="28"/>
                <w:shd w:val="clear" w:color="auto" w:fill="FFFFFF"/>
                <w:lang w:eastAsia="zh-CN"/>
              </w:rPr>
              <w:t>我局食品药品监管专项经费预算</w:t>
            </w:r>
            <w:r>
              <w:rPr>
                <w:rFonts w:hint="eastAsia" w:ascii="仿宋_GB2312" w:hAnsi="宋体" w:eastAsia="仿宋_GB2312"/>
                <w:color w:val="333333"/>
                <w:sz w:val="28"/>
                <w:szCs w:val="28"/>
                <w:shd w:val="clear" w:color="auto" w:fill="FFFFFF"/>
                <w:lang w:val="en-US" w:eastAsia="zh-CN"/>
              </w:rPr>
              <w:t>565万元，资金到位565万元,2021年3月18日到位300万元，8月24日到位265万元。</w:t>
            </w:r>
          </w:p>
          <w:p>
            <w:pPr>
              <w:widowControl/>
              <w:shd w:val="clear" w:color="auto" w:fill="FFFFFF"/>
              <w:spacing w:line="560" w:lineRule="exact"/>
              <w:ind w:firstLine="642" w:firstLineChars="200"/>
              <w:rPr>
                <w:rFonts w:hint="eastAsia" w:ascii="仿宋_GB2312" w:hAnsi="宋体" w:eastAsia="仿宋_GB2312"/>
                <w:b/>
                <w:bCs/>
                <w:color w:val="auto"/>
                <w:sz w:val="32"/>
                <w:szCs w:val="32"/>
                <w:highlight w:val="none"/>
                <w:shd w:val="clear" w:color="auto" w:fill="auto"/>
                <w:lang w:eastAsia="zh-CN"/>
              </w:rPr>
            </w:pPr>
            <w:r>
              <w:rPr>
                <w:rFonts w:hint="eastAsia" w:ascii="仿宋_GB2312" w:hAnsi="宋体" w:eastAsia="仿宋_GB2312"/>
                <w:b/>
                <w:bCs/>
                <w:color w:val="auto"/>
                <w:sz w:val="32"/>
                <w:szCs w:val="32"/>
                <w:highlight w:val="none"/>
                <w:shd w:val="clear" w:color="auto" w:fill="auto"/>
              </w:rPr>
              <w:t>2、</w:t>
            </w:r>
            <w:r>
              <w:rPr>
                <w:rFonts w:hint="eastAsia" w:ascii="仿宋_GB2312" w:hAnsi="宋体" w:eastAsia="仿宋_GB2312"/>
                <w:b/>
                <w:bCs/>
                <w:color w:val="auto"/>
                <w:sz w:val="32"/>
                <w:szCs w:val="32"/>
                <w:highlight w:val="none"/>
                <w:shd w:val="clear" w:color="auto" w:fill="auto"/>
                <w:lang w:eastAsia="zh-CN"/>
              </w:rPr>
              <w:t>项目资金使用情况</w:t>
            </w:r>
          </w:p>
          <w:p>
            <w:pPr>
              <w:widowControl/>
              <w:shd w:val="clear" w:color="auto" w:fill="FFFFFF"/>
              <w:spacing w:line="560" w:lineRule="exact"/>
              <w:ind w:firstLine="560" w:firstLineChars="200"/>
              <w:rPr>
                <w:rFonts w:hint="eastAsia" w:ascii="仿宋_GB2312" w:hAnsi="宋体" w:eastAsia="仿宋_GB2312"/>
                <w:color w:val="auto"/>
                <w:sz w:val="28"/>
                <w:szCs w:val="28"/>
                <w:highlight w:val="none"/>
                <w:shd w:val="clear" w:color="auto" w:fill="auto"/>
                <w:lang w:val="en-US" w:eastAsia="zh-CN"/>
              </w:rPr>
            </w:pPr>
            <w:r>
              <w:rPr>
                <w:rFonts w:hint="eastAsia" w:ascii="仿宋_GB2312" w:hAnsi="宋体" w:eastAsia="仿宋_GB2312"/>
                <w:color w:val="auto"/>
                <w:sz w:val="28"/>
                <w:szCs w:val="28"/>
                <w:highlight w:val="none"/>
                <w:shd w:val="clear" w:color="auto" w:fill="auto"/>
              </w:rPr>
              <w:t>20</w:t>
            </w:r>
            <w:r>
              <w:rPr>
                <w:rFonts w:hint="eastAsia" w:ascii="仿宋_GB2312" w:hAnsi="宋体" w:eastAsia="仿宋_GB2312"/>
                <w:color w:val="auto"/>
                <w:sz w:val="28"/>
                <w:szCs w:val="28"/>
                <w:highlight w:val="none"/>
                <w:shd w:val="clear" w:color="auto" w:fill="auto"/>
                <w:lang w:val="en-US" w:eastAsia="zh-CN"/>
              </w:rPr>
              <w:t>21</w:t>
            </w:r>
            <w:r>
              <w:rPr>
                <w:rFonts w:hint="eastAsia" w:ascii="仿宋_GB2312" w:hAnsi="宋体" w:eastAsia="仿宋_GB2312"/>
                <w:color w:val="auto"/>
                <w:sz w:val="28"/>
                <w:szCs w:val="28"/>
                <w:highlight w:val="none"/>
                <w:shd w:val="clear" w:color="auto" w:fill="auto"/>
              </w:rPr>
              <w:t>年</w:t>
            </w:r>
            <w:r>
              <w:rPr>
                <w:rFonts w:hint="eastAsia" w:ascii="仿宋_GB2312" w:hAnsi="宋体" w:eastAsia="仿宋_GB2312"/>
                <w:color w:val="auto"/>
                <w:sz w:val="28"/>
                <w:szCs w:val="28"/>
                <w:highlight w:val="none"/>
                <w:shd w:val="clear" w:color="auto" w:fill="auto"/>
                <w:lang w:eastAsia="zh-CN"/>
              </w:rPr>
              <w:t>食品药品</w:t>
            </w:r>
            <w:r>
              <w:rPr>
                <w:rFonts w:hint="eastAsia" w:ascii="仿宋_GB2312" w:hAnsi="宋体" w:eastAsia="仿宋_GB2312"/>
                <w:color w:val="auto"/>
                <w:sz w:val="28"/>
                <w:szCs w:val="28"/>
                <w:highlight w:val="none"/>
                <w:shd w:val="clear" w:color="auto" w:fill="auto"/>
              </w:rPr>
              <w:t>专项资金收入</w:t>
            </w:r>
            <w:r>
              <w:rPr>
                <w:rFonts w:hint="eastAsia" w:ascii="仿宋_GB2312" w:hAnsi="宋体" w:eastAsia="仿宋_GB2312"/>
                <w:color w:val="auto"/>
                <w:sz w:val="28"/>
                <w:szCs w:val="28"/>
                <w:highlight w:val="none"/>
                <w:shd w:val="clear" w:color="auto" w:fill="auto"/>
                <w:lang w:val="en-US" w:eastAsia="zh-CN"/>
              </w:rPr>
              <w:t>565</w:t>
            </w:r>
            <w:r>
              <w:rPr>
                <w:rFonts w:hint="eastAsia" w:ascii="仿宋_GB2312" w:hAnsi="宋体" w:eastAsia="仿宋_GB2312"/>
                <w:color w:val="auto"/>
                <w:sz w:val="28"/>
                <w:szCs w:val="28"/>
                <w:highlight w:val="none"/>
                <w:shd w:val="clear" w:color="auto" w:fill="auto"/>
              </w:rPr>
              <w:t>万元，</w:t>
            </w:r>
            <w:r>
              <w:rPr>
                <w:rFonts w:hint="eastAsia" w:ascii="仿宋_GB2312" w:hAnsi="宋体" w:eastAsia="仿宋_GB2312"/>
                <w:color w:val="auto"/>
                <w:sz w:val="28"/>
                <w:szCs w:val="28"/>
                <w:highlight w:val="none"/>
                <w:shd w:val="clear" w:color="auto" w:fill="auto"/>
                <w:lang w:eastAsia="zh-CN"/>
              </w:rPr>
              <w:t>均为本级财政资金</w:t>
            </w:r>
            <w:r>
              <w:rPr>
                <w:rFonts w:hint="eastAsia" w:ascii="仿宋_GB2312" w:hAnsi="宋体" w:eastAsia="仿宋_GB2312"/>
                <w:color w:val="auto"/>
                <w:sz w:val="28"/>
                <w:szCs w:val="28"/>
                <w:highlight w:val="none"/>
                <w:shd w:val="clear" w:color="auto" w:fill="auto"/>
              </w:rPr>
              <w:t>。</w:t>
            </w:r>
            <w:r>
              <w:rPr>
                <w:rFonts w:hint="eastAsia" w:ascii="仿宋_GB2312" w:hAnsi="宋体" w:eastAsia="仿宋_GB2312"/>
                <w:color w:val="auto"/>
                <w:sz w:val="28"/>
                <w:szCs w:val="28"/>
                <w:highlight w:val="none"/>
                <w:shd w:val="clear" w:color="auto" w:fill="auto"/>
                <w:lang w:eastAsia="zh-CN"/>
              </w:rPr>
              <w:t>专项资金支出</w:t>
            </w:r>
            <w:r>
              <w:rPr>
                <w:rFonts w:hint="eastAsia" w:ascii="仿宋_GB2312" w:hAnsi="宋体" w:eastAsia="仿宋_GB2312"/>
                <w:color w:val="auto"/>
                <w:sz w:val="28"/>
                <w:szCs w:val="28"/>
                <w:highlight w:val="none"/>
                <w:shd w:val="clear" w:color="auto" w:fill="auto"/>
                <w:lang w:val="en-US" w:eastAsia="zh-CN"/>
              </w:rPr>
              <w:t>565万元</w:t>
            </w:r>
            <w:r>
              <w:rPr>
                <w:rFonts w:hint="eastAsia" w:ascii="仿宋_GB2312" w:hAnsi="宋体" w:eastAsia="仿宋_GB2312"/>
                <w:color w:val="auto"/>
                <w:sz w:val="28"/>
                <w:szCs w:val="28"/>
                <w:highlight w:val="none"/>
                <w:shd w:val="clear" w:color="auto" w:fill="auto"/>
              </w:rPr>
              <w:t>，</w:t>
            </w:r>
            <w:r>
              <w:rPr>
                <w:rFonts w:hint="eastAsia" w:ascii="仿宋_GB2312" w:hAnsi="宋体" w:eastAsia="仿宋_GB2312"/>
                <w:color w:val="auto"/>
                <w:sz w:val="28"/>
                <w:szCs w:val="28"/>
                <w:highlight w:val="none"/>
                <w:shd w:val="clear" w:color="auto" w:fill="auto"/>
                <w:lang w:val="en-US" w:eastAsia="zh-CN"/>
              </w:rPr>
              <w:t>支付率100%。</w:t>
            </w:r>
          </w:p>
          <w:p>
            <w:pPr>
              <w:widowControl/>
              <w:shd w:val="clear" w:color="auto" w:fill="FFFFFF"/>
              <w:spacing w:line="560" w:lineRule="exact"/>
              <w:ind w:firstLine="2240" w:firstLineChars="800"/>
              <w:rPr>
                <w:rFonts w:hint="eastAsia" w:ascii="仿宋_GB2312" w:eastAsia="仿宋_GB2312"/>
                <w:color w:val="FFFFFF" w:themeColor="background1"/>
                <w:sz w:val="28"/>
                <w:szCs w:val="28"/>
                <w:highlight w:val="lightGray"/>
                <w:shd w:val="clear" w:color="auto" w:fill="auto"/>
                <w:lang w:val="en-US" w:eastAsia="zh-CN"/>
              </w:rPr>
            </w:pPr>
            <w:r>
              <w:rPr>
                <w:rFonts w:hint="eastAsia" w:ascii="仿宋_GB2312" w:eastAsia="仿宋_GB2312"/>
                <w:color w:val="auto"/>
                <w:sz w:val="28"/>
                <w:szCs w:val="28"/>
                <w:highlight w:val="none"/>
                <w:shd w:val="clear" w:color="auto" w:fill="auto"/>
                <w:lang w:val="en-US" w:eastAsia="zh-CN"/>
              </w:rPr>
              <w:t>明细情况如下表（单位：万元）</w:t>
            </w:r>
          </w:p>
          <w:p>
            <w:pPr>
              <w:widowControl/>
              <w:shd w:val="clear" w:color="auto" w:fill="FFFFFF"/>
              <w:spacing w:line="560" w:lineRule="exact"/>
              <w:ind w:firstLine="560" w:firstLineChars="200"/>
              <w:rPr>
                <w:rFonts w:hint="eastAsia" w:ascii="仿宋_GB2312" w:eastAsia="仿宋_GB2312"/>
                <w:color w:val="FFFFFF" w:themeColor="background1"/>
                <w:sz w:val="28"/>
                <w:szCs w:val="28"/>
                <w:highlight w:val="lightGray"/>
                <w:lang w:val="en-US" w:eastAsia="zh-CN"/>
              </w:rPr>
            </w:pPr>
          </w:p>
          <w:tbl>
            <w:tblPr>
              <w:tblStyle w:val="8"/>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15"/>
              <w:gridCol w:w="2295"/>
              <w:gridCol w:w="1647"/>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序号</w:t>
                  </w:r>
                </w:p>
              </w:tc>
              <w:tc>
                <w:tcPr>
                  <w:tcW w:w="231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项目单位</w:t>
                  </w: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支出内容</w:t>
                  </w:r>
                </w:p>
              </w:tc>
              <w:tc>
                <w:tcPr>
                  <w:tcW w:w="1647"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实际支出</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w:t>
                  </w:r>
                </w:p>
              </w:tc>
              <w:tc>
                <w:tcPr>
                  <w:tcW w:w="2315" w:type="dxa"/>
                  <w:vMerge w:val="restart"/>
                  <w:noWrap w:val="0"/>
                  <w:vAlign w:val="top"/>
                </w:tcPr>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局机关</w:t>
                  </w:r>
                </w:p>
              </w:tc>
              <w:tc>
                <w:tcPr>
                  <w:tcW w:w="2295" w:type="dxa"/>
                  <w:noWrap w:val="0"/>
                  <w:vAlign w:val="center"/>
                </w:tcPr>
                <w:p>
                  <w:pPr>
                    <w:jc w:val="both"/>
                    <w:rPr>
                      <w:rFonts w:hint="eastAsia" w:ascii="Calibri" w:hAnsi="Calibri" w:eastAsia="仿宋_GB2312" w:cs="Times New Roman"/>
                      <w:kern w:val="2"/>
                      <w:sz w:val="28"/>
                      <w:szCs w:val="28"/>
                      <w:highlight w:val="none"/>
                      <w:shd w:val="clear" w:color="auto" w:fill="auto"/>
                      <w:lang w:val="en-US" w:eastAsia="zh-CN" w:bidi="ar-SA"/>
                    </w:rPr>
                  </w:pPr>
                  <w:r>
                    <w:rPr>
                      <w:rFonts w:hint="eastAsia" w:eastAsia="仿宋_GB2312"/>
                      <w:sz w:val="28"/>
                      <w:szCs w:val="28"/>
                      <w:highlight w:val="none"/>
                      <w:shd w:val="clear" w:color="auto" w:fill="auto"/>
                      <w:lang w:val="en-US" w:eastAsia="zh-CN"/>
                    </w:rPr>
                    <w:t>培训费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6.49</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2</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center"/>
                </w:tcPr>
                <w:p>
                  <w:pPr>
                    <w:jc w:val="both"/>
                    <w:rPr>
                      <w:rFonts w:hint="eastAsia" w:ascii="Calibri" w:hAnsi="Calibri" w:eastAsia="仿宋_GB2312" w:cs="Times New Roman"/>
                      <w:kern w:val="2"/>
                      <w:sz w:val="28"/>
                      <w:szCs w:val="28"/>
                      <w:highlight w:val="none"/>
                      <w:shd w:val="clear" w:color="auto" w:fill="auto"/>
                      <w:lang w:val="en-US" w:eastAsia="zh-CN" w:bidi="ar-SA"/>
                    </w:rPr>
                  </w:pPr>
                  <w:r>
                    <w:rPr>
                      <w:rFonts w:hint="eastAsia" w:eastAsia="仿宋_GB2312"/>
                      <w:sz w:val="28"/>
                      <w:szCs w:val="28"/>
                      <w:highlight w:val="none"/>
                      <w:shd w:val="clear" w:color="auto" w:fill="auto"/>
                      <w:lang w:val="en-US" w:eastAsia="zh-CN"/>
                    </w:rPr>
                    <w:t>宣传费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16.00</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3</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center"/>
                </w:tcPr>
                <w:p>
                  <w:pPr>
                    <w:jc w:val="both"/>
                    <w:rPr>
                      <w:rFonts w:hint="eastAsia" w:ascii="Calibri" w:hAnsi="Calibri" w:eastAsia="仿宋_GB2312" w:cs="Times New Roman"/>
                      <w:kern w:val="2"/>
                      <w:sz w:val="28"/>
                      <w:szCs w:val="28"/>
                      <w:highlight w:val="none"/>
                      <w:shd w:val="clear" w:color="auto" w:fill="auto"/>
                      <w:lang w:val="en-US" w:eastAsia="zh-CN" w:bidi="ar-SA"/>
                    </w:rPr>
                  </w:pPr>
                  <w:r>
                    <w:rPr>
                      <w:rFonts w:hint="eastAsia" w:eastAsia="仿宋_GB2312"/>
                      <w:sz w:val="28"/>
                      <w:szCs w:val="28"/>
                      <w:highlight w:val="none"/>
                      <w:shd w:val="clear" w:color="auto" w:fill="auto"/>
                      <w:lang w:val="en-US" w:eastAsia="zh-CN"/>
                    </w:rPr>
                    <w:t>印刷费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19.30</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4</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center"/>
                </w:tcPr>
                <w:p>
                  <w:pPr>
                    <w:jc w:val="both"/>
                    <w:rPr>
                      <w:rFonts w:hint="eastAsia" w:ascii="Calibri" w:hAnsi="Calibri" w:eastAsia="仿宋_GB2312" w:cs="Times New Roman"/>
                      <w:kern w:val="2"/>
                      <w:sz w:val="28"/>
                      <w:szCs w:val="28"/>
                      <w:highlight w:val="none"/>
                      <w:shd w:val="clear" w:color="auto" w:fill="auto"/>
                      <w:lang w:val="en-US" w:eastAsia="zh-CN" w:bidi="ar-SA"/>
                    </w:rPr>
                  </w:pPr>
                  <w:r>
                    <w:rPr>
                      <w:rFonts w:hint="eastAsia" w:eastAsia="仿宋_GB2312"/>
                      <w:sz w:val="28"/>
                      <w:szCs w:val="28"/>
                      <w:highlight w:val="none"/>
                      <w:shd w:val="clear" w:color="auto" w:fill="auto"/>
                      <w:lang w:eastAsia="zh-CN"/>
                    </w:rPr>
                    <w:t>差旅费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36.55</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5</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center"/>
                </w:tcPr>
                <w:p>
                  <w:pPr>
                    <w:jc w:val="both"/>
                    <w:rPr>
                      <w:rFonts w:hint="eastAsia" w:ascii="Calibri" w:hAnsi="Calibri" w:eastAsia="仿宋_GB2312" w:cs="Times New Roman"/>
                      <w:kern w:val="2"/>
                      <w:sz w:val="28"/>
                      <w:szCs w:val="28"/>
                      <w:highlight w:val="none"/>
                      <w:shd w:val="clear" w:color="auto" w:fill="auto"/>
                      <w:lang w:val="en-US" w:eastAsia="zh-CN" w:bidi="ar-SA"/>
                    </w:rPr>
                  </w:pPr>
                  <w:r>
                    <w:rPr>
                      <w:rFonts w:hint="eastAsia" w:eastAsia="仿宋_GB2312"/>
                      <w:sz w:val="28"/>
                      <w:szCs w:val="28"/>
                      <w:highlight w:val="none"/>
                      <w:shd w:val="clear" w:color="auto" w:fill="auto"/>
                      <w:lang w:eastAsia="zh-CN"/>
                    </w:rPr>
                    <w:t>办公费</w:t>
                  </w:r>
                </w:p>
              </w:tc>
              <w:tc>
                <w:tcPr>
                  <w:tcW w:w="1647" w:type="dxa"/>
                  <w:noWrap w:val="0"/>
                  <w:vAlign w:val="center"/>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5.14</w:t>
                  </w:r>
                </w:p>
              </w:tc>
              <w:tc>
                <w:tcPr>
                  <w:tcW w:w="1831"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6</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抽检费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432.03</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7</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劳务费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5.12</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8</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会议费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3.44</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9</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信息网络购置</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7.50</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10</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其他支出</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33.43</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11</w:t>
                  </w:r>
                </w:p>
              </w:tc>
              <w:tc>
                <w:tcPr>
                  <w:tcW w:w="231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合计</w:t>
                  </w: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565</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bl>
          <w:p>
            <w:pPr>
              <w:widowControl/>
              <w:shd w:val="clear" w:color="auto" w:fill="FFFFFF"/>
              <w:spacing w:line="560" w:lineRule="exact"/>
              <w:ind w:firstLine="560" w:firstLineChars="200"/>
              <w:rPr>
                <w:rFonts w:hint="eastAsia" w:ascii="仿宋_GB2312" w:hAnsi="宋体" w:eastAsia="仿宋_GB2312"/>
                <w:color w:val="333333"/>
                <w:sz w:val="28"/>
                <w:szCs w:val="28"/>
                <w:shd w:val="clear" w:color="auto" w:fill="FFFFFF"/>
                <w:lang w:eastAsia="zh-CN"/>
              </w:rPr>
            </w:pPr>
            <w:r>
              <w:rPr>
                <w:rFonts w:hint="eastAsia" w:ascii="仿宋_GB2312" w:hAnsi="宋体" w:eastAsia="仿宋_GB2312"/>
                <w:color w:val="333333"/>
                <w:sz w:val="28"/>
                <w:szCs w:val="28"/>
                <w:shd w:val="clear" w:color="auto" w:fill="FFFFFF"/>
                <w:lang w:eastAsia="zh-CN"/>
              </w:rPr>
              <w:t>上述资金主要用于食品、药品、医疗器械、保健食品、化妆品、酒类食品、药品医疗器械不良反应时间监管、抽检、快速检验等方面。</w:t>
            </w:r>
          </w:p>
          <w:p>
            <w:pPr>
              <w:widowControl/>
              <w:shd w:val="clear" w:color="auto" w:fill="FFFFFF"/>
              <w:spacing w:line="560" w:lineRule="exact"/>
              <w:ind w:firstLine="642" w:firstLineChars="200"/>
              <w:rPr>
                <w:rFonts w:hint="eastAsia" w:ascii="仿宋_GB2312" w:hAnsi="宋体" w:eastAsia="仿宋_GB2312"/>
                <w:b/>
                <w:bCs/>
                <w:color w:val="333333"/>
                <w:sz w:val="32"/>
                <w:szCs w:val="32"/>
                <w:shd w:val="clear" w:color="auto" w:fill="FFFFFF"/>
                <w:lang w:eastAsia="zh-CN"/>
              </w:rPr>
            </w:pPr>
            <w:r>
              <w:rPr>
                <w:rFonts w:hint="eastAsia" w:ascii="仿宋_GB2312" w:hAnsi="宋体" w:eastAsia="仿宋_GB2312"/>
                <w:b/>
                <w:bCs/>
                <w:color w:val="333333"/>
                <w:sz w:val="32"/>
                <w:szCs w:val="32"/>
                <w:shd w:val="clear" w:color="auto" w:fill="FFFFFF"/>
                <w:lang w:val="en-US" w:eastAsia="zh-CN"/>
              </w:rPr>
              <w:t>3、</w:t>
            </w:r>
            <w:r>
              <w:rPr>
                <w:rFonts w:hint="eastAsia" w:ascii="仿宋_GB2312" w:hAnsi="宋体" w:eastAsia="仿宋_GB2312"/>
                <w:b/>
                <w:bCs/>
                <w:color w:val="333333"/>
                <w:sz w:val="32"/>
                <w:szCs w:val="32"/>
                <w:shd w:val="clear" w:color="auto" w:fill="FFFFFF"/>
                <w:lang w:eastAsia="zh-CN"/>
              </w:rPr>
              <w:t>项目</w:t>
            </w:r>
            <w:r>
              <w:rPr>
                <w:rFonts w:hint="eastAsia" w:ascii="仿宋_GB2312" w:hAnsi="宋体" w:eastAsia="仿宋_GB2312"/>
                <w:b/>
                <w:bCs/>
                <w:color w:val="333333"/>
                <w:sz w:val="32"/>
                <w:szCs w:val="32"/>
                <w:shd w:val="clear" w:color="auto" w:fill="FFFFFF"/>
              </w:rPr>
              <w:t>资金</w:t>
            </w:r>
            <w:r>
              <w:rPr>
                <w:rFonts w:hint="eastAsia" w:ascii="仿宋_GB2312" w:hAnsi="宋体" w:eastAsia="仿宋_GB2312"/>
                <w:b/>
                <w:bCs/>
                <w:color w:val="333333"/>
                <w:sz w:val="32"/>
                <w:szCs w:val="32"/>
                <w:shd w:val="clear" w:color="auto" w:fill="FFFFFF"/>
                <w:lang w:eastAsia="zh-CN"/>
              </w:rPr>
              <w:t>管理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highlight w:val="none"/>
                <w:lang w:val="en-US" w:eastAsia="zh-CN"/>
              </w:rPr>
              <w:t>市场监督管理局项目资金管理</w:t>
            </w:r>
            <w:r>
              <w:rPr>
                <w:rFonts w:hint="eastAsia" w:ascii="仿宋_GB2312" w:hAnsi="仿宋_GB2312" w:eastAsia="仿宋_GB2312" w:cs="仿宋_GB2312"/>
                <w:i w:val="0"/>
                <w:caps w:val="0"/>
                <w:color w:val="333333"/>
                <w:spacing w:val="0"/>
                <w:sz w:val="28"/>
                <w:szCs w:val="28"/>
              </w:rPr>
              <w:t>执行《湖南省食品药品安全监管及医疗器械检测专项资金管理办法》</w:t>
            </w:r>
            <w:r>
              <w:rPr>
                <w:rFonts w:hint="eastAsia" w:ascii="仿宋_GB2312" w:hAnsi="仿宋_GB2312" w:eastAsia="仿宋_GB2312" w:cs="仿宋_GB2312"/>
                <w:i w:val="0"/>
                <w:caps w:val="0"/>
                <w:color w:val="333333"/>
                <w:spacing w:val="0"/>
                <w:sz w:val="28"/>
                <w:szCs w:val="28"/>
                <w:lang w:eastAsia="zh-CN"/>
              </w:rPr>
              <w:t>。</w:t>
            </w:r>
            <w:r>
              <w:rPr>
                <w:rFonts w:hint="eastAsia" w:ascii="仿宋_GB2312" w:hAnsi="仿宋_GB2312" w:eastAsia="仿宋_GB2312" w:cs="仿宋_GB2312"/>
                <w:b w:val="0"/>
                <w:bCs w:val="0"/>
                <w:sz w:val="28"/>
                <w:szCs w:val="28"/>
                <w:highlight w:val="none"/>
                <w:lang w:val="en-US" w:eastAsia="zh-CN"/>
              </w:rPr>
              <w:t>市场监督管理局</w:t>
            </w:r>
            <w:r>
              <w:rPr>
                <w:rFonts w:hint="eastAsia" w:ascii="仿宋_GB2312" w:hAnsi="仿宋_GB2312" w:eastAsia="仿宋_GB2312" w:cs="仿宋_GB2312"/>
                <w:i w:val="0"/>
                <w:caps w:val="0"/>
                <w:color w:val="333333"/>
                <w:spacing w:val="0"/>
                <w:sz w:val="28"/>
                <w:szCs w:val="28"/>
              </w:rPr>
              <w:t>制定了《岳阳市食品药品监督管理局专项资金管理制度》</w:t>
            </w:r>
            <w:r>
              <w:rPr>
                <w:rFonts w:hint="eastAsia" w:ascii="仿宋_GB2312" w:hAnsi="仿宋_GB2312" w:eastAsia="仿宋_GB2312" w:cs="仿宋_GB2312"/>
                <w:i w:val="0"/>
                <w:caps w:val="0"/>
                <w:color w:val="333333"/>
                <w:spacing w:val="0"/>
                <w:sz w:val="28"/>
                <w:szCs w:val="28"/>
                <w:lang w:eastAsia="zh-CN"/>
              </w:rPr>
              <w:t>，</w:t>
            </w: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rPr>
              <w:t>专项资金的管理和使用符合财政预算管理的有关规定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做到</w:t>
            </w:r>
            <w:r>
              <w:rPr>
                <w:rFonts w:hint="eastAsia" w:ascii="仿宋_GB2312" w:hAnsi="仿宋_GB2312" w:eastAsia="仿宋_GB2312" w:cs="仿宋_GB2312"/>
                <w:sz w:val="28"/>
                <w:szCs w:val="28"/>
              </w:rPr>
              <w:t>专款专用，专题研究，一事一议，集体采购，</w:t>
            </w:r>
            <w:r>
              <w:rPr>
                <w:rFonts w:hint="eastAsia" w:ascii="仿宋_GB2312" w:hAnsi="仿宋_GB2312" w:eastAsia="仿宋_GB2312" w:cs="仿宋_GB2312"/>
                <w:sz w:val="28"/>
                <w:szCs w:val="28"/>
                <w:lang w:eastAsia="zh-CN"/>
              </w:rPr>
              <w:t>遵循</w:t>
            </w:r>
            <w:r>
              <w:rPr>
                <w:rFonts w:hint="eastAsia" w:ascii="仿宋_GB2312" w:hAnsi="仿宋_GB2312" w:eastAsia="仿宋_GB2312" w:cs="仿宋_GB2312"/>
                <w:sz w:val="28"/>
                <w:szCs w:val="28"/>
              </w:rPr>
              <w:t>统筹兼顾、突出重点、</w:t>
            </w:r>
            <w:r>
              <w:rPr>
                <w:rFonts w:hint="eastAsia" w:ascii="仿宋_GB2312" w:hAnsi="仿宋_GB2312" w:eastAsia="仿宋_GB2312" w:cs="仿宋_GB2312"/>
                <w:sz w:val="28"/>
                <w:szCs w:val="28"/>
                <w:lang w:eastAsia="zh-CN"/>
              </w:rPr>
              <w:t>跟</w:t>
            </w:r>
            <w:r>
              <w:rPr>
                <w:rFonts w:hint="eastAsia" w:ascii="仿宋_GB2312" w:hAnsi="仿宋_GB2312" w:eastAsia="仿宋_GB2312" w:cs="仿宋_GB2312"/>
                <w:sz w:val="28"/>
                <w:szCs w:val="28"/>
              </w:rPr>
              <w:t>踪问效的原则。专项资金使用流程</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审批程序：使用单位提出申请 → 分管业务局领导审核 → 分管财务局领导</w:t>
            </w:r>
            <w:r>
              <w:rPr>
                <w:rFonts w:hint="eastAsia" w:ascii="仿宋_GB2312" w:hAnsi="仿宋_GB2312" w:eastAsia="仿宋_GB2312" w:cs="仿宋_GB2312"/>
                <w:sz w:val="28"/>
                <w:szCs w:val="28"/>
                <w:lang w:eastAsia="zh-CN"/>
              </w:rPr>
              <w:t>审核</w:t>
            </w:r>
            <w:r>
              <w:rPr>
                <w:rFonts w:hint="eastAsia" w:ascii="仿宋_GB2312" w:hAnsi="仿宋_GB2312" w:eastAsia="仿宋_GB2312" w:cs="仿宋_GB2312"/>
                <w:sz w:val="28"/>
                <w:szCs w:val="28"/>
              </w:rPr>
              <w:t xml:space="preserve"> → 局长批准。审批要求：使用单位应提</w:t>
            </w:r>
            <w:r>
              <w:rPr>
                <w:rFonts w:hint="eastAsia" w:ascii="仿宋_GB2312" w:hAnsi="仿宋_GB2312" w:eastAsia="仿宋_GB2312" w:cs="仿宋_GB2312"/>
                <w:sz w:val="28"/>
                <w:szCs w:val="28"/>
                <w:lang w:eastAsia="zh-CN"/>
              </w:rPr>
              <w:t>交</w:t>
            </w:r>
            <w:r>
              <w:rPr>
                <w:rFonts w:hint="eastAsia" w:ascii="仿宋_GB2312" w:hAnsi="仿宋_GB2312" w:eastAsia="仿宋_GB2312" w:cs="仿宋_GB2312"/>
                <w:sz w:val="28"/>
                <w:szCs w:val="28"/>
              </w:rPr>
              <w:t>项目资金申请报告，填写《</w:t>
            </w:r>
            <w:r>
              <w:rPr>
                <w:rFonts w:hint="eastAsia" w:ascii="仿宋_GB2312" w:hAnsi="仿宋_GB2312" w:eastAsia="仿宋_GB2312" w:cs="仿宋_GB2312"/>
                <w:sz w:val="28"/>
                <w:szCs w:val="28"/>
                <w:lang w:val="en-US" w:eastAsia="zh-CN"/>
              </w:rPr>
              <w:t>岳阳市市场监督管理局</w:t>
            </w:r>
            <w:r>
              <w:rPr>
                <w:rFonts w:hint="eastAsia" w:ascii="仿宋_GB2312" w:hAnsi="仿宋_GB2312" w:eastAsia="仿宋_GB2312" w:cs="仿宋_GB2312"/>
                <w:sz w:val="28"/>
                <w:szCs w:val="28"/>
              </w:rPr>
              <w:t>专项资金使用</w:t>
            </w:r>
            <w:r>
              <w:rPr>
                <w:rFonts w:hint="eastAsia" w:ascii="仿宋_GB2312" w:hAnsi="仿宋_GB2312" w:eastAsia="仿宋_GB2312" w:cs="仿宋_GB2312"/>
                <w:sz w:val="28"/>
                <w:szCs w:val="28"/>
                <w:lang w:eastAsia="zh-CN"/>
              </w:rPr>
              <w:t>审批</w:t>
            </w:r>
            <w:r>
              <w:rPr>
                <w:rFonts w:hint="eastAsia" w:ascii="仿宋_GB2312" w:hAnsi="仿宋_GB2312" w:eastAsia="仿宋_GB2312" w:cs="仿宋_GB2312"/>
                <w:sz w:val="28"/>
                <w:szCs w:val="28"/>
              </w:rPr>
              <w:t>单》。财务科对报告进行编号登记管理，对报账票据</w:t>
            </w:r>
            <w:r>
              <w:rPr>
                <w:rFonts w:hint="eastAsia" w:ascii="仿宋_GB2312" w:hAnsi="仿宋_GB2312" w:eastAsia="仿宋_GB2312" w:cs="仿宋_GB2312"/>
                <w:sz w:val="28"/>
                <w:szCs w:val="28"/>
                <w:lang w:eastAsia="zh-CN"/>
              </w:rPr>
              <w:t>等相关材料</w:t>
            </w:r>
            <w:r>
              <w:rPr>
                <w:rFonts w:hint="eastAsia" w:ascii="仿宋_GB2312" w:hAnsi="仿宋_GB2312" w:eastAsia="仿宋_GB2312" w:cs="仿宋_GB2312"/>
                <w:sz w:val="28"/>
                <w:szCs w:val="28"/>
              </w:rPr>
              <w:t>审核把关。</w:t>
            </w:r>
          </w:p>
          <w:p>
            <w:pPr>
              <w:spacing w:line="560" w:lineRule="exact"/>
              <w:ind w:firstLine="301" w:firstLineChars="100"/>
              <w:rPr>
                <w:rFonts w:hint="eastAsia" w:eastAsia="仿宋_GB2312"/>
                <w:b/>
                <w:bCs/>
                <w:sz w:val="30"/>
                <w:szCs w:val="30"/>
              </w:rPr>
            </w:pPr>
            <w:r>
              <w:rPr>
                <w:rFonts w:hint="eastAsia" w:eastAsia="仿宋_GB2312"/>
                <w:b/>
                <w:bCs/>
                <w:sz w:val="30"/>
                <w:szCs w:val="30"/>
              </w:rPr>
              <w:t>（三）项目组织实施情况</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1、制订明确计划，指导项目实施</w:t>
            </w:r>
            <w:r>
              <w:rPr>
                <w:rFonts w:hint="eastAsia" w:ascii="仿宋_GB2312" w:hAnsi="仿宋_GB2312" w:eastAsia="仿宋_GB2312" w:cs="仿宋_GB2312"/>
                <w:b w:val="0"/>
                <w:bCs w:val="0"/>
                <w:sz w:val="28"/>
                <w:szCs w:val="28"/>
                <w:lang w:val="en-US" w:eastAsia="zh-CN"/>
              </w:rPr>
              <w:t>。市食品安全委员会下达了《关于印发2021年岳阳市食品安全重点工作安排的通知》（岳食安委【2021】3号），明确了全市农产品和食品抽查量目标任务，市市场监管局印发了《岳阳市市场监督管理局关于进一步明确2021年岳阳市本级食品、食用农产品、药品、医疗器械、化妆品监督抽检任务及相关配套经费的安排》（岳市监办发【2021】58号）等相关文件，指导项目实施。</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2、相关项目进行招投标</w:t>
            </w:r>
            <w:r>
              <w:rPr>
                <w:rFonts w:hint="eastAsia" w:ascii="仿宋_GB2312" w:hAnsi="仿宋_GB2312" w:eastAsia="仿宋_GB2312" w:cs="仿宋_GB2312"/>
                <w:b w:val="0"/>
                <w:bCs w:val="0"/>
                <w:sz w:val="28"/>
                <w:szCs w:val="28"/>
                <w:lang w:val="en-US" w:eastAsia="zh-CN"/>
              </w:rPr>
              <w:t>。市场监管局</w:t>
            </w:r>
            <w:r>
              <w:rPr>
                <w:rFonts w:hint="eastAsia" w:ascii="仿宋_GB2312" w:hAnsi="仿宋_GB2312" w:eastAsia="仿宋_GB2312" w:cs="仿宋_GB2312"/>
                <w:b w:val="0"/>
                <w:bCs w:val="0"/>
                <w:sz w:val="28"/>
                <w:szCs w:val="28"/>
                <w:lang w:eastAsia="zh-CN"/>
              </w:rPr>
              <w:t>局机关</w:t>
            </w:r>
            <w:r>
              <w:rPr>
                <w:rFonts w:hint="eastAsia" w:ascii="仿宋_GB2312" w:hAnsi="仿宋_GB2312" w:eastAsia="仿宋_GB2312" w:cs="仿宋_GB2312"/>
                <w:b w:val="0"/>
                <w:bCs w:val="0"/>
                <w:sz w:val="28"/>
                <w:szCs w:val="28"/>
                <w:lang w:val="en-US" w:eastAsia="zh-CN"/>
              </w:rPr>
              <w:t>根据岳市监办发【2021】58号文件要求，对600批次的食用农产品、86批次的化妆品通过招投标方式确定承办机构。</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3、签订相关合同</w:t>
            </w:r>
            <w:r>
              <w:rPr>
                <w:rFonts w:hint="eastAsia" w:ascii="仿宋_GB2312" w:hAnsi="仿宋_GB2312" w:eastAsia="仿宋_GB2312" w:cs="仿宋_GB2312"/>
                <w:b w:val="0"/>
                <w:bCs w:val="0"/>
                <w:sz w:val="28"/>
                <w:szCs w:val="28"/>
                <w:lang w:val="en-US" w:eastAsia="zh-CN"/>
              </w:rPr>
              <w:t>。2021年7月市市场监管局与中标单位湖南鼎誉检验检测有限公司、深圳市中鼎检测技术有限公司签订了《委托检测合同》，合同价款分别为21.09万元，25.70万元。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4、进行了职责</w:t>
            </w:r>
            <w:r>
              <w:rPr>
                <w:rFonts w:hint="eastAsia" w:ascii="仿宋_GB2312" w:hAnsi="仿宋_GB2312" w:eastAsia="仿宋_GB2312" w:cs="仿宋_GB2312"/>
                <w:b/>
                <w:bCs/>
                <w:sz w:val="28"/>
                <w:szCs w:val="28"/>
              </w:rPr>
              <w:t>分工</w:t>
            </w:r>
            <w:r>
              <w:rPr>
                <w:rFonts w:hint="eastAsia" w:ascii="仿宋_GB2312" w:hAnsi="仿宋_GB2312" w:eastAsia="仿宋_GB2312" w:cs="仿宋_GB2312"/>
                <w:b w:val="0"/>
                <w:bCs w:val="0"/>
                <w:sz w:val="28"/>
                <w:szCs w:val="28"/>
                <w:lang w:eastAsia="zh-CN"/>
              </w:rPr>
              <w:t>。抽检监测管理科</w:t>
            </w:r>
            <w:r>
              <w:rPr>
                <w:rFonts w:hint="eastAsia" w:ascii="仿宋_GB2312" w:hAnsi="仿宋_GB2312" w:eastAsia="仿宋_GB2312" w:cs="仿宋_GB2312"/>
                <w:sz w:val="28"/>
                <w:szCs w:val="28"/>
              </w:rPr>
              <w:t>拟订并组织实施</w:t>
            </w:r>
            <w:r>
              <w:rPr>
                <w:rFonts w:hint="eastAsia" w:ascii="仿宋_GB2312" w:hAnsi="仿宋_GB2312" w:eastAsia="仿宋_GB2312" w:cs="仿宋_GB2312"/>
                <w:sz w:val="28"/>
                <w:szCs w:val="28"/>
                <w:lang w:eastAsia="zh-CN"/>
              </w:rPr>
              <w:t>全市</w:t>
            </w:r>
            <w:r>
              <w:rPr>
                <w:rFonts w:hint="eastAsia" w:ascii="仿宋_GB2312" w:hAnsi="仿宋_GB2312" w:eastAsia="仿宋_GB2312" w:cs="仿宋_GB2312"/>
                <w:sz w:val="28"/>
                <w:szCs w:val="28"/>
              </w:rPr>
              <w:t>食品、药品、医疗器械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化妆品安全监督抽检计划，定期公布抽检结果及相关信息。督促指导不合格食品、药品、医疗器械、化妆品的核查、处置、召回。</w:t>
            </w:r>
            <w:r>
              <w:rPr>
                <w:rFonts w:hint="eastAsia" w:ascii="仿宋_GB2312" w:hAnsi="仿宋_GB2312" w:eastAsia="仿宋_GB2312" w:cs="仿宋_GB2312"/>
                <w:sz w:val="28"/>
                <w:szCs w:val="28"/>
                <w:lang w:eastAsia="zh-CN"/>
              </w:rPr>
              <w:t>食品安全协调科、食品生产安全监督管理科、食品经营安全监督管理科、特殊食品和化妆品监督管理库、餐饮食品安全监督管理库、药品生产指导协调科、药品流通监督管理科依权限对各自监管领域实施监管。</w:t>
            </w:r>
            <w:r>
              <w:rPr>
                <w:rFonts w:hint="eastAsia" w:ascii="仿宋_GB2312" w:hAnsi="仿宋_GB2312" w:eastAsia="仿宋_GB2312" w:cs="仿宋_GB2312"/>
                <w:b w:val="0"/>
                <w:bCs w:val="0"/>
                <w:sz w:val="28"/>
                <w:szCs w:val="28"/>
                <w:lang w:eastAsia="zh-CN"/>
              </w:rPr>
              <w:t>财务和审计科负责向市财政局申请资金，结合年度绩效任务核拨资金。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5、组织实施</w:t>
            </w:r>
            <w:r>
              <w:rPr>
                <w:rFonts w:hint="eastAsia" w:ascii="仿宋_GB2312" w:hAnsi="仿宋_GB2312" w:eastAsia="仿宋_GB2312" w:cs="仿宋_GB2312"/>
                <w:sz w:val="28"/>
                <w:szCs w:val="28"/>
                <w:lang w:val="en-US" w:eastAsia="zh-CN"/>
              </w:rPr>
              <w:t>。按相关文件要求，由市市场监管局相关部门组织实施。</w:t>
            </w:r>
            <w:r>
              <w:rPr>
                <w:rFonts w:hint="eastAsia" w:ascii="仿宋_GB2312" w:hAnsi="仿宋_GB2312" w:eastAsia="仿宋_GB2312" w:cs="仿宋_GB2312"/>
                <w:sz w:val="28"/>
                <w:szCs w:val="28"/>
                <w:lang w:eastAsia="zh-CN"/>
              </w:rPr>
              <w:t>检验部门考核检验数据正确率和检验报告的及时率；实行工作质量和工作效率考核机制。</w:t>
            </w:r>
          </w:p>
          <w:p>
            <w:pPr>
              <w:numPr>
                <w:ilvl w:val="0"/>
                <w:numId w:val="0"/>
              </w:numPr>
              <w:spacing w:line="560" w:lineRule="exact"/>
              <w:ind w:leftChars="200"/>
              <w:rPr>
                <w:rFonts w:hint="eastAsia" w:eastAsia="仿宋_GB2312"/>
                <w:b/>
                <w:bCs/>
                <w:sz w:val="30"/>
                <w:szCs w:val="30"/>
              </w:rPr>
            </w:pPr>
            <w:r>
              <w:rPr>
                <w:rFonts w:hint="eastAsia" w:eastAsia="仿宋_GB2312"/>
                <w:b/>
                <w:bCs/>
                <w:sz w:val="30"/>
                <w:szCs w:val="30"/>
                <w:lang w:eastAsia="zh-CN"/>
              </w:rPr>
              <w:t>（四）</w:t>
            </w:r>
            <w:r>
              <w:rPr>
                <w:rFonts w:hint="eastAsia" w:eastAsia="仿宋_GB2312"/>
                <w:b/>
                <w:bCs/>
                <w:sz w:val="30"/>
                <w:szCs w:val="30"/>
              </w:rPr>
              <w:t>综合评价情况及评价结论</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食品药品监管</w:t>
            </w:r>
            <w:r>
              <w:rPr>
                <w:rFonts w:hint="eastAsia" w:ascii="仿宋_GB2312" w:hAnsi="仿宋_GB2312" w:eastAsia="仿宋_GB2312" w:cs="仿宋_GB2312"/>
                <w:sz w:val="28"/>
                <w:szCs w:val="28"/>
              </w:rPr>
              <w:t>资金使用符合中央、省、市文件要求，符合我市经济发展的需要。财政资金的投入，增强了</w:t>
            </w:r>
            <w:r>
              <w:rPr>
                <w:rFonts w:hint="eastAsia" w:ascii="仿宋_GB2312" w:hAnsi="仿宋_GB2312" w:eastAsia="仿宋_GB2312" w:cs="仿宋_GB2312"/>
                <w:sz w:val="28"/>
                <w:szCs w:val="28"/>
                <w:lang w:eastAsia="zh-CN"/>
              </w:rPr>
              <w:t>我市市场监督管理的力度，</w:t>
            </w:r>
            <w:r>
              <w:rPr>
                <w:rFonts w:hint="eastAsia" w:ascii="仿宋_GB2312" w:hAnsi="仿宋_GB2312" w:eastAsia="仿宋_GB2312" w:cs="仿宋_GB2312"/>
                <w:sz w:val="28"/>
                <w:szCs w:val="28"/>
              </w:rPr>
              <w:t>为我市</w:t>
            </w:r>
            <w:r>
              <w:rPr>
                <w:rFonts w:hint="eastAsia" w:ascii="仿宋_GB2312" w:hAnsi="仿宋_GB2312" w:eastAsia="仿宋_GB2312" w:cs="仿宋_GB2312"/>
                <w:sz w:val="28"/>
                <w:szCs w:val="28"/>
                <w:lang w:eastAsia="zh-CN"/>
              </w:rPr>
              <w:t>新增长极建设创造了更加良好的市场环境，</w:t>
            </w:r>
            <w:r>
              <w:rPr>
                <w:rFonts w:hint="eastAsia" w:ascii="仿宋_GB2312" w:hAnsi="仿宋_GB2312" w:eastAsia="仿宋_GB2312" w:cs="仿宋_GB2312"/>
                <w:sz w:val="28"/>
                <w:szCs w:val="28"/>
              </w:rPr>
              <w:t>绩效评价自评小组根据《岳阳市项目支出绩效评价指标体系》方案，自评得分9</w:t>
            </w:r>
            <w:r>
              <w:rPr>
                <w:rFonts w:hint="eastAsia"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rPr>
              <w:t>分，考评结果为优秀。（详见附表1绩效评价自评表）</w:t>
            </w:r>
          </w:p>
          <w:p>
            <w:pPr>
              <w:numPr>
                <w:ilvl w:val="0"/>
                <w:numId w:val="4"/>
              </w:numPr>
              <w:spacing w:line="560" w:lineRule="exact"/>
              <w:ind w:firstLine="301" w:firstLineChars="100"/>
              <w:rPr>
                <w:rFonts w:hint="eastAsia" w:eastAsia="仿宋_GB2312"/>
                <w:b/>
                <w:bCs/>
                <w:sz w:val="30"/>
                <w:szCs w:val="30"/>
              </w:rPr>
            </w:pPr>
            <w:r>
              <w:rPr>
                <w:rFonts w:hint="eastAsia" w:eastAsia="仿宋_GB2312"/>
                <w:b/>
                <w:bCs/>
                <w:sz w:val="30"/>
                <w:szCs w:val="30"/>
              </w:rPr>
              <w:t>项目主要绩效情况分析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000000" w:themeColor="text1"/>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1、量化目标及完成情况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（1）计划食品抽检1400批次。已完成食品抽检1500批次，完成107.14%；</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（2）计划食用农产品抽检600批次。已完成食用农产品抽检600批次,完成率100%；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（3）计划药品抽检360批次。已完成药品抽检360批次,完成100%；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（4）计划化妆品抽检70批次。已完成化妆品抽检86批次，完成122.86%；</w:t>
            </w:r>
            <w:r>
              <w:rPr>
                <w:rFonts w:hint="eastAsia" w:ascii="仿宋_GB2312" w:hAnsi="仿宋_GB2312" w:eastAsia="仿宋_GB2312" w:cs="仿宋_GB2312"/>
                <w:b w:val="0"/>
                <w:bCs w:val="0"/>
                <w:color w:val="FFFFFF" w:themeColor="background1"/>
                <w:sz w:val="28"/>
                <w:szCs w:val="28"/>
                <w:highlight w:val="none"/>
                <w:shd w:val="clear" w:color="auto" w:fill="auto"/>
                <w:lang w:val="en-US" w:eastAsia="zh-CN"/>
              </w:rPr>
              <w:t>改。</w:t>
            </w:r>
            <w:r>
              <w:rPr>
                <w:rFonts w:hint="eastAsia" w:ascii="仿宋_GB2312" w:hAnsi="仿宋_GB2312" w:eastAsia="仿宋_GB2312" w:cs="仿宋_GB2312"/>
                <w:b/>
                <w:bCs/>
                <w:sz w:val="28"/>
                <w:szCs w:val="28"/>
                <w:highlight w:val="none"/>
                <w:lang w:val="en-US" w:eastAsia="zh-CN"/>
              </w:rPr>
              <w:t>2、质量目标及完成情况</w:t>
            </w:r>
            <w:r>
              <w:rPr>
                <w:rFonts w:hint="eastAsia" w:ascii="仿宋_GB2312" w:hAnsi="仿宋_GB2312" w:eastAsia="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1）</w:t>
            </w:r>
            <w:r>
              <w:rPr>
                <w:rFonts w:hint="eastAsia" w:ascii="仿宋_GB2312" w:hAnsi="仿宋_GB2312" w:eastAsia="仿宋_GB2312" w:cs="仿宋_GB2312"/>
                <w:i w:val="0"/>
                <w:caps w:val="0"/>
                <w:color w:val="333333"/>
                <w:spacing w:val="0"/>
                <w:sz w:val="28"/>
                <w:szCs w:val="28"/>
                <w:highlight w:val="none"/>
              </w:rPr>
              <w:t>源发性系统性区域性的重大食品药品安全问题</w:t>
            </w:r>
            <w:r>
              <w:rPr>
                <w:rFonts w:hint="eastAsia" w:ascii="仿宋_GB2312" w:hAnsi="仿宋_GB2312" w:eastAsia="仿宋_GB2312" w:cs="仿宋_GB2312"/>
                <w:i w:val="0"/>
                <w:caps w:val="0"/>
                <w:color w:val="333333"/>
                <w:spacing w:val="0"/>
                <w:sz w:val="28"/>
                <w:szCs w:val="28"/>
                <w:highlight w:val="none"/>
                <w:lang w:val="en-US" w:eastAsia="zh-CN"/>
              </w:rPr>
              <w:t>发生率为0</w:t>
            </w: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实际情况未发生。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2）计划</w:t>
            </w:r>
            <w:r>
              <w:rPr>
                <w:rFonts w:hint="eastAsia" w:ascii="仿宋_GB2312" w:hAnsi="仿宋_GB2312" w:eastAsia="仿宋_GB2312" w:cs="仿宋_GB2312"/>
                <w:i w:val="0"/>
                <w:caps w:val="0"/>
                <w:color w:val="333333"/>
                <w:spacing w:val="0"/>
                <w:sz w:val="28"/>
                <w:szCs w:val="28"/>
                <w:highlight w:val="none"/>
              </w:rPr>
              <w:t>群体性的重大食品药品安全事故</w:t>
            </w:r>
            <w:r>
              <w:rPr>
                <w:rFonts w:hint="eastAsia" w:ascii="仿宋_GB2312" w:hAnsi="仿宋_GB2312" w:eastAsia="仿宋_GB2312" w:cs="仿宋_GB2312"/>
                <w:i w:val="0"/>
                <w:caps w:val="0"/>
                <w:color w:val="333333"/>
                <w:spacing w:val="0"/>
                <w:sz w:val="28"/>
                <w:szCs w:val="28"/>
                <w:highlight w:val="none"/>
                <w:lang w:val="en-US" w:eastAsia="zh-CN"/>
              </w:rPr>
              <w:t>发生率为0</w:t>
            </w: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实际情况未发生。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3）计划不发生</w:t>
            </w:r>
            <w:r>
              <w:rPr>
                <w:rFonts w:hint="eastAsia" w:ascii="仿宋_GB2312" w:hAnsi="仿宋_GB2312" w:eastAsia="仿宋_GB2312" w:cs="仿宋_GB2312"/>
                <w:i w:val="0"/>
                <w:caps w:val="0"/>
                <w:color w:val="333333"/>
                <w:spacing w:val="0"/>
                <w:sz w:val="28"/>
                <w:szCs w:val="28"/>
                <w:highlight w:val="none"/>
              </w:rPr>
              <w:t>影响恶劣的重大执法违法违规事件</w:t>
            </w: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实际情况未发生。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val="en-US" w:eastAsia="zh-CN"/>
              </w:rPr>
              <w:t>（4）及时公示抽检结果完成率100%；实际完成情况100%，已达标。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val="en-US" w:eastAsia="zh-CN"/>
              </w:rPr>
              <w:t>（5）工作人员无违规违纪问题。实际情况未发生。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3、项目完成时效：</w:t>
            </w:r>
            <w:r>
              <w:rPr>
                <w:rFonts w:hint="eastAsia" w:ascii="仿宋_GB2312" w:hAnsi="仿宋_GB2312" w:eastAsia="仿宋_GB2312" w:cs="仿宋_GB2312"/>
                <w:b w:val="0"/>
                <w:bCs w:val="0"/>
                <w:sz w:val="28"/>
                <w:szCs w:val="28"/>
                <w:highlight w:val="none"/>
                <w:lang w:val="en-US" w:eastAsia="zh-CN"/>
              </w:rPr>
              <w:t>计划抽样于11月10日前完成，检验于11月30日结束。到11月底平均已完成100%。年度任务与时间进度匹配。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4、项目成本：</w:t>
            </w:r>
            <w:r>
              <w:rPr>
                <w:rFonts w:hint="eastAsia" w:ascii="仿宋_GB2312" w:hAnsi="仿宋_GB2312" w:eastAsia="仿宋_GB2312" w:cs="仿宋_GB2312"/>
                <w:b w:val="0"/>
                <w:bCs w:val="0"/>
                <w:sz w:val="28"/>
                <w:szCs w:val="28"/>
                <w:highlight w:val="none"/>
                <w:lang w:val="en-US" w:eastAsia="zh-CN"/>
              </w:rPr>
              <w:t>食品药品监管专项资金由财政代编预算，共计565万元，至12月底累计到账565万元，累计支出565万元，控制在预算范围之内。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eastAsia="仿宋_GB2312"/>
                <w:b/>
                <w:bCs/>
                <w:sz w:val="30"/>
                <w:szCs w:val="30"/>
              </w:rPr>
            </w:pPr>
            <w:r>
              <w:rPr>
                <w:rFonts w:hint="eastAsia" w:eastAsia="仿宋_GB2312"/>
                <w:b/>
                <w:bCs/>
                <w:sz w:val="30"/>
                <w:szCs w:val="30"/>
              </w:rPr>
              <w:t>（六）主要经验及做法、存在问题和建议</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经验及做法：</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1、精心制订抽检方案。</w:t>
            </w:r>
            <w:r>
              <w:rPr>
                <w:rFonts w:hint="eastAsia" w:ascii="仿宋_GB2312" w:hAnsi="仿宋_GB2312" w:eastAsia="仿宋_GB2312" w:cs="仿宋_GB2312"/>
                <w:b w:val="0"/>
                <w:bCs w:val="0"/>
                <w:sz w:val="28"/>
                <w:szCs w:val="28"/>
                <w:lang w:val="en-US" w:eastAsia="zh-CN"/>
              </w:rPr>
              <w:t>合理制定食品、药品监督抽检方案，突出重点</w:t>
            </w:r>
            <w:r>
              <w:rPr>
                <w:rFonts w:hint="eastAsia" w:ascii="仿宋_GB2312" w:hAnsi="仿宋_GB2312" w:eastAsia="仿宋_GB2312" w:cs="仿宋_GB2312"/>
                <w:sz w:val="28"/>
                <w:szCs w:val="28"/>
                <w:lang w:val="en-US" w:eastAsia="zh-CN"/>
              </w:rPr>
              <w:t>，细化抽样品种、数量、抽样时间、抽样地点等，明确人员和相关科室职责，实行监督抽检进度动态管理。</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2、加强了工作质量考核。</w:t>
            </w:r>
            <w:r>
              <w:rPr>
                <w:rFonts w:hint="eastAsia" w:ascii="仿宋_GB2312" w:hAnsi="仿宋_GB2312" w:eastAsia="仿宋_GB2312" w:cs="仿宋_GB2312"/>
                <w:sz w:val="28"/>
                <w:szCs w:val="28"/>
                <w:lang w:val="en-US" w:eastAsia="zh-CN"/>
              </w:rPr>
              <w:t>考核抽样的覆盖率和抽检计划完成率；检验部考核检验数据正确率和检验报告的及时率；实行工作质量和工作效率考核机制。</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3、提升检测工作能力。</w:t>
            </w:r>
            <w:r>
              <w:rPr>
                <w:rFonts w:hint="eastAsia" w:ascii="仿宋_GB2312" w:hAnsi="仿宋_GB2312" w:eastAsia="仿宋_GB2312" w:cs="仿宋_GB2312"/>
                <w:sz w:val="28"/>
                <w:szCs w:val="28"/>
                <w:lang w:val="en-US" w:eastAsia="zh-CN"/>
              </w:rPr>
              <w:t>二级检验机构积极参加各级能力验证活动，提高检测能力。市食品检验中心积极参加国家、省局专项比对检验。</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4、突出检验结果运用。</w:t>
            </w:r>
            <w:r>
              <w:rPr>
                <w:rFonts w:hint="eastAsia" w:ascii="仿宋_GB2312" w:hAnsi="仿宋_GB2312" w:eastAsia="仿宋_GB2312" w:cs="仿宋_GB2312"/>
                <w:sz w:val="28"/>
                <w:szCs w:val="28"/>
                <w:lang w:val="en-US" w:eastAsia="zh-CN"/>
              </w:rPr>
              <w:t>认真做好监督抽查后处理机执法查处工作，积极开展监督抽查不安全食品信息的通报、公告工作，组织各类食品专项整治，抓好不合格项目的督促整改。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存在的问题：</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lang w:eastAsia="zh-CN"/>
              </w:rPr>
              <w:t>专项经费使用不够细化，绩效跟踪监控及评价不深入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由于</w:t>
            </w:r>
            <w:r>
              <w:rPr>
                <w:rFonts w:hint="eastAsia" w:ascii="仿宋_GB2312" w:hAnsi="仿宋_GB2312" w:eastAsia="仿宋_GB2312" w:cs="仿宋_GB2312"/>
                <w:sz w:val="28"/>
                <w:szCs w:val="28"/>
                <w:lang w:eastAsia="zh-CN"/>
              </w:rPr>
              <w:t>专项涉及的科室多，绩效管理人员没有足够精力参与业务科室专项支出环节，对各业务了解不深入，无法掌握专项资金绩效管理的相关情况，绩效跟踪监控及评价不深入。</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lang w:eastAsia="zh-CN"/>
              </w:rPr>
              <w:t>专项经费的支出未纳入单位预算，资金拨付不够及时。</w:t>
            </w:r>
            <w:r>
              <w:rPr>
                <w:rFonts w:hint="eastAsia" w:ascii="仿宋_GB2312" w:hAnsi="仿宋_GB2312" w:eastAsia="仿宋_GB2312" w:cs="仿宋_GB2312"/>
                <w:sz w:val="28"/>
                <w:szCs w:val="28"/>
                <w:lang w:eastAsia="zh-CN"/>
              </w:rPr>
              <w:t>食品药品安全监管经费一直未纳入单位预算，也未要求上报经费支出明细预算，是由项目单位财务科向财政局申请下拨资金。项目资金分别于年初、年中、年底才拨付到位，资金拨付滞后，对食品药品安全检测工作开展有一定影响。</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建议</w:t>
            </w:r>
            <w:r>
              <w:rPr>
                <w:rFonts w:hint="eastAsia" w:ascii="仿宋_GB2312" w:hAnsi="仿宋_GB2312" w:eastAsia="仿宋_GB2312" w:cs="仿宋_GB2312"/>
                <w:b/>
                <w:bCs/>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加强组织领导</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各单位要有专人负责食品、药品抽检及核查处置工作的协调、信息上报，取保工作的稳定性及积极性</w:t>
            </w:r>
            <w:r>
              <w:rPr>
                <w:rFonts w:hint="eastAsia" w:ascii="仿宋_GB2312" w:hAnsi="仿宋_GB2312" w:eastAsia="仿宋_GB2312" w:cs="仿宋_GB2312"/>
                <w:sz w:val="28"/>
                <w:szCs w:val="28"/>
              </w:rPr>
              <w:t>。</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提高抽检效能。</w:t>
            </w:r>
            <w:r>
              <w:rPr>
                <w:rFonts w:hint="eastAsia" w:ascii="仿宋_GB2312" w:hAnsi="仿宋_GB2312" w:eastAsia="仿宋_GB2312" w:cs="仿宋_GB2312"/>
                <w:b w:val="0"/>
                <w:bCs w:val="0"/>
                <w:sz w:val="28"/>
                <w:szCs w:val="28"/>
                <w:lang w:eastAsia="zh-CN"/>
              </w:rPr>
              <w:t>进一步提高抽检靶向性和命中率，承检机构和抽检人员要加强培训学习，加强自身建设。</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适当增加财政投入</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加强财务核算。食品药品安全监管范围广、任务重、压力大，建议政府逐年增加财政投入，并纳入单位预算，如食品安全专项整治经费、食品药品安全有奖举报奖励资金、执法设备购置费、执法服装购置费等。同时，加强单位专项资金管控，加强内部审计，准确反映项目支出情况，防止挤占、截留、挪用项目资金。</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完善绩效管理相关制度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进一步细化工作任务，完善项目资金分配、使用及管理制度，按照职责分工和工作任务合理分配资金。</w:t>
            </w:r>
          </w:p>
          <w:p>
            <w:pPr>
              <w:spacing w:line="560" w:lineRule="exact"/>
              <w:ind w:firstLine="60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b/>
                <w:bCs/>
                <w:sz w:val="30"/>
                <w:szCs w:val="30"/>
              </w:rPr>
              <w:t>七）附件</w:t>
            </w:r>
          </w:p>
          <w:p>
            <w:pPr>
              <w:rPr>
                <w:rFonts w:eastAsia="楷体_GB2312"/>
                <w:bCs/>
                <w:sz w:val="28"/>
                <w:szCs w:val="28"/>
              </w:rPr>
            </w:pPr>
          </w:p>
        </w:tc>
      </w:tr>
    </w:tbl>
    <w:p>
      <w:pPr>
        <w:rPr>
          <w:rFonts w:ascii="黑体" w:hAnsi="黑体" w:eastAsia="黑体"/>
          <w:sz w:val="32"/>
          <w:szCs w:val="32"/>
        </w:rPr>
      </w:pPr>
    </w:p>
    <w:p>
      <w:pPr>
        <w:spacing w:beforeLines="50"/>
        <w:rPr>
          <w:rFonts w:ascii="仿宋_GB2312" w:hAnsi="宋体" w:eastAsia="仿宋_GB2312" w:cs="宋体"/>
          <w:kern w:val="0"/>
          <w:szCs w:val="21"/>
        </w:rPr>
      </w:pPr>
      <w:r>
        <w:rPr>
          <w:rFonts w:ascii="黑体" w:hAnsi="黑体" w:eastAsia="黑体"/>
          <w:sz w:val="32"/>
          <w:szCs w:val="32"/>
        </w:rPr>
        <w:br w:type="page"/>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both"/>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0.5</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①虚列套取扣4</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 xml:space="preserve">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90%得6分，70%（含）</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80%得4分，60%（含）</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val="0"/>
                <w:bCs w:val="0"/>
                <w:kern w:val="0"/>
                <w:sz w:val="21"/>
                <w:szCs w:val="21"/>
                <w:lang w:val="en-US" w:eastAsia="zh-CN"/>
              </w:rPr>
              <w:t>94.5</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pPr>
      <w:r>
        <w:rPr>
          <w:rFonts w:hint="eastAsia" w:ascii="仿宋_GB2312" w:eastAsia="仿宋_GB2312"/>
        </w:rPr>
        <w:t>善、量化、细化个性指标，形成本项目的指标体系。</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东文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BDE72"/>
    <w:multiLevelType w:val="singleLevel"/>
    <w:tmpl w:val="93FBDE72"/>
    <w:lvl w:ilvl="0" w:tentative="0">
      <w:start w:val="1"/>
      <w:numFmt w:val="decimal"/>
      <w:suff w:val="nothing"/>
      <w:lvlText w:val="（%1）"/>
      <w:lvlJc w:val="left"/>
    </w:lvl>
  </w:abstractNum>
  <w:abstractNum w:abstractNumId="1">
    <w:nsid w:val="D7FFD3F6"/>
    <w:multiLevelType w:val="singleLevel"/>
    <w:tmpl w:val="D7FFD3F6"/>
    <w:lvl w:ilvl="0" w:tentative="0">
      <w:start w:val="5"/>
      <w:numFmt w:val="chineseCounting"/>
      <w:suff w:val="nothing"/>
      <w:lvlText w:val="（%1）"/>
      <w:lvlJc w:val="left"/>
      <w:rPr>
        <w:rFonts w:hint="eastAsia"/>
      </w:rPr>
    </w:lvl>
  </w:abstractNum>
  <w:abstractNum w:abstractNumId="2">
    <w:nsid w:val="DFE368A5"/>
    <w:multiLevelType w:val="singleLevel"/>
    <w:tmpl w:val="DFE368A5"/>
    <w:lvl w:ilvl="0" w:tentative="0">
      <w:start w:val="2"/>
      <w:numFmt w:val="decimal"/>
      <w:suff w:val="nothing"/>
      <w:lvlText w:val="%1、"/>
      <w:lvlJc w:val="left"/>
    </w:lvl>
  </w:abstractNum>
  <w:abstractNum w:abstractNumId="3">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4">
    <w:nsid w:val="66F276B7"/>
    <w:multiLevelType w:val="singleLevel"/>
    <w:tmpl w:val="66F276B7"/>
    <w:lvl w:ilvl="0" w:tentative="0">
      <w:start w:val="1"/>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3"/>
  <w:drawingGridVerticalSpacing w:val="301"/>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23577F"/>
    <w:rsid w:val="07F15B8B"/>
    <w:rsid w:val="08961AD6"/>
    <w:rsid w:val="12F6033D"/>
    <w:rsid w:val="18454F77"/>
    <w:rsid w:val="1CD70024"/>
    <w:rsid w:val="20402446"/>
    <w:rsid w:val="22750ACA"/>
    <w:rsid w:val="246418E1"/>
    <w:rsid w:val="26846C6C"/>
    <w:rsid w:val="2844413B"/>
    <w:rsid w:val="2E3B08BB"/>
    <w:rsid w:val="2F7B6431"/>
    <w:rsid w:val="301703D3"/>
    <w:rsid w:val="30231980"/>
    <w:rsid w:val="30954E45"/>
    <w:rsid w:val="3CD015BD"/>
    <w:rsid w:val="3CE44EC7"/>
    <w:rsid w:val="465C4001"/>
    <w:rsid w:val="674E772D"/>
    <w:rsid w:val="6D7C161C"/>
    <w:rsid w:val="71700357"/>
    <w:rsid w:val="74B77EFC"/>
    <w:rsid w:val="763960C7"/>
    <w:rsid w:val="77E88D9F"/>
    <w:rsid w:val="7D9DC45C"/>
    <w:rsid w:val="7EF9769A"/>
    <w:rsid w:val="7F201A9B"/>
    <w:rsid w:val="7FEE5B4B"/>
    <w:rsid w:val="DF5F2C97"/>
    <w:rsid w:val="EFFFA5A3"/>
    <w:rsid w:val="FB7854B4"/>
    <w:rsid w:val="FBB57909"/>
    <w:rsid w:val="FF1A0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unhideWhenUsed/>
    <w:qFormat/>
    <w:uiPriority w:val="99"/>
    <w:pPr>
      <w:ind w:firstLine="588" w:firstLineChars="200"/>
    </w:pPr>
    <w:rPr>
      <w:rFonts w:ascii="仿宋_GB2312" w:hAnsi="Calibri" w:eastAsia="仿宋_GB2312"/>
      <w:sz w:val="32"/>
    </w:rPr>
  </w:style>
  <w:style w:type="paragraph" w:styleId="3">
    <w:name w:val="Balloon Text"/>
    <w:basedOn w:val="1"/>
    <w:link w:val="18"/>
    <w:semiHidden/>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auto"/>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character" w:customStyle="1" w:styleId="15">
    <w:name w:val="正文文本缩进 2 Char"/>
    <w:basedOn w:val="9"/>
    <w:link w:val="2"/>
    <w:qFormat/>
    <w:uiPriority w:val="99"/>
    <w:rPr>
      <w:rFonts w:ascii="仿宋_GB2312" w:hAnsi="Calibri" w:eastAsia="仿宋_GB2312" w:cs="Times New Roman"/>
      <w:sz w:val="32"/>
      <w:szCs w:val="24"/>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批注框文本 Char"/>
    <w:basedOn w:val="9"/>
    <w:link w:val="3"/>
    <w:semiHidden/>
    <w:qFormat/>
    <w:uiPriority w:val="0"/>
    <w:rPr>
      <w:rFonts w:ascii="Times New Roman" w:hAnsi="Times New Roman" w:eastAsia="宋体" w:cs="Times New Roman"/>
      <w:sz w:val="18"/>
      <w:szCs w:val="18"/>
    </w:rPr>
  </w:style>
  <w:style w:type="character" w:customStyle="1" w:styleId="19">
    <w:name w:val="font01"/>
    <w:basedOn w:val="9"/>
    <w:qFormat/>
    <w:uiPriority w:val="0"/>
    <w:rPr>
      <w:rFonts w:ascii="Arial" w:hAnsi="Arial" w:cs="Arial"/>
      <w:color w:val="000000"/>
      <w:sz w:val="20"/>
      <w:szCs w:val="20"/>
      <w:u w:val="none"/>
    </w:rPr>
  </w:style>
  <w:style w:type="character" w:customStyle="1" w:styleId="20">
    <w:name w:val="font11"/>
    <w:basedOn w:val="9"/>
    <w:qFormat/>
    <w:uiPriority w:val="0"/>
    <w:rPr>
      <w:rFonts w:hint="eastAsia" w:ascii="宋体" w:hAnsi="宋体" w:eastAsia="宋体" w:cs="宋体"/>
      <w:color w:val="000000"/>
      <w:sz w:val="20"/>
      <w:szCs w:val="20"/>
      <w:u w:val="none"/>
    </w:rPr>
  </w:style>
  <w:style w:type="character" w:customStyle="1" w:styleId="21">
    <w:name w:val="font2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60</TotalTime>
  <ScaleCrop>false</ScaleCrop>
  <LinksUpToDate>false</LinksUpToDate>
  <CharactersWithSpaces>10982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2021-06-05T09:03:00Z</dcterms:created>
  <dc:creator>User</dc:creator>
  <cp:lastModifiedBy>瑶瑶</cp:lastModifiedBy>
  <cp:lastPrinted>2021-06-25T15:19:00Z</cp:lastPrinted>
  <dcterms:modified xsi:type="dcterms:W3CDTF">2022-06-09T16:04:51Z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4245C9CD3AE7477A8530E3AC2C29EE50</vt:lpwstr>
  </property>
</Properties>
</file>