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</w:t>
      </w:r>
      <w:r>
        <w:rPr>
          <w:rFonts w:hint="eastAsia" w:eastAsia="仿宋_GB2312"/>
          <w:sz w:val="32"/>
          <w:szCs w:val="32"/>
        </w:rPr>
        <w:sym w:font="Wingdings 2" w:char="0052"/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</w:t>
      </w:r>
      <w:r>
        <w:rPr>
          <w:rFonts w:hint="eastAsia" w:eastAsia="仿宋_GB2312"/>
          <w:sz w:val="32"/>
          <w:u w:val="single"/>
          <w:lang w:eastAsia="zh-CN"/>
        </w:rPr>
        <w:t>质量基础专项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eastAsia="zh-CN"/>
        </w:rPr>
        <w:t>岳阳市市场监督管理局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eastAsia="zh-CN"/>
        </w:rPr>
        <w:t>岳阳市市场监督管理局</w:t>
      </w:r>
      <w:r>
        <w:rPr>
          <w:rFonts w:hint="eastAsia" w:eastAsia="仿宋_GB2312"/>
          <w:sz w:val="32"/>
          <w:u w:val="single"/>
        </w:rPr>
        <w:t xml:space="preserve">    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岳阳市财政局（制）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232"/>
        <w:gridCol w:w="568"/>
        <w:gridCol w:w="414"/>
        <w:gridCol w:w="306"/>
        <w:gridCol w:w="707"/>
        <w:gridCol w:w="640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许平亚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0730-8224907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岳阳市岳阳楼区青年中路</w:t>
            </w:r>
            <w:r>
              <w:rPr>
                <w:rFonts w:hint="eastAsia" w:eastAsia="仿宋_GB2312"/>
                <w:sz w:val="24"/>
                <w:lang w:val="en-US" w:eastAsia="zh-CN"/>
              </w:rPr>
              <w:t>72号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 xml:space="preserve">年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月起至 </w:t>
            </w: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 xml:space="preserve">年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288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288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288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288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288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288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胡絮报质量科印制考核资料开支2013810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5,860.00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32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拨检测中心化粪池产品专项检验费2013810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44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周飚报市长质量奖宣传费开支（岳阳日报）61#2013810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30,000.00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周飚等报差旅费开支2013802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26,523.00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102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拨检测中心计量专项经费2013810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1,620,000.00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95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周志勇报交2021年度省质量协会会费开支2013810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6,000.00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25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拨支队质量执法办案经费2013899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80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彭玲等报差旅费开支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3018.50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记账 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彭玲等报差旅费开支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7552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记账 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彭玲等报差旅费开支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2660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记账 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彭玲等报差旅费开支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2340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记账40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李青松报差旅费开支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4870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记账184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周刚报差旅费开支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3488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记账71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周刚报差旅费开支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1708.5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记账27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钟郁报标准化培训开支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28,427.80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56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拨汩罗市局质量月活动经费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49000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50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周赕报差旅费开支2013804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26,949.50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25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计量科付检测中心50家企业的抽样和检测工作费用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368,400.00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73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计量科付检测中心计量服务中小企业费用开支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200,000.00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74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胡絮报质量科印刷资料开支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14,393.60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78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胡絮报质量监督科2021年度其他工业产品抽检费开支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98,994.00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200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胡絮报质量监督科2021年度汽柴油检测费开支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179,700.00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200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调帐2月44#凭证下拨检测中心化烘池产品专项检验费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记账 219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2880000</w:t>
            </w:r>
          </w:p>
        </w:tc>
        <w:tc>
          <w:tcPr>
            <w:tcW w:w="29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体目标：深入推进质量强市战略，积极探索“一站试”试点服务，着力缺陷消费品召回，全力服务高质量发展，不发生重大的服务质量事件；提升计量技术能力水平，实施“计量服务中小企业行”试点活动；紧盯标准化工作重点，坚持标准高质量发展；完成岳阳自贸片区涉及认证认可的改革任务。</w:t>
            </w:r>
          </w:p>
          <w:p>
            <w:pPr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  <w:lang w:eastAsia="zh-CN"/>
              </w:rPr>
              <w:t>印发了《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  <w:lang w:val="en-US" w:eastAsia="zh-CN"/>
              </w:rPr>
              <w:t>2021年岳阳质量强市工作要点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  <w:lang w:eastAsia="zh-CN"/>
              </w:rPr>
              <w:t>》、《岳阳市十四五质量强市发展规划》引导相关部门开展质量提升行动，在市局门户网站开通了“缺陷产品召回”信息专栏，公布手机缺陷信息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  <w:lang w:val="en-US" w:eastAsia="zh-CN"/>
              </w:rPr>
              <w:t>50多条。2021年全市新增注册二级计量师12名。延续注册一级计量师11名，通过全国专业基数资格考试的一级注册计量师5名，二级计量师8名，围绕高端装备制造、生物医药等支柱产业选取220件中小企业作为服务对象，实施一企一策对口服务。填补了市级标准化奖励政策的空白完成</w:t>
            </w:r>
            <w:r>
              <w:rPr>
                <w:rFonts w:hint="eastAsia" w:eastAsia="仿宋_GB2312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  <w:t>了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完成岳阳自贸片区涉及认证认可的改革任务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2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强制检定工作计量器具的备案及检定数</w:t>
            </w: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30000台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完成45498台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集贸市场衡器数</w:t>
            </w: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2000台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完成3058台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计量标准建标数</w:t>
            </w: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5个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开展市场监管抽查批次</w:t>
            </w: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660批次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完成660批次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抽查产品类别完成数量</w:t>
            </w: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20类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完成20类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完成生产许可证后监督抽查企业数</w:t>
            </w: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36个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完成36个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31"/>
              </w:tabs>
              <w:spacing w:line="36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ab/>
            </w:r>
            <w:r>
              <w:rPr>
                <w:rFonts w:hint="eastAsia" w:eastAsia="仿宋_GB2312"/>
                <w:sz w:val="24"/>
                <w:lang w:eastAsia="zh-CN"/>
              </w:rPr>
              <w:t>开展标准化试点示范项目</w:t>
            </w: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6个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完成9个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检验检测机构双随机监督抽查比例</w:t>
            </w: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10%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完成了10%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特大安全事故发生率</w:t>
            </w: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强制检定率</w:t>
            </w: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=100%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计量标准通过率</w:t>
            </w: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=100%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计划完成时间</w:t>
            </w: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12月10日前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与时间匹配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2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贸易结算公平性持续向好</w:t>
            </w: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97分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赵奇志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副局长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钟辉雄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科长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李岳军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科长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刘文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科长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周志勇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科长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杨震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科长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徐瑶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科长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徐瑶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0730-8224907</w:t>
      </w:r>
    </w:p>
    <w:tbl>
      <w:tblPr>
        <w:tblStyle w:val="7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26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numPr>
                <w:ilvl w:val="0"/>
                <w:numId w:val="2"/>
              </w:numPr>
              <w:spacing w:line="560" w:lineRule="exact"/>
              <w:ind w:firstLine="642" w:firstLineChars="200"/>
              <w:rPr>
                <w:rFonts w:hint="eastAsia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项目基本概况</w:t>
            </w:r>
          </w:p>
          <w:p>
            <w:pPr>
              <w:pStyle w:val="6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ind w:right="0" w:rightChars="0" w:firstLine="642" w:firstLineChars="200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单位基本情况</w:t>
            </w:r>
          </w:p>
          <w:p>
            <w:pPr>
              <w:pStyle w:val="6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ind w:right="0" w:rightChars="0" w:firstLine="560" w:firstLineChars="200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根据编委核定，我局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设置机构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43个，其中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内设机构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个，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副处级综合行政执法支队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1个，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直属事业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个，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直属分局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个。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/>
              <w:ind w:firstLine="57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内设科室分别是办公室、</w:t>
            </w: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综合规划和科技信息化科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政策法规科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信用监督管理科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网络交易监督管理科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广告监督管理科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登记注册科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市场规范管理科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反不正当竞争和反垄断科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价格监督管理科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投诉举报科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质量发展科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产品质量安全监督管理科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食品安全协调科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食品生产安全监督管理科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食品经营安全监督管理科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特殊食品和化妆品安全监督管理科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餐饮食品安全监督管理科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抽检监测管理科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药品生产指导协调科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药品流通监督管理科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医疗器械监督管理科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特种设备安全监察科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计量科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标准化科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认证认可监督管理科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知识产权运用促进科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知识产权保护科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消费者权益保护科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财务和审计科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人事科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</w:p>
          <w:p>
            <w:pPr>
              <w:pStyle w:val="6"/>
              <w:shd w:val="clear" w:color="auto" w:fill="FFFFFF"/>
              <w:spacing w:before="0" w:beforeAutospacing="0" w:after="0" w:afterAutospacing="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机关党委（纪委）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离退休人员管理服务科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/>
              <w:ind w:firstLine="570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副处级综合行政执法支队是岳阳市市场监管综合行政执法支队。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/>
              <w:ind w:firstLine="570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直属事业单位为岳阳市质量计量检验监测中心，岳阳市食品药品审评认证与不良反应监测中心，岳阳市市场监督管理局机关事务管理中心，岳阳市消费者维权服务中心。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573"/>
              <w:textAlignment w:val="auto"/>
              <w:rPr>
                <w:rFonts w:hint="eastAsia" w:ascii="Arial" w:hAnsi="Arial" w:cs="Arial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直属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分别是岳阳市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市场监督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经济技术开发区分局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、岳阳市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市场监督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南湖新区分局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、岳阳市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市场监督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城陵矶新港区分局。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质量基础专项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（以下简称：项目）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主要用于2021年重点工业产品监督抽查，特种设备安全监管、政府质量考核、标准化工作、专项打假及投诉处理、纤维制品质量监督、名牌战略、法人库及条码管理及其他民生领域管理监督。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本项目资金使用单位是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岳阳市市场监督管理局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机关（以下简称：局机关）检测及专项抽查承办机构为岳阳市质量计量检验检测中心（本局二级机构）。</w:t>
            </w:r>
          </w:p>
          <w:p>
            <w:pPr>
              <w:widowControl/>
              <w:shd w:val="clear" w:color="auto" w:fill="FFFFFF"/>
              <w:spacing w:line="560" w:lineRule="exact"/>
              <w:ind w:firstLine="642" w:firstLineChars="200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项目绩效目标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体目标：深入推进质量强市战略，积极探索“一站试”试点服务，着力缺陷消费品召回，全力服务高质量发展，不发生重大的服务质量事件；提升计量技术能力水平，实施“计量服务中小企业行”试点活动；紧盯标准化工作重点，坚持标准高质量发展；完成岳阳自贸片区涉及认证认可的改革任务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ind w:left="0" w:leftChars="0" w:firstLine="560" w:firstLineChars="200"/>
              <w:rPr>
                <w:rFonts w:hint="eastAsia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30"/>
                <w:szCs w:val="30"/>
              </w:rPr>
              <w:t>项目资金使用及管理情况</w:t>
            </w:r>
          </w:p>
          <w:p>
            <w:pPr>
              <w:widowControl/>
              <w:shd w:val="clear" w:color="auto" w:fill="FFFFFF"/>
              <w:spacing w:line="560" w:lineRule="exact"/>
              <w:ind w:firstLine="642" w:firstLineChars="200"/>
              <w:rPr>
                <w:rFonts w:hint="eastAsia" w:ascii="仿宋_GB2312" w:hAnsi="宋体" w:eastAsia="仿宋_GB2312"/>
                <w:b/>
                <w:bCs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1、</w:t>
            </w:r>
            <w:r>
              <w:rPr>
                <w:rFonts w:hint="eastAsia" w:ascii="仿宋_GB2312" w:hAnsi="宋体" w:eastAsia="仿宋_GB2312"/>
                <w:b/>
                <w:bCs/>
                <w:color w:val="333333"/>
                <w:sz w:val="32"/>
                <w:szCs w:val="32"/>
                <w:shd w:val="clear" w:color="auto" w:fill="FFFFFF"/>
                <w:lang w:eastAsia="zh-CN"/>
              </w:rPr>
              <w:t>项目资金到位情况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我局质量基础专项经费纳入部门预算管理，预算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288万元，2021年2月到位288万元。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 w:firstLine="321" w:firstLineChars="1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项目资金使用情况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</w:t>
            </w:r>
          </w:p>
          <w:p>
            <w:pPr>
              <w:widowControl/>
              <w:shd w:val="clear" w:color="auto" w:fill="FFFFFF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2020年质量基础专项收入288万元，均为本级财政资金，专项资金支出288万元，支付率100%。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明细情况如下表（单位：万元）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tbl>
            <w:tblPr>
              <w:tblStyle w:val="8"/>
              <w:tblW w:w="907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5"/>
              <w:gridCol w:w="1709"/>
              <w:gridCol w:w="2901"/>
              <w:gridCol w:w="2049"/>
              <w:gridCol w:w="13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  <w:t>序号</w:t>
                  </w:r>
                </w:p>
              </w:tc>
              <w:tc>
                <w:tcPr>
                  <w:tcW w:w="1709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  <w:t>项目单位</w:t>
                  </w:r>
                </w:p>
              </w:tc>
              <w:tc>
                <w:tcPr>
                  <w:tcW w:w="2901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  <w:t>支出内容</w:t>
                  </w:r>
                </w:p>
              </w:tc>
              <w:tc>
                <w:tcPr>
                  <w:tcW w:w="2049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  <w:t>实际支出</w:t>
                  </w:r>
                </w:p>
              </w:tc>
              <w:tc>
                <w:tcPr>
                  <w:tcW w:w="1350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065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709" w:type="dxa"/>
                  <w:vMerge w:val="restart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</w:pPr>
                </w:p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</w:pPr>
                </w:p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</w:pPr>
                </w:p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  <w:t>局机关</w:t>
                  </w:r>
                </w:p>
              </w:tc>
              <w:tc>
                <w:tcPr>
                  <w:tcW w:w="2901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Calibri" w:hAnsi="Calibri" w:eastAsia="仿宋_GB2312" w:cs="Times New Roman"/>
                      <w:color w:val="auto"/>
                      <w:kern w:val="2"/>
                      <w:sz w:val="28"/>
                      <w:szCs w:val="28"/>
                      <w:highlight w:val="none"/>
                      <w:shd w:val="clear" w:color="auto" w:fill="auto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lang w:val="en-US" w:eastAsia="zh-CN"/>
                    </w:rPr>
                    <w:t>培训费</w:t>
                  </w:r>
                </w:p>
              </w:tc>
              <w:tc>
                <w:tcPr>
                  <w:tcW w:w="2049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default" w:ascii="仿宋_GB2312" w:hAnsi="宋体" w:eastAsia="仿宋_GB2312" w:cs="Times New Roman"/>
                      <w:color w:val="auto"/>
                      <w:kern w:val="2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auto"/>
                      <w:kern w:val="2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 w:bidi="ar-SA"/>
                    </w:rPr>
                    <w:t>2.84</w:t>
                  </w:r>
                </w:p>
              </w:tc>
              <w:tc>
                <w:tcPr>
                  <w:tcW w:w="1350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709" w:type="dxa"/>
                  <w:vMerge w:val="continue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</w:rPr>
                  </w:pPr>
                </w:p>
              </w:tc>
              <w:tc>
                <w:tcPr>
                  <w:tcW w:w="2901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Calibri" w:hAnsi="Calibri" w:eastAsia="仿宋_GB2312" w:cs="Times New Roman"/>
                      <w:color w:val="auto"/>
                      <w:kern w:val="2"/>
                      <w:sz w:val="28"/>
                      <w:szCs w:val="28"/>
                      <w:highlight w:val="none"/>
                      <w:shd w:val="clear" w:color="auto" w:fill="auto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lang w:val="en-US" w:eastAsia="zh-CN"/>
                    </w:rPr>
                    <w:t>办公费</w:t>
                  </w:r>
                </w:p>
              </w:tc>
              <w:tc>
                <w:tcPr>
                  <w:tcW w:w="2049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default" w:ascii="仿宋_GB2312" w:hAnsi="宋体" w:eastAsia="仿宋_GB2312" w:cs="Times New Roman"/>
                      <w:color w:val="auto"/>
                      <w:kern w:val="2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auto"/>
                      <w:kern w:val="2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 w:bidi="ar-SA"/>
                    </w:rPr>
                    <w:t>0.6</w:t>
                  </w:r>
                </w:p>
              </w:tc>
              <w:tc>
                <w:tcPr>
                  <w:tcW w:w="1350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709" w:type="dxa"/>
                  <w:vMerge w:val="continue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</w:rPr>
                  </w:pPr>
                </w:p>
              </w:tc>
              <w:tc>
                <w:tcPr>
                  <w:tcW w:w="2901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Calibri" w:hAnsi="Calibri" w:eastAsia="仿宋_GB2312" w:cs="Times New Roman"/>
                      <w:color w:val="auto"/>
                      <w:kern w:val="2"/>
                      <w:sz w:val="28"/>
                      <w:szCs w:val="28"/>
                      <w:highlight w:val="none"/>
                      <w:shd w:val="clear" w:color="auto" w:fill="auto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lang w:val="en-US" w:eastAsia="zh-CN"/>
                    </w:rPr>
                    <w:t>印刷费</w:t>
                  </w:r>
                </w:p>
              </w:tc>
              <w:tc>
                <w:tcPr>
                  <w:tcW w:w="2049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default" w:ascii="仿宋_GB2312" w:hAnsi="宋体" w:eastAsia="仿宋_GB2312" w:cs="Times New Roman"/>
                      <w:color w:val="auto"/>
                      <w:kern w:val="2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auto"/>
                      <w:kern w:val="2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 w:bidi="ar-SA"/>
                    </w:rPr>
                    <w:t>2.03</w:t>
                  </w:r>
                </w:p>
              </w:tc>
              <w:tc>
                <w:tcPr>
                  <w:tcW w:w="1350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709" w:type="dxa"/>
                  <w:vMerge w:val="continue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</w:rPr>
                  </w:pPr>
                </w:p>
              </w:tc>
              <w:tc>
                <w:tcPr>
                  <w:tcW w:w="2901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Calibri" w:hAnsi="Calibri" w:eastAsia="仿宋_GB2312" w:cs="Times New Roman"/>
                      <w:color w:val="auto"/>
                      <w:kern w:val="2"/>
                      <w:sz w:val="28"/>
                      <w:szCs w:val="28"/>
                      <w:highlight w:val="none"/>
                      <w:shd w:val="clear" w:color="auto" w:fill="auto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lang w:eastAsia="zh-CN"/>
                    </w:rPr>
                    <w:t>差旅费</w:t>
                  </w:r>
                </w:p>
              </w:tc>
              <w:tc>
                <w:tcPr>
                  <w:tcW w:w="2049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default" w:ascii="仿宋_GB2312" w:hAnsi="宋体" w:eastAsia="仿宋_GB2312" w:cs="Times New Roman"/>
                      <w:color w:val="auto"/>
                      <w:kern w:val="2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auto"/>
                      <w:kern w:val="2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 w:bidi="ar-SA"/>
                    </w:rPr>
                    <w:t>7.92</w:t>
                  </w:r>
                </w:p>
              </w:tc>
              <w:tc>
                <w:tcPr>
                  <w:tcW w:w="1350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709" w:type="dxa"/>
                  <w:vMerge w:val="continue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</w:rPr>
                  </w:pPr>
                </w:p>
              </w:tc>
              <w:tc>
                <w:tcPr>
                  <w:tcW w:w="2901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default" w:ascii="Calibri" w:hAnsi="Calibri" w:eastAsia="仿宋_GB2312" w:cs="Times New Roman"/>
                      <w:color w:val="auto"/>
                      <w:kern w:val="2"/>
                      <w:sz w:val="28"/>
                      <w:szCs w:val="28"/>
                      <w:highlight w:val="none"/>
                      <w:shd w:val="clear" w:color="auto" w:fill="auto"/>
                      <w:lang w:val="en-US" w:eastAsia="zh-CN" w:bidi="ar-SA"/>
                    </w:rPr>
                  </w:pPr>
                  <w:r>
                    <w:rPr>
                      <w:rFonts w:hint="eastAsia" w:ascii="Calibri" w:hAnsi="Calibri" w:eastAsia="仿宋_GB2312" w:cs="Times New Roman"/>
                      <w:color w:val="auto"/>
                      <w:kern w:val="2"/>
                      <w:sz w:val="28"/>
                      <w:szCs w:val="28"/>
                      <w:highlight w:val="none"/>
                      <w:shd w:val="clear" w:color="auto" w:fill="auto"/>
                      <w:lang w:val="en-US" w:eastAsia="zh-CN" w:bidi="ar-SA"/>
                    </w:rPr>
                    <w:t>检测费</w:t>
                  </w:r>
                </w:p>
              </w:tc>
              <w:tc>
                <w:tcPr>
                  <w:tcW w:w="2049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default" w:ascii="Calibri" w:hAnsi="Calibri" w:eastAsia="仿宋_GB2312" w:cs="Times New Roman"/>
                      <w:color w:val="auto"/>
                      <w:kern w:val="2"/>
                      <w:sz w:val="28"/>
                      <w:szCs w:val="28"/>
                      <w:highlight w:val="none"/>
                      <w:shd w:val="clear" w:color="auto" w:fill="auto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4"/>
                      <w:szCs w:val="24"/>
                      <w:highlight w:val="none"/>
                      <w:shd w:val="clear" w:color="auto" w:fill="auto"/>
                      <w:lang w:val="en-US" w:eastAsia="zh-CN" w:bidi="ar-SA"/>
                    </w:rPr>
                    <w:t>266.71</w:t>
                  </w:r>
                </w:p>
              </w:tc>
              <w:tc>
                <w:tcPr>
                  <w:tcW w:w="1350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default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709" w:type="dxa"/>
                  <w:vMerge w:val="continue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901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  <w:t>宣传费</w:t>
                  </w:r>
                </w:p>
              </w:tc>
              <w:tc>
                <w:tcPr>
                  <w:tcW w:w="2049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default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  <w:t>7.9</w:t>
                  </w:r>
                </w:p>
              </w:tc>
              <w:tc>
                <w:tcPr>
                  <w:tcW w:w="1350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default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709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eastAsia="zh-CN"/>
                    </w:rPr>
                    <w:t>合计</w:t>
                  </w:r>
                </w:p>
              </w:tc>
              <w:tc>
                <w:tcPr>
                  <w:tcW w:w="2901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</w:rPr>
                  </w:pPr>
                </w:p>
              </w:tc>
              <w:tc>
                <w:tcPr>
                  <w:tcW w:w="2049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default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  <w:lang w:val="en-US" w:eastAsia="zh-CN"/>
                    </w:rPr>
                    <w:t>288</w:t>
                  </w:r>
                </w:p>
              </w:tc>
              <w:tc>
                <w:tcPr>
                  <w:tcW w:w="1350" w:type="dxa"/>
                  <w:noWrap w:val="0"/>
                  <w:vAlign w:val="top"/>
                </w:tcPr>
                <w:p>
                  <w:pPr>
                    <w:widowControl/>
                    <w:spacing w:line="560" w:lineRule="exact"/>
                    <w:rPr>
                      <w:rFonts w:hint="eastAsia" w:ascii="仿宋_GB2312" w:hAnsi="宋体" w:eastAsia="仿宋_GB2312"/>
                      <w:color w:val="auto"/>
                      <w:sz w:val="28"/>
                      <w:szCs w:val="28"/>
                      <w:highlight w:val="none"/>
                      <w:shd w:val="clear" w:color="auto" w:fill="auto"/>
                      <w:vertAlign w:val="baseline"/>
                    </w:rPr>
                  </w:pPr>
                </w:p>
              </w:tc>
            </w:tr>
          </w:tbl>
          <w:p>
            <w:pPr>
              <w:widowControl/>
              <w:shd w:val="clear" w:color="auto" w:fill="FFFFFF"/>
              <w:spacing w:line="560" w:lineRule="exact"/>
              <w:ind w:firstLine="560" w:firstLineChars="200"/>
              <w:rPr>
                <w:rFonts w:hint="eastAsia" w:ascii="仿宋_GB2312" w:hAnsi="宋体" w:eastAsia="仿宋_GB2312"/>
                <w:b/>
                <w:bCs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3、</w:t>
            </w:r>
            <w:r>
              <w:rPr>
                <w:rFonts w:hint="eastAsia" w:ascii="仿宋_GB2312" w:hAnsi="宋体" w:eastAsia="仿宋_GB2312"/>
                <w:b/>
                <w:bCs/>
                <w:color w:val="333333"/>
                <w:sz w:val="32"/>
                <w:szCs w:val="32"/>
                <w:shd w:val="clear" w:color="auto" w:fill="FFFFFF"/>
                <w:lang w:eastAsia="zh-CN"/>
              </w:rPr>
              <w:t>项目</w:t>
            </w:r>
            <w:r>
              <w:rPr>
                <w:rFonts w:hint="eastAsia" w:ascii="仿宋_GB2312" w:hAnsi="宋体" w:eastAsia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资金</w:t>
            </w:r>
            <w:r>
              <w:rPr>
                <w:rFonts w:hint="eastAsia" w:ascii="仿宋_GB2312" w:hAnsi="宋体" w:eastAsia="仿宋_GB2312"/>
                <w:b/>
                <w:bCs/>
                <w:color w:val="333333"/>
                <w:sz w:val="32"/>
                <w:szCs w:val="32"/>
                <w:shd w:val="clear" w:color="auto" w:fill="FFFFFF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市场监督管理局项目资金管理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执行《湖南省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市场监督管理局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专项资金管理办法》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专项资金的管理和使用符合财政预算管理的有关规定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做到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专款专用，专题研究，一事一议，集体采购，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遵循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统筹兼顾、突出重点、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踪问效的原则。专项资金使用流程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审批程序：使用单位提出申请 → 分管业务局领导审核 → 分管财务局领导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→ 局长批准。审批要求：使用单位应提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项目资金申请报告，填写《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岳阳市市场监督管理局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专项资金使用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单》。财务科对报告进行编号登记管理，对报账票据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等相关材料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审核把关。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281" w:firstLineChars="100"/>
              <w:rPr>
                <w:rFonts w:hint="eastAsia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eastAsia="仿宋_GB2312"/>
                <w:b/>
                <w:bCs/>
                <w:sz w:val="30"/>
                <w:szCs w:val="30"/>
              </w:rPr>
              <w:t>项目组织实施情况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1、制订考核指标，明确资金投向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。根据以前年度计划完成情况，结合本年度实际，在编制年度预算时设定好绩效目标指标值，明确本年度项目资金投向，指导项目实施。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2、明确政府购买服务范围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。根据岳阳市质量计量检验检测中心的检验能力，根据相关科室审定的检测计划，核拨政府购买服务资金。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3、进行了职责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。计量科、产品质量安全监督管理科组织实施强制检定、产品质量抽检计划，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定期公布抽检结果及相关信息。督促指导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工业产品的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 查、处置、召回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、查处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质量发展科、标准化科、认证认可监督管理科对各自监管领域实施监管，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财务和审计科负责向市财政局申请资金，结合年度绩效任务核拨资金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组织实施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。按相关文件要求，由市市场监管局组织实施。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考核检验检测部门检验数据正确率和检验报告的及时率；实行工作质量和工作效率考核机制。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eastAsia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sz w:val="30"/>
                <w:szCs w:val="30"/>
                <w:lang w:eastAsia="zh-CN"/>
              </w:rPr>
              <w:t>（四）</w:t>
            </w:r>
            <w:r>
              <w:rPr>
                <w:rFonts w:hint="eastAsia" w:eastAsia="仿宋_GB2312"/>
                <w:b/>
                <w:bCs/>
                <w:sz w:val="30"/>
                <w:szCs w:val="30"/>
              </w:rPr>
              <w:t>综合评价情况及评价结论</w:t>
            </w:r>
          </w:p>
          <w:p>
            <w:pPr>
              <w:spacing w:line="6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质量基础专项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资金使用符合中央、省、市文件要求，符合我市经济发展的需要。财政资金的投入，增强了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我市市场监督管理的力度，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为我市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新增长极建设创造了更加良好的市场环境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绩效评价自评小组根据《岳阳市项目支出绩效评价指标体系》方案，自评得分9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分，考评结果为优秀。（详见附表1绩效评价自评表）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（五）</w:t>
            </w:r>
            <w:r>
              <w:rPr>
                <w:rFonts w:hint="eastAsia" w:eastAsia="仿宋_GB2312"/>
                <w:sz w:val="30"/>
                <w:szCs w:val="30"/>
              </w:rPr>
              <w:t>项目主要绩效情况分析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1、量化目标及完成情况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（1）计划强制检定工作计量器具的备案及检定数30000台次，实际完成检定45498台次，完成率151.66%；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（2）计划集贸市场衡器检定2000台次，实际完成检定3058台次,完成率152.90%；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（3）计划计量标准建标数5个。实际完成5个,完成率100%；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（4）开展市场监管抽检批次660批次，实际完成660批次，完成率100%；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（5）抽查产品类别完成数量计划20类，实际完成20类，完成率100%；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（6）完成生产许可证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后监督抽查企业数量36个，实际完成36个，完成率100%；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质量目标及完成情况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（1）特大安全事故发生率为0，实际情况未发生。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（2）强制检定率100%，实际完成100%，已达标。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（3）计量标准通过率100%，实际完成100%，已达标。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（4）不合格企业后处理工作完成率100%，实际完成100%，已达标。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3、项目完成时效：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计划抽及检定样于12月10日前完成，检验于11月30日结束。到11月底已完成100%，年度任务与时间进度匹配。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（4）项目成本：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质量基础专项资金288万元纳入单位预算管理，至12月底累计到账288万元，累计支出288万元，控制在预算范围之内。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301" w:firstLineChars="100"/>
              <w:rPr>
                <w:rFonts w:hint="eastAsia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sz w:val="30"/>
                <w:szCs w:val="30"/>
              </w:rPr>
              <w:t>（六）主要经验及做法、存在问题和建议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经验及做法：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合理编制绩效目标考核指标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。预算编制时，根据各科室年度工作目标，合理编制专项资金绩效考核指标，并实施跟踪监控，将计划完成情况作为核定下一个年度资金分配的重要依据。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2、突出质量抽检检验的结果运用。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认真做好监督抽查后处理及执法查处工作，积极开展监督抽查重点工业品及其他产品的通报、公告工作，组织各类工业产品专项整治，抓好不合格项目的督促整改。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存在的问题：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现有能力不足。主要是强制检定的燃气表、电能表、加气机、压力仪表、出租车计价器等检测项目数量太多，仅检验中心无法完成全市的检验检测。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人力资源短缺。市、县级法定计量检定机构人员老化、编制不足以及岗位变动频繁、能力水平不高等问题普遍存在。集贸市场计价秤、眼睛制配场所验光仪器等量大面广，因缺人才难以按时完成100%的强检任务。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建议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适当增加财政投入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强制检定、产品质量抽检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范围广、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类目多、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任务重，建议政府逐年增加财政投入，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及时更新检验设备，加强人员培训，以适应不断更新的检验能力的需要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完善绩效管理相关制度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进一步细化工作任务，完善项目资金分配、使用及管理制度，按照职责分工和工作任务合理分配资金。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</w:t>
            </w:r>
            <w:r>
              <w:rPr>
                <w:rFonts w:hint="eastAsia" w:eastAsia="仿宋_GB2312"/>
                <w:b/>
                <w:bCs/>
                <w:sz w:val="30"/>
                <w:szCs w:val="30"/>
              </w:rPr>
              <w:t>）附件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spacing w:beforeLines="50"/>
        <w:rPr>
          <w:rFonts w:ascii="仿宋_GB2312" w:hAnsi="宋体" w:eastAsia="仿宋_GB2312" w:cs="宋体"/>
          <w:kern w:val="0"/>
          <w:szCs w:val="21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spacing w:beforeLines="5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97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096E9"/>
    <w:multiLevelType w:val="singleLevel"/>
    <w:tmpl w:val="84D096E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9227B8"/>
    <w:multiLevelType w:val="singleLevel"/>
    <w:tmpl w:val="CF9227B8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DFE368A5"/>
    <w:multiLevelType w:val="singleLevel"/>
    <w:tmpl w:val="DFE368A5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0EEEF8FB"/>
    <w:multiLevelType w:val="singleLevel"/>
    <w:tmpl w:val="0EEEF8F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6F276B7"/>
    <w:multiLevelType w:val="singleLevel"/>
    <w:tmpl w:val="66F276B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2CDFED2D"/>
    <w:rsid w:val="301703D3"/>
    <w:rsid w:val="358ED5F7"/>
    <w:rsid w:val="46367457"/>
    <w:rsid w:val="4E6B464C"/>
    <w:rsid w:val="5C92280B"/>
    <w:rsid w:val="5DEB4561"/>
    <w:rsid w:val="6B8D35F0"/>
    <w:rsid w:val="74B77EFC"/>
    <w:rsid w:val="77F9336E"/>
    <w:rsid w:val="7F7F9C41"/>
    <w:rsid w:val="BBC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5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auto"/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sz w:val="18"/>
      <w:szCs w:val="18"/>
    </w:rPr>
  </w:style>
  <w:style w:type="character" w:customStyle="1" w:styleId="13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5">
    <w:name w:val="正文文本缩进 2 Char"/>
    <w:basedOn w:val="9"/>
    <w:link w:val="2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6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7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8">
    <w:name w:val="批注框文本 Char"/>
    <w:basedOn w:val="9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23</Pages>
  <Words>1642</Words>
  <Characters>9361</Characters>
  <Lines>78</Lines>
  <Paragraphs>21</Paragraphs>
  <TotalTime>2</TotalTime>
  <ScaleCrop>false</ScaleCrop>
  <LinksUpToDate>false</LinksUpToDate>
  <CharactersWithSpaces>10982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2021-06-03T09:03:00Z</dcterms:created>
  <dc:creator>User</dc:creator>
  <cp:lastModifiedBy>瑶瑶</cp:lastModifiedBy>
  <cp:lastPrinted>2021-06-11T16:20:00Z</cp:lastPrinted>
  <dcterms:modified xsi:type="dcterms:W3CDTF">2022-06-15T15:59:45Z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