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驻点招商经费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27</w:t>
      </w:r>
      <w:bookmarkStart w:id="0" w:name="_GoBack"/>
      <w:bookmarkEnd w:id="0"/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4"/>
        <w:gridCol w:w="720"/>
        <w:gridCol w:w="71"/>
        <w:gridCol w:w="1144"/>
        <w:gridCol w:w="191"/>
        <w:gridCol w:w="819"/>
        <w:gridCol w:w="178"/>
        <w:gridCol w:w="1287"/>
        <w:gridCol w:w="366"/>
        <w:gridCol w:w="380"/>
        <w:gridCol w:w="826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14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40.18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40.18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差旅费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公务接待费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会议费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其他商品和服务支出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物业管理费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租赁费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项目产出指标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引进固定资产投资500万元以上、注册资本500万元以上的项目不少于1个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对引进项目建设情况定期调度，确保进度，按时报送数据，确保新开工项目5个，新竣工项目5个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引后的企业入区率100%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及时报送工作报告、重大事项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按财政预算实施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每年引进固定资产投资500万元以上、注册资本500万元以上的项目不少于1个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提升新港区在500强企业中的知名度影响力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投资企业环保达标率100%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刘倩云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77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据《中共中央国务院关于全面实施预算绩效管理的意见》要求，现对我单位驻点招商经费资金支出使用管理的绩效情况，开展了绩效自评工作，现将情况汇报如下：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1、项目资金到位情况。截止2021年12月31日，我单位收到财政拨入驻点招商经费60万元。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2、项目资金实际使用情况分析。我单位2021年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驻点招商经费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实际支出40.18万元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891" w:firstLineChars="3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zk0Mzg2ZmIyNjJhYTA0MjM0N2FmNzg0NTY3NmQifQ=="/>
  </w:docVars>
  <w:rsids>
    <w:rsidRoot w:val="0D8E66ED"/>
    <w:rsid w:val="001C5989"/>
    <w:rsid w:val="017A5EF0"/>
    <w:rsid w:val="01DC3277"/>
    <w:rsid w:val="0284720D"/>
    <w:rsid w:val="02E04D7E"/>
    <w:rsid w:val="03A742FC"/>
    <w:rsid w:val="06285FC9"/>
    <w:rsid w:val="06F16C00"/>
    <w:rsid w:val="07E964EF"/>
    <w:rsid w:val="08960C42"/>
    <w:rsid w:val="0A82011E"/>
    <w:rsid w:val="0AA50272"/>
    <w:rsid w:val="0B8210A0"/>
    <w:rsid w:val="0D8E66ED"/>
    <w:rsid w:val="0F7D06F6"/>
    <w:rsid w:val="0FAB490E"/>
    <w:rsid w:val="1220238E"/>
    <w:rsid w:val="12364C36"/>
    <w:rsid w:val="124D7D31"/>
    <w:rsid w:val="12D24479"/>
    <w:rsid w:val="156C3923"/>
    <w:rsid w:val="15D5168F"/>
    <w:rsid w:val="16F041E6"/>
    <w:rsid w:val="18487F66"/>
    <w:rsid w:val="18933DE3"/>
    <w:rsid w:val="18BF6B43"/>
    <w:rsid w:val="18D906B6"/>
    <w:rsid w:val="194D7851"/>
    <w:rsid w:val="1A162C57"/>
    <w:rsid w:val="1AF316AE"/>
    <w:rsid w:val="1CD8691D"/>
    <w:rsid w:val="1D2E09A3"/>
    <w:rsid w:val="1D57292E"/>
    <w:rsid w:val="1D940EAF"/>
    <w:rsid w:val="1DB767CD"/>
    <w:rsid w:val="1F212BA8"/>
    <w:rsid w:val="209169AC"/>
    <w:rsid w:val="21D3341E"/>
    <w:rsid w:val="22B17F28"/>
    <w:rsid w:val="254A24D7"/>
    <w:rsid w:val="26833E1A"/>
    <w:rsid w:val="26CB0C69"/>
    <w:rsid w:val="287B2B6B"/>
    <w:rsid w:val="2A3F1843"/>
    <w:rsid w:val="2ABA4949"/>
    <w:rsid w:val="2C035057"/>
    <w:rsid w:val="2C1A2AA3"/>
    <w:rsid w:val="2DD418A0"/>
    <w:rsid w:val="30B973ED"/>
    <w:rsid w:val="31731CD0"/>
    <w:rsid w:val="31A96801"/>
    <w:rsid w:val="32B0724F"/>
    <w:rsid w:val="333202BC"/>
    <w:rsid w:val="3588516C"/>
    <w:rsid w:val="36093EED"/>
    <w:rsid w:val="379A3058"/>
    <w:rsid w:val="383A5645"/>
    <w:rsid w:val="38A533AF"/>
    <w:rsid w:val="39F262B7"/>
    <w:rsid w:val="3A76445D"/>
    <w:rsid w:val="3AE61C4B"/>
    <w:rsid w:val="3B416548"/>
    <w:rsid w:val="3BDF682E"/>
    <w:rsid w:val="3DD218FB"/>
    <w:rsid w:val="3F0D190C"/>
    <w:rsid w:val="3FCB30DE"/>
    <w:rsid w:val="40C725C8"/>
    <w:rsid w:val="41D9274B"/>
    <w:rsid w:val="42267583"/>
    <w:rsid w:val="423E5018"/>
    <w:rsid w:val="438C3464"/>
    <w:rsid w:val="459F7DA8"/>
    <w:rsid w:val="46781857"/>
    <w:rsid w:val="472459A9"/>
    <w:rsid w:val="472C1271"/>
    <w:rsid w:val="491055EA"/>
    <w:rsid w:val="4BA73E76"/>
    <w:rsid w:val="4BB33236"/>
    <w:rsid w:val="4E123E12"/>
    <w:rsid w:val="4ED86A7F"/>
    <w:rsid w:val="4F463F67"/>
    <w:rsid w:val="50007C6A"/>
    <w:rsid w:val="506A561B"/>
    <w:rsid w:val="53CD2C88"/>
    <w:rsid w:val="54C072C1"/>
    <w:rsid w:val="575111CE"/>
    <w:rsid w:val="57730412"/>
    <w:rsid w:val="59483E65"/>
    <w:rsid w:val="595039E2"/>
    <w:rsid w:val="5B831654"/>
    <w:rsid w:val="5BE95691"/>
    <w:rsid w:val="5D8B7B64"/>
    <w:rsid w:val="5FE820CC"/>
    <w:rsid w:val="61477AF4"/>
    <w:rsid w:val="61F5280C"/>
    <w:rsid w:val="648E0CC1"/>
    <w:rsid w:val="65885042"/>
    <w:rsid w:val="65982132"/>
    <w:rsid w:val="662D0E08"/>
    <w:rsid w:val="67E57E69"/>
    <w:rsid w:val="68F14305"/>
    <w:rsid w:val="6AFC7876"/>
    <w:rsid w:val="6B085C5E"/>
    <w:rsid w:val="6B696FE6"/>
    <w:rsid w:val="6B955CEF"/>
    <w:rsid w:val="6BF92266"/>
    <w:rsid w:val="6DA77E9C"/>
    <w:rsid w:val="6EA377E8"/>
    <w:rsid w:val="6F50769C"/>
    <w:rsid w:val="70AB0661"/>
    <w:rsid w:val="70AC59D4"/>
    <w:rsid w:val="70FC40A8"/>
    <w:rsid w:val="714B0BE4"/>
    <w:rsid w:val="73C30FF4"/>
    <w:rsid w:val="73E84A25"/>
    <w:rsid w:val="74924E5D"/>
    <w:rsid w:val="74ED19CF"/>
    <w:rsid w:val="750C2746"/>
    <w:rsid w:val="75A8130B"/>
    <w:rsid w:val="75BB4D7F"/>
    <w:rsid w:val="789C2023"/>
    <w:rsid w:val="791945D0"/>
    <w:rsid w:val="791C0F2F"/>
    <w:rsid w:val="796707D9"/>
    <w:rsid w:val="7A175CEB"/>
    <w:rsid w:val="7A9614A3"/>
    <w:rsid w:val="7AC836A2"/>
    <w:rsid w:val="7BD96277"/>
    <w:rsid w:val="7DCC75EF"/>
    <w:rsid w:val="7F462CD6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3696</Words>
  <Characters>3872</Characters>
  <Lines>0</Lines>
  <Paragraphs>0</Paragraphs>
  <TotalTime>8</TotalTime>
  <ScaleCrop>false</ScaleCrop>
  <LinksUpToDate>false</LinksUpToDate>
  <CharactersWithSpaces>4467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cp:lastPrinted>2022-06-27T09:35:18Z</cp:lastPrinted>
  <dcterms:modified xsi:type="dcterms:W3CDTF">2022-06-27T09:35:54Z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17FF4770E7FE47928A718D4C552970E0</vt:lpwstr>
  </property>
</Properties>
</file>