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ascii="黑体" w:hAnsi="黑体" w:eastAsia="黑体" w:cs="黑体"/>
          <w:bCs/>
          <w:sz w:val="32"/>
          <w:szCs w:val="32"/>
        </w:rPr>
        <w:t>2-2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湖南城陵矶新港区财政支出</w:t>
      </w:r>
    </w:p>
    <w:p>
      <w:pPr>
        <w:jc w:val="center"/>
        <w:rPr>
          <w:rFonts w:eastAsia="方正小标宋简体"/>
          <w:bCs/>
          <w:sz w:val="52"/>
          <w:szCs w:val="5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绩效评价自评报告</w:t>
      </w: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评价类型：项目实施过程评价□　项目完成结果评价□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项目名称：</w:t>
      </w:r>
      <w:r>
        <w:rPr>
          <w:rFonts w:ascii="仿宋_GB2312" w:eastAsia="仿宋_GB2312"/>
          <w:sz w:val="36"/>
          <w:szCs w:val="36"/>
          <w:u w:val="single"/>
        </w:rPr>
        <w:t xml:space="preserve">          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疫情防控工作经费</w:t>
      </w:r>
      <w:r>
        <w:rPr>
          <w:rFonts w:ascii="仿宋_GB2312" w:eastAsia="仿宋_GB2312"/>
          <w:sz w:val="36"/>
          <w:szCs w:val="36"/>
          <w:u w:val="single"/>
        </w:rPr>
        <w:t xml:space="preserve">            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项目单位：</w:t>
      </w:r>
      <w:r>
        <w:rPr>
          <w:rFonts w:hint="eastAsia" w:ascii="仿宋_GB2312" w:eastAsia="仿宋_GB2312"/>
          <w:sz w:val="36"/>
          <w:szCs w:val="36"/>
          <w:u w:val="single"/>
        </w:rPr>
        <w:t>湖南城陵矶新港区管理委员会</w:t>
      </w:r>
      <w:r>
        <w:rPr>
          <w:rFonts w:hint="eastAsia" w:ascii="仿宋_GB2312" w:eastAsia="仿宋_GB2312"/>
          <w:sz w:val="36"/>
          <w:szCs w:val="36"/>
          <w:u w:val="single"/>
          <w:lang w:val="en-US" w:eastAsia="zh-CN"/>
        </w:rPr>
        <w:t>社会发展</w:t>
      </w:r>
      <w:r>
        <w:rPr>
          <w:rFonts w:hint="eastAsia" w:ascii="仿宋_GB2312" w:eastAsia="仿宋_GB2312"/>
          <w:sz w:val="36"/>
          <w:szCs w:val="36"/>
          <w:u w:val="single"/>
        </w:rPr>
        <w:t>部</w:t>
      </w:r>
      <w:r>
        <w:rPr>
          <w:rFonts w:ascii="仿宋_GB2312" w:eastAsia="仿宋_GB2312"/>
          <w:sz w:val="36"/>
          <w:szCs w:val="36"/>
          <w:u w:val="single"/>
        </w:rPr>
        <w:t xml:space="preserve">   </w:t>
      </w:r>
    </w:p>
    <w:p>
      <w:pPr>
        <w:rPr>
          <w:rFonts w:ascii="仿宋_GB2312" w:eastAsia="仿宋_GB2312"/>
          <w:sz w:val="36"/>
          <w:szCs w:val="36"/>
          <w:u w:val="single"/>
        </w:rPr>
      </w:pPr>
      <w:r>
        <w:rPr>
          <w:rFonts w:hint="eastAsia" w:ascii="仿宋_GB2312" w:eastAsia="仿宋_GB2312"/>
          <w:sz w:val="36"/>
          <w:szCs w:val="36"/>
        </w:rPr>
        <w:t>主管部门：</w:t>
      </w:r>
      <w:r>
        <w:rPr>
          <w:rFonts w:ascii="仿宋_GB2312" w:eastAsia="仿宋_GB2312"/>
          <w:sz w:val="36"/>
          <w:szCs w:val="36"/>
          <w:u w:val="single"/>
        </w:rPr>
        <w:t xml:space="preserve">                                       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评价方式：部门（单位）绩效自评</w:t>
      </w:r>
    </w:p>
    <w:p>
      <w:pPr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评价机构：部门（单位）评价组</w:t>
      </w: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</w:p>
    <w:p>
      <w:pPr>
        <w:jc w:val="center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报告日期：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2022</w:t>
      </w:r>
      <w:r>
        <w:rPr>
          <w:rFonts w:hint="eastAsia" w:ascii="仿宋_GB2312" w:eastAsia="仿宋_GB2312"/>
          <w:sz w:val="36"/>
          <w:szCs w:val="36"/>
        </w:rPr>
        <w:t>年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8</w:t>
      </w:r>
      <w:r>
        <w:rPr>
          <w:rFonts w:hint="eastAsia" w:ascii="仿宋_GB2312" w:eastAsia="仿宋_GB2312"/>
          <w:sz w:val="36"/>
          <w:szCs w:val="36"/>
        </w:rPr>
        <w:t>月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19</w:t>
      </w:r>
      <w:r>
        <w:rPr>
          <w:rFonts w:ascii="仿宋_GB2312" w:eastAsia="仿宋_GB2312"/>
          <w:sz w:val="36"/>
          <w:szCs w:val="36"/>
        </w:rPr>
        <w:t xml:space="preserve"> </w:t>
      </w:r>
      <w:r>
        <w:rPr>
          <w:rFonts w:hint="eastAsia" w:ascii="仿宋_GB2312" w:eastAsia="仿宋_GB2312"/>
          <w:sz w:val="36"/>
          <w:szCs w:val="36"/>
        </w:rPr>
        <w:t>日</w:t>
      </w:r>
    </w:p>
    <w:tbl>
      <w:tblPr>
        <w:tblStyle w:val="6"/>
        <w:tblW w:w="9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56"/>
        <w:gridCol w:w="32"/>
        <w:gridCol w:w="693"/>
        <w:gridCol w:w="25"/>
        <w:gridCol w:w="1410"/>
        <w:gridCol w:w="360"/>
        <w:gridCol w:w="756"/>
        <w:gridCol w:w="757"/>
        <w:gridCol w:w="567"/>
        <w:gridCol w:w="513"/>
        <w:gridCol w:w="857"/>
        <w:gridCol w:w="1483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一、项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目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基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本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概</w:t>
            </w:r>
            <w:r>
              <w:rPr>
                <w:rFonts w:ascii="黑体" w:hAnsi="黑体" w:eastAsia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项目负责人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范晓峰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联系电话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8422207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项目地址</w:t>
            </w:r>
          </w:p>
        </w:tc>
        <w:tc>
          <w:tcPr>
            <w:tcW w:w="248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新港区通关服务中心</w:t>
            </w:r>
          </w:p>
        </w:tc>
        <w:tc>
          <w:tcPr>
            <w:tcW w:w="2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编</w:t>
            </w:r>
          </w:p>
        </w:tc>
        <w:tc>
          <w:tcPr>
            <w:tcW w:w="357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414000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项目起止时间</w:t>
            </w:r>
          </w:p>
        </w:tc>
        <w:tc>
          <w:tcPr>
            <w:tcW w:w="8141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ind w:firstLine="1190" w:firstLineChars="496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1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月起至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2021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>12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计划安排资金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实际到位资金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</w:t>
            </w: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结余</w:t>
            </w:r>
          </w:p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（万元）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4"/>
                <w:sz w:val="24"/>
                <w:szCs w:val="24"/>
              </w:rPr>
              <w:t>其中：中央财政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6"/>
                <w:sz w:val="24"/>
                <w:szCs w:val="24"/>
              </w:rPr>
              <w:t>其中：中央财政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省财政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市财政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县市区财政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/>
                <w:bCs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5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18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56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857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3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其它</w:t>
            </w:r>
          </w:p>
        </w:tc>
        <w:tc>
          <w:tcPr>
            <w:tcW w:w="72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支出内容</w:t>
            </w:r>
          </w:p>
        </w:tc>
        <w:tc>
          <w:tcPr>
            <w:tcW w:w="177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实际支出数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会计凭证号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疫情防控工作经费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2-33#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4-6#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5-2#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6-1#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7-3#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19#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46#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8-1#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14#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15#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29#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9-8#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16#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17#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26#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10-4#</w:t>
            </w:r>
            <w:r>
              <w:rPr>
                <w:rFonts w:hint="eastAsia" w:eastAsia="仿宋_GB2312"/>
                <w:sz w:val="24"/>
              </w:rPr>
              <w:t>、</w:t>
            </w:r>
            <w:r>
              <w:rPr>
                <w:rFonts w:eastAsia="仿宋_GB2312"/>
                <w:sz w:val="24"/>
              </w:rPr>
              <w:t>7#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疫情防控工作经费</w:t>
            </w:r>
          </w:p>
        </w:tc>
        <w:tc>
          <w:tcPr>
            <w:tcW w:w="1770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70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11-8#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13#</w:t>
            </w:r>
            <w:r>
              <w:rPr>
                <w:rFonts w:hint="eastAsia" w:ascii="仿宋_GB2312" w:eastAsia="仿宋_GB2312"/>
                <w:sz w:val="24"/>
              </w:rPr>
              <w:t>、</w:t>
            </w:r>
            <w:r>
              <w:rPr>
                <w:rFonts w:ascii="仿宋_GB2312" w:eastAsia="仿宋_GB2312"/>
                <w:sz w:val="24"/>
              </w:rPr>
              <w:t>20#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48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支出合计：</w:t>
            </w:r>
          </w:p>
        </w:tc>
        <w:tc>
          <w:tcPr>
            <w:tcW w:w="179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68.95</w:t>
            </w:r>
          </w:p>
        </w:tc>
        <w:tc>
          <w:tcPr>
            <w:tcW w:w="2593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项目绩效定性目标及实施计划完成情况</w:t>
            </w: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预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5269" w:type="dxa"/>
            <w:gridSpan w:val="10"/>
            <w:tcMar>
              <w:left w:w="28" w:type="dxa"/>
              <w:right w:w="28" w:type="dxa"/>
            </w:tcMar>
            <w:vAlign w:val="center"/>
          </w:tcPr>
          <w:p>
            <w:pPr>
              <w:spacing w:line="250" w:lineRule="exac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开展新港区疫情防控宣传、应急演练、协助重点人员处置、保障港区疫情防控工作顺利开展。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确保各采样点开展一次全员核酸检测演练工作；做好疫情防控政策宣传等工作；确保指挥部日常运转正常。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达到年初绩效目标管理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项目绩效定量目标（指标）及完成情况</w:t>
            </w:r>
          </w:p>
        </w:tc>
        <w:tc>
          <w:tcPr>
            <w:tcW w:w="906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一级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二级指标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指标内容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  <w:r>
              <w:rPr>
                <w:rFonts w:ascii="仿宋_GB2312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eastAsia="仿宋_GB2312"/>
                <w:sz w:val="24"/>
                <w:szCs w:val="24"/>
              </w:rPr>
              <w:t>目标</w:t>
            </w:r>
            <w:r>
              <w:rPr>
                <w:rFonts w:ascii="仿宋_GB2312" w:eastAsia="仿宋_GB2312"/>
                <w:sz w:val="24"/>
                <w:szCs w:val="24"/>
              </w:rPr>
              <w:t>)</w:t>
            </w:r>
            <w:r>
              <w:rPr>
                <w:rFonts w:hint="eastAsia" w:ascii="仿宋_GB2312" w:eastAsia="仿宋_GB2312"/>
                <w:sz w:val="24"/>
                <w:szCs w:val="24"/>
              </w:rPr>
              <w:t>值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项目产出指标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数量指标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8"/>
                <w:sz w:val="24"/>
                <w:szCs w:val="24"/>
                <w:lang w:val="en-US" w:eastAsia="zh-CN"/>
              </w:rPr>
              <w:t>防疫物资储备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按上级部门要求储备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全员核酸监测演练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按上级部门要求落实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质量指标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6"/>
                <w:sz w:val="24"/>
                <w:szCs w:val="24"/>
                <w:lang w:val="en-US" w:eastAsia="zh-CN"/>
              </w:rPr>
              <w:t>重点人员处置</w:t>
            </w:r>
          </w:p>
          <w:p>
            <w:pPr>
              <w:jc w:val="center"/>
              <w:rPr>
                <w:rFonts w:ascii="仿宋_GB2312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  <w:szCs w:val="24"/>
              </w:rPr>
              <w:t>领导满意，社会认可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高效及时处置</w:t>
            </w:r>
          </w:p>
        </w:tc>
        <w:tc>
          <w:tcPr>
            <w:tcW w:w="3060" w:type="dxa"/>
            <w:gridSpan w:val="3"/>
            <w:tcBorders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时效指标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8"/>
                <w:sz w:val="24"/>
                <w:szCs w:val="24"/>
              </w:rPr>
              <w:t>年度内按计划投放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按计划完成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项目效益指标</w:t>
            </w: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经济效益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保障经济社会正常发展运行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扩大新港区影响，助力招商引资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社会效益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确保疫情防控社会面大局稳定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提升港区形象，扩大影响力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生态效益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10"/>
                <w:sz w:val="24"/>
                <w:szCs w:val="24"/>
              </w:rPr>
              <w:t>与周边环境相协调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注重整洁美观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pacing w:val="-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服务对象满意度指标</w:t>
            </w: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服务对象满意度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6" w:type="dxa"/>
            <w:gridSpan w:val="4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73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公众满意度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大于</w:t>
            </w:r>
            <w:r>
              <w:rPr>
                <w:rFonts w:ascii="仿宋_GB2312" w:eastAsia="仿宋_GB2312"/>
                <w:sz w:val="24"/>
                <w:szCs w:val="24"/>
              </w:rPr>
              <w:t>95%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绩效自评综合得分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98.5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73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评价等次</w:t>
            </w:r>
          </w:p>
        </w:tc>
        <w:tc>
          <w:tcPr>
            <w:tcW w:w="7423" w:type="dxa"/>
            <w:gridSpan w:val="9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</w:t>
            </w:r>
            <w:r>
              <w:rPr>
                <w:rFonts w:ascii="仿宋_GB2312" w:eastAsia="仿宋_GB2312"/>
                <w:sz w:val="24"/>
                <w:szCs w:val="24"/>
              </w:rPr>
              <w:t>/</w:t>
            </w:r>
            <w:r>
              <w:rPr>
                <w:rFonts w:hint="eastAsia" w:ascii="仿宋_GB2312" w:eastAsia="仿宋_GB2312"/>
                <w:sz w:val="24"/>
                <w:szCs w:val="24"/>
              </w:rPr>
              <w:t>职务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位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签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胡  卫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"/>
                <w:sz w:val="24"/>
                <w:szCs w:val="24"/>
              </w:rPr>
              <w:t>党工委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  <w:lang w:val="en-US" w:eastAsia="zh-CN"/>
              </w:rPr>
              <w:t>委员、管委会副主任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刘伟平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eastAsia="仿宋_GB2312"/>
                <w:sz w:val="24"/>
                <w:szCs w:val="24"/>
              </w:rPr>
              <w:t>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23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彭小明</w:t>
            </w:r>
          </w:p>
        </w:tc>
        <w:tc>
          <w:tcPr>
            <w:tcW w:w="3276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社会发展部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副部长</w:t>
            </w:r>
          </w:p>
        </w:tc>
        <w:tc>
          <w:tcPr>
            <w:tcW w:w="1837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湖南城陵矶新港区管理委员会</w:t>
            </w:r>
          </w:p>
        </w:tc>
        <w:tc>
          <w:tcPr>
            <w:tcW w:w="306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评价组组长（签字）：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项目单位意见：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项目单位负责人（签章）：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主管部门意见：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主管部门负责人（签章）：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9796" w:type="dxa"/>
            <w:gridSpan w:val="14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财政部门归口业务科室意见：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财政部门归口业务科室负责人（签章）：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　　　　　　　　　　　　　　　　　　　　　　　　　　　　　　　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eastAsia="仿宋_GB2312" w:cs="仿宋_GB2312"/>
          <w:bCs/>
          <w:sz w:val="28"/>
          <w:szCs w:val="28"/>
        </w:rPr>
        <w:t xml:space="preserve">                          </w:t>
      </w:r>
      <w:r>
        <w:rPr>
          <w:rFonts w:hint="eastAsia" w:eastAsia="仿宋_GB2312" w:cs="仿宋_GB2312"/>
          <w:bCs/>
          <w:sz w:val="28"/>
          <w:szCs w:val="28"/>
        </w:rPr>
        <w:t>联系电话：</w:t>
      </w:r>
    </w:p>
    <w:tbl>
      <w:tblPr>
        <w:tblStyle w:val="6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</w:tcPr>
          <w:p>
            <w:pPr>
              <w:ind w:firstLine="2880" w:firstLineChars="900"/>
              <w:rPr>
                <w:rFonts w:ascii="黑体" w:hAnsi="黑体" w:eastAsia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>五、评价报告综述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年是岳阳市全面实施预算绩效管理“扩面提质”推进年。按照《湖南省预算绩效目标管理办法》、《岳阳市财政局关于做好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年度预算绩效目标编审工作的通知》（岳财预〔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2020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〕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159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号）要求，现对我单位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统计员工作奖励资金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支出使用管理的绩效情况，开展了绩效自评工作，现将情况汇报如下：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7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一、项目概况</w:t>
            </w:r>
          </w:p>
          <w:p>
            <w:pPr>
              <w:spacing w:line="560" w:lineRule="exact"/>
              <w:ind w:firstLine="560" w:firstLineChars="200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eastAsia="仿宋_GB2312"/>
                <w:bCs/>
                <w:sz w:val="28"/>
                <w:szCs w:val="28"/>
              </w:rPr>
              <w:t>项目单位基本情况。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新港区管委会为全额拨款事业单位，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部现有人数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人，其中在编人员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人，内设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综合发展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科、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社会管理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</w:rPr>
              <w:t>科，主要职能是</w:t>
            </w:r>
            <w:r>
              <w:rPr>
                <w:rFonts w:hint="eastAsia" w:ascii="仿宋_GB2312" w:eastAsia="仿宋_GB2312" w:cs="Times New Roman"/>
                <w:bCs/>
                <w:sz w:val="28"/>
                <w:szCs w:val="28"/>
                <w:lang w:val="en-US" w:eastAsia="zh-CN"/>
              </w:rPr>
              <w:t>负责拟订新港区产业发展政策并组织实施；负责新港区全社会固定资产投资管理工作；负责新港区统计、工信、综治、信访等工作；负责入驻企业的立项、劳动用工管理等工作；负责协调文化、教育、卫健等工作，牵头开展失地农民社会保障体系建设和劳动就业工作；负责立项争资工作</w:t>
            </w:r>
            <w:r>
              <w:rPr>
                <w:rFonts w:hint="eastAsia" w:ascii="仿宋_GB2312" w:eastAsia="仿宋_GB2312"/>
                <w:bCs/>
                <w:sz w:val="28"/>
                <w:szCs w:val="28"/>
                <w:lang w:val="en-US" w:eastAsia="zh-CN"/>
              </w:rPr>
              <w:t>。</w:t>
            </w: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562" w:firstLineChars="20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二、项目资金使用及管理情况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、项目资金到位情况。截止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月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日，我单位收到财政拨入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疫情防控经费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68.95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、项目资金实际使用情况分析。我单位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2021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年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疫情防控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实际支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</w:rPr>
              <w:t>出</w:t>
            </w:r>
            <w:r>
              <w:rPr>
                <w:rFonts w:hint="eastAsia" w:ascii="仿宋_GB2312" w:hAnsi="Calibri" w:eastAsia="仿宋_GB2312" w:cs="Times New Roman"/>
                <w:bCs/>
                <w:color w:val="000000"/>
                <w:kern w:val="2"/>
                <w:sz w:val="28"/>
                <w:szCs w:val="28"/>
                <w:lang w:val="en-US" w:eastAsia="zh-CN"/>
              </w:rPr>
              <w:t>68.95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万元，按进度完成目标管理任务，项目支出依照《会计法》、《会计基础工作规范》、《行政单位财务制度》、《行政单位会计制度》、《国库集中支付管理规定》和《本单位财务管理制度》与财政年初预算安排的行政运行资金集合管理使用，采取总量控制、计划管理，按预算科目和项目资金的使用规定，坚持勤俭节约、量入为出，保证重点、兼顾一般、从严控制，以保证财政资金的安全和高效运行。</w:t>
            </w:r>
          </w:p>
          <w:p>
            <w:pPr>
              <w:pStyle w:val="5"/>
              <w:widowControl w:val="0"/>
              <w:spacing w:before="0" w:beforeAutospacing="0" w:after="0" w:afterAutospacing="0"/>
              <w:ind w:firstLine="48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、项目资金管理情况分析。严格落实项目资金管理办法，严格审批流程，对所有的项目执行情况，由经手人、财务、分管科室副部长、部门负责人、分管领导共同把关，确保资金管理到位，使用安全。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三、项目组织实施情况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组织情况分析。对五万元以上的项目严格进行财评，对招投标的项目严格按程序进行，每个项目完成后，组织相关部门人员共同进行验收，对不达标的服务内容必须整改到位，否则不予认定不予支付，切实保障服务项目与服务要求一致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、项目管理情况分析。项目推进过程中，定期对服务项目开展督查，严格按时间进度进行评价，并作为考核合作单位的依据。邀请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纪工委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落实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情况进行督查，提高监督的广度和密度。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四、项目主要绩效情况分析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根据自评绩效评分细则，我部严格执行预算管理、防止各种违反财经纪律的行为、保障重点、量入为出、收支平衡的原则，提高了资金使用效益，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疫情防控经费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在项目绩效考核评价中自评合格率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100%,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优良率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98%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以上。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1、防疫物资储备。严格按照上级部门要求，高标准完成疫情防控物资储备工作；采购防疫信息健康展示系统，做好群内人员的常态化监测工作。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 xml:space="preserve">    2、重点人员处置。配合应急管理局，协调云溪疾控、岳阳市第四人民医院做好重点人员日常核酸检测及集中隔离、居家健康监测等工作，保障重点人员得到及时有效管理。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hint="default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 xml:space="preserve">    3、防疫宣传工作。由应急局主导开展多次全员核酸演练工作；印刷疫情防控宣传手册、海报等分发至区内企业，提高群众防疫意识。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/>
                <w:bCs/>
                <w:kern w:val="2"/>
                <w:sz w:val="28"/>
                <w:szCs w:val="28"/>
              </w:rPr>
              <w:t>　　五、主要经验及做法，存在问题和建议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hint="default" w:ascii="仿宋_GB2312" w:hAnsi="Calibri" w:eastAsia="仿宋_GB2312" w:cs="Times New Roman"/>
                <w:bCs/>
                <w:kern w:val="2"/>
                <w:sz w:val="28"/>
                <w:szCs w:val="28"/>
                <w:lang w:val="en-US"/>
              </w:rPr>
            </w:pPr>
            <w:r>
              <w:rPr>
                <w:rFonts w:hint="eastAsia" w:ascii="仿宋_GB2312" w:eastAsia="仿宋_GB2312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1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、主要经验。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在防疫工作中，坚持高标准、严要求落实上级指示；坚持全区一盘棋，充分发挥防疫联点工作机制，扎实做好常态化疫情防控工作；紧盯重要步骤，关键环节，抓好重点工作。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2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、存在问题。在工作中也还存在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人员力量不足，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防疫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宣传手段方式方法有待进一步提升的问题，必须加以改进。</w:t>
            </w:r>
          </w:p>
          <w:p>
            <w:pPr>
              <w:pStyle w:val="5"/>
              <w:widowControl w:val="0"/>
              <w:spacing w:before="0" w:beforeAutospacing="0" w:after="0" w:afterAutospacing="0"/>
              <w:jc w:val="both"/>
              <w:rPr>
                <w:rFonts w:eastAsia="楷体_GB2312"/>
                <w:bCs/>
                <w:kern w:val="2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　　</w:t>
            </w:r>
            <w:r>
              <w:rPr>
                <w:rFonts w:ascii="仿宋_GB2312" w:hAnsi="Calibri" w:eastAsia="仿宋_GB2312" w:cs="Times New Roman"/>
                <w:bCs/>
                <w:kern w:val="2"/>
                <w:sz w:val="28"/>
                <w:szCs w:val="28"/>
              </w:rPr>
              <w:t>3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、建议。</w:t>
            </w:r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  <w:lang w:val="en-US" w:eastAsia="zh-CN"/>
              </w:rPr>
              <w:t>定期召开疫情防控工作研讨会，提高防疫联点责任人的工作效率，扎实做好重点人员的常态化核酸监测工作</w:t>
            </w:r>
            <w:bookmarkStart w:id="0" w:name="_GoBack"/>
            <w:bookmarkEnd w:id="0"/>
            <w:r>
              <w:rPr>
                <w:rFonts w:hint="eastAsia" w:ascii="仿宋_GB2312" w:hAnsi="Calibri" w:eastAsia="仿宋_GB2312" w:cs="Times New Roman"/>
                <w:bCs/>
                <w:kern w:val="2"/>
                <w:sz w:val="28"/>
                <w:szCs w:val="28"/>
              </w:rPr>
              <w:t>。</w:t>
            </w:r>
          </w:p>
        </w:tc>
      </w:tr>
    </w:tbl>
    <w:p>
      <w:pPr>
        <w:rPr>
          <w:sz w:val="24"/>
          <w:szCs w:val="24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6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体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价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标</w:t>
            </w: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计划到位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*100%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</w:t>
            </w:r>
            <w:r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  <w:t>0.5</w:t>
            </w: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①虚列套取扣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4-7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3-6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2-5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①机构健全、分工明确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绩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预定目标数×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实际达到的效果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预定目标×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分，未如期完成且无充分理由的扣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指项目对国民经济和区域经济发展所带来的直接或间接效益等。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项目实施是否产生社会综合效益。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环境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项目实施是否对环境产生积极或消极影响。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项目实施对人、自然、资源是否带来可持续影响。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=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项目区被调查人数中表示满意的人数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 xml:space="preserve">)/ 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被调查人数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户数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100%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（含）以上的得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-90%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-80%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（含）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-70%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得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分，</w:t>
            </w: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60%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ind w:firstLine="120" w:firstLineChars="50"/>
              <w:jc w:val="center"/>
              <w:rPr>
                <w:rFonts w:asci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/>
                <w:b/>
                <w:bCs/>
                <w:kern w:val="0"/>
                <w:sz w:val="24"/>
              </w:rPr>
              <w:t>98.5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sz w:val="24"/>
          <w:szCs w:val="24"/>
        </w:rPr>
      </w:pPr>
      <w:r>
        <w:rPr>
          <w:rFonts w:hint="eastAsia" w:ascii="仿宋_GB2312" w:eastAsia="仿宋_GB2312"/>
        </w:rPr>
        <w:t>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1021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  <w:rFonts w:ascii="Times New Roman" w:hAnsi="Times New Roman"/>
        <w:sz w:val="24"/>
        <w:szCs w:val="24"/>
      </w:rPr>
    </w:pPr>
    <w:r>
      <w:rPr>
        <w:rStyle w:val="8"/>
        <w:rFonts w:ascii="Times New Roman" w:hAnsi="Times New Roman"/>
        <w:sz w:val="24"/>
        <w:szCs w:val="24"/>
      </w:rPr>
      <w:fldChar w:fldCharType="begin"/>
    </w:r>
    <w:r>
      <w:rPr>
        <w:rStyle w:val="8"/>
        <w:rFonts w:ascii="Times New Roman" w:hAnsi="Times New Roman"/>
        <w:sz w:val="24"/>
        <w:szCs w:val="24"/>
      </w:rPr>
      <w:instrText xml:space="preserve">PAGE  </w:instrText>
    </w:r>
    <w:r>
      <w:rPr>
        <w:rStyle w:val="8"/>
        <w:rFonts w:ascii="Times New Roman" w:hAnsi="Times New Roman"/>
        <w:sz w:val="24"/>
        <w:szCs w:val="24"/>
      </w:rPr>
      <w:fldChar w:fldCharType="separate"/>
    </w:r>
    <w:r>
      <w:rPr>
        <w:rStyle w:val="8"/>
        <w:rFonts w:ascii="Times New Roman" w:hAnsi="Times New Roman"/>
        <w:sz w:val="24"/>
        <w:szCs w:val="24"/>
      </w:rPr>
      <w:t>- 2 -</w:t>
    </w:r>
    <w:r>
      <w:rPr>
        <w:rStyle w:val="8"/>
        <w:rFonts w:ascii="Times New Roman" w:hAnsi="Times New Roman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33444"/>
    <w:multiLevelType w:val="multilevel"/>
    <w:tmpl w:val="57B33444"/>
    <w:lvl w:ilvl="0" w:tentative="0">
      <w:start w:val="1"/>
      <w:numFmt w:val="decimal"/>
      <w:lvlText w:val="第%1部分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decimal"/>
      <w:lvlText w:val="第%2章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2" w:tentative="0">
      <w:start w:val="1"/>
      <w:numFmt w:val="decimal"/>
      <w:lvlText w:val="第%3节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4" w:tentative="0">
      <w:start w:val="1"/>
      <w:numFmt w:val="decimal"/>
      <w:lvlText w:val="%4.%5."/>
      <w:lvlJc w:val="left"/>
      <w:pPr>
        <w:tabs>
          <w:tab w:val="left" w:pos="0"/>
        </w:tabs>
        <w:ind w:left="0" w:firstLine="0"/>
      </w:pPr>
      <w:rPr>
        <w:rFonts w:ascii="黑体" w:hAnsi="黑体" w:eastAsia="黑体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5" w:tentative="0">
      <w:start w:val="1"/>
      <w:numFmt w:val="decimal"/>
      <w:pStyle w:val="2"/>
      <w:lvlText w:val="%4.%5.%6."/>
      <w:lvlJc w:val="left"/>
      <w:pPr>
        <w:tabs>
          <w:tab w:val="left" w:pos="0"/>
        </w:tabs>
        <w:ind w:left="0" w:firstLine="0"/>
      </w:pPr>
      <w:rPr>
        <w:rFonts w:hint="eastAsia"/>
        <w:sz w:val="32"/>
        <w:szCs w:val="32"/>
      </w:rPr>
    </w:lvl>
    <w:lvl w:ilvl="6" w:tentative="0">
      <w:start w:val="1"/>
      <w:numFmt w:val="decimal"/>
      <w:lvlText w:val="%4.%5.%6.%7."/>
      <w:lvlJc w:val="left"/>
      <w:pPr>
        <w:tabs>
          <w:tab w:val="left" w:pos="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30"/>
        <w:szCs w:val="30"/>
        <w:u w:val="none"/>
        <w:vertAlign w:val="baseline"/>
      </w:rPr>
    </w:lvl>
    <w:lvl w:ilvl="7" w:tentative="0">
      <w:start w:val="1"/>
      <w:numFmt w:val="decimal"/>
      <w:lvlText w:val="%4.%5.%6.%7.%8.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8" w:tentative="0">
      <w:start w:val="1"/>
      <w:numFmt w:val="decimal"/>
      <w:lvlText w:val="%4.%5.%6.%7.%8.%9.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3MjY5MGQzMWE2YjVmNWVjNDhmOTZhNzBkYzI3NzUifQ=="/>
  </w:docVars>
  <w:rsids>
    <w:rsidRoot w:val="004F42DE"/>
    <w:rsid w:val="000C5801"/>
    <w:rsid w:val="000C66C7"/>
    <w:rsid w:val="000F69A2"/>
    <w:rsid w:val="00135B8F"/>
    <w:rsid w:val="00154F58"/>
    <w:rsid w:val="001C04FA"/>
    <w:rsid w:val="001C0E05"/>
    <w:rsid w:val="00247A0E"/>
    <w:rsid w:val="002559D6"/>
    <w:rsid w:val="00270556"/>
    <w:rsid w:val="00283AEA"/>
    <w:rsid w:val="002D2660"/>
    <w:rsid w:val="002F2FD6"/>
    <w:rsid w:val="00375B27"/>
    <w:rsid w:val="00375E42"/>
    <w:rsid w:val="0038627D"/>
    <w:rsid w:val="0040600D"/>
    <w:rsid w:val="00450528"/>
    <w:rsid w:val="00486D39"/>
    <w:rsid w:val="004B34F4"/>
    <w:rsid w:val="004D7D22"/>
    <w:rsid w:val="004F1167"/>
    <w:rsid w:val="004F42DE"/>
    <w:rsid w:val="00503565"/>
    <w:rsid w:val="0059607F"/>
    <w:rsid w:val="005A6FA5"/>
    <w:rsid w:val="005A7333"/>
    <w:rsid w:val="005B3BFE"/>
    <w:rsid w:val="006847C7"/>
    <w:rsid w:val="0069584D"/>
    <w:rsid w:val="006F248F"/>
    <w:rsid w:val="00702588"/>
    <w:rsid w:val="007D2B75"/>
    <w:rsid w:val="00822137"/>
    <w:rsid w:val="00933EA4"/>
    <w:rsid w:val="00A429CE"/>
    <w:rsid w:val="00AA0B20"/>
    <w:rsid w:val="00AB6FC4"/>
    <w:rsid w:val="00AC0DC4"/>
    <w:rsid w:val="00B508AD"/>
    <w:rsid w:val="00B534F7"/>
    <w:rsid w:val="00B6578E"/>
    <w:rsid w:val="00BC5993"/>
    <w:rsid w:val="00C32DA5"/>
    <w:rsid w:val="00D14F77"/>
    <w:rsid w:val="00D43B0B"/>
    <w:rsid w:val="00D45B3F"/>
    <w:rsid w:val="00DA144E"/>
    <w:rsid w:val="00DE0584"/>
    <w:rsid w:val="00E52C2E"/>
    <w:rsid w:val="00E739EA"/>
    <w:rsid w:val="00EB19AC"/>
    <w:rsid w:val="00F16605"/>
    <w:rsid w:val="00F52F3D"/>
    <w:rsid w:val="00FA5937"/>
    <w:rsid w:val="00FC326A"/>
    <w:rsid w:val="00FF73B9"/>
    <w:rsid w:val="01711F9D"/>
    <w:rsid w:val="02704AC1"/>
    <w:rsid w:val="04CB0242"/>
    <w:rsid w:val="069D7E4F"/>
    <w:rsid w:val="0C030A27"/>
    <w:rsid w:val="0EA57224"/>
    <w:rsid w:val="0F811541"/>
    <w:rsid w:val="0FDC4C78"/>
    <w:rsid w:val="102F0049"/>
    <w:rsid w:val="1245607F"/>
    <w:rsid w:val="13F800AC"/>
    <w:rsid w:val="15FF1F8C"/>
    <w:rsid w:val="181B5077"/>
    <w:rsid w:val="1FC35DD8"/>
    <w:rsid w:val="203E1903"/>
    <w:rsid w:val="2580476C"/>
    <w:rsid w:val="2B4A1AA4"/>
    <w:rsid w:val="2C424518"/>
    <w:rsid w:val="2CF471CC"/>
    <w:rsid w:val="2CFF066C"/>
    <w:rsid w:val="2ED6525E"/>
    <w:rsid w:val="33E47D30"/>
    <w:rsid w:val="3C812E4B"/>
    <w:rsid w:val="3E6A4CD6"/>
    <w:rsid w:val="42A31D6D"/>
    <w:rsid w:val="48346226"/>
    <w:rsid w:val="4C100075"/>
    <w:rsid w:val="4ECC7F56"/>
    <w:rsid w:val="53963229"/>
    <w:rsid w:val="57285C68"/>
    <w:rsid w:val="5B7B6042"/>
    <w:rsid w:val="5B98015F"/>
    <w:rsid w:val="5CCD0EE0"/>
    <w:rsid w:val="619652D6"/>
    <w:rsid w:val="625D01DC"/>
    <w:rsid w:val="64905D94"/>
    <w:rsid w:val="69A952EE"/>
    <w:rsid w:val="6B4F16C1"/>
    <w:rsid w:val="6B5363C2"/>
    <w:rsid w:val="6BDA7CFF"/>
    <w:rsid w:val="6CF81A67"/>
    <w:rsid w:val="6FAF1BB9"/>
    <w:rsid w:val="713A123F"/>
    <w:rsid w:val="73467A28"/>
    <w:rsid w:val="770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nhideWhenUsed="0" w:uiPriority="9" w:semiHidden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6"/>
    <w:basedOn w:val="1"/>
    <w:next w:val="1"/>
    <w:qFormat/>
    <w:locked/>
    <w:uiPriority w:val="9"/>
    <w:pPr>
      <w:numPr>
        <w:ilvl w:val="5"/>
        <w:numId w:val="1"/>
      </w:numPr>
      <w:spacing w:line="360" w:lineRule="auto"/>
      <w:outlineLvl w:val="5"/>
    </w:pPr>
    <w:rPr>
      <w:rFonts w:ascii="宋体" w:cs="宋体"/>
      <w:bCs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99"/>
    <w:rPr>
      <w:rFonts w:cs="Times New Roman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9</Pages>
  <Words>3992</Words>
  <Characters>4279</Characters>
  <Lines>0</Lines>
  <Paragraphs>0</Paragraphs>
  <TotalTime>10</TotalTime>
  <ScaleCrop>false</ScaleCrop>
  <LinksUpToDate>false</LinksUpToDate>
  <CharactersWithSpaces>4679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2020-08-13T09:25:00Z</dcterms:created>
  <dc:creator>PC</dc:creator>
  <cp:lastModifiedBy>玘悅</cp:lastModifiedBy>
  <cp:lastPrinted>2022-08-19T06:18:18Z</cp:lastPrinted>
  <dcterms:modified xsi:type="dcterms:W3CDTF">2022-08-19T06:18:25Z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1DB9A6D5F47E4E01B095FEE8C199E830</vt:lpwstr>
  </property>
</Properties>
</file>