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ascii="黑体" w:hAnsi="黑体" w:eastAsia="黑体" w:cs="黑体"/>
          <w:bCs/>
          <w:sz w:val="32"/>
          <w:szCs w:val="32"/>
        </w:rPr>
      </w:pPr>
      <w:r>
        <w:rPr>
          <w:rFonts w:hint="eastAsia" w:ascii="黑体" w:hAnsi="黑体" w:eastAsia="黑体" w:cs="黑体"/>
          <w:bCs/>
          <w:sz w:val="32"/>
          <w:szCs w:val="32"/>
        </w:rPr>
        <w:t>附件2-1</w:t>
      </w:r>
    </w:p>
    <w:p>
      <w:pPr>
        <w:spacing w:line="348" w:lineRule="auto"/>
        <w:jc w:val="center"/>
        <w:rPr>
          <w:rFonts w:eastAsia="方正小标宋简体"/>
          <w:bCs/>
          <w:sz w:val="42"/>
          <w:szCs w:val="42"/>
        </w:rPr>
      </w:pPr>
    </w:p>
    <w:p>
      <w:pPr>
        <w:spacing w:line="800" w:lineRule="exact"/>
        <w:jc w:val="center"/>
        <w:rPr>
          <w:rFonts w:eastAsia="方正小标宋简体"/>
          <w:bCs/>
          <w:sz w:val="46"/>
          <w:szCs w:val="46"/>
        </w:rPr>
      </w:pPr>
    </w:p>
    <w:p>
      <w:pPr>
        <w:spacing w:line="800" w:lineRule="exact"/>
        <w:jc w:val="center"/>
        <w:rPr>
          <w:rFonts w:eastAsia="方正小标宋简体"/>
          <w:bCs/>
          <w:sz w:val="46"/>
          <w:szCs w:val="46"/>
        </w:rPr>
      </w:pPr>
      <w:r>
        <w:rPr>
          <w:rFonts w:hint="eastAsia" w:eastAsia="方正小标宋简体"/>
          <w:bCs/>
          <w:sz w:val="46"/>
          <w:szCs w:val="46"/>
        </w:rPr>
        <w:t>湖南城陵矶新港区</w:t>
      </w:r>
      <w:r>
        <w:rPr>
          <w:rFonts w:hint="eastAsia" w:eastAsia="方正小标宋简体"/>
          <w:bCs/>
          <w:sz w:val="46"/>
          <w:szCs w:val="46"/>
          <w:u w:val="single"/>
        </w:rPr>
        <w:t>202</w:t>
      </w:r>
      <w:r>
        <w:rPr>
          <w:rFonts w:hint="eastAsia" w:eastAsia="方正小标宋简体"/>
          <w:bCs/>
          <w:sz w:val="46"/>
          <w:szCs w:val="46"/>
          <w:u w:val="single"/>
          <w:lang w:val="en-US" w:eastAsia="zh-CN"/>
        </w:rPr>
        <w:t>1</w:t>
      </w:r>
      <w:r>
        <w:rPr>
          <w:rFonts w:hint="eastAsia" w:eastAsia="方正小标宋简体"/>
          <w:bCs/>
          <w:sz w:val="46"/>
          <w:szCs w:val="46"/>
        </w:rPr>
        <w:t>年度部门</w:t>
      </w:r>
    </w:p>
    <w:p>
      <w:pPr>
        <w:spacing w:line="800" w:lineRule="exact"/>
        <w:jc w:val="center"/>
        <w:rPr>
          <w:rFonts w:eastAsia="方正小标宋简体"/>
          <w:bCs/>
          <w:sz w:val="46"/>
          <w:szCs w:val="46"/>
        </w:rPr>
      </w:pPr>
      <w:r>
        <w:rPr>
          <w:rFonts w:hint="eastAsia" w:eastAsia="方正小标宋简体"/>
          <w:bCs/>
          <w:sz w:val="46"/>
          <w:szCs w:val="46"/>
        </w:rPr>
        <w:t>整体支出绩效评价自评报告</w:t>
      </w:r>
    </w:p>
    <w:p>
      <w:pPr>
        <w:rPr>
          <w:rFonts w:eastAsia="仿宋_GB2312"/>
          <w:b/>
          <w:sz w:val="32"/>
        </w:rPr>
      </w:pPr>
    </w:p>
    <w:p>
      <w:pPr>
        <w:rPr>
          <w:rFonts w:eastAsia="仿宋_GB2312"/>
          <w:b/>
          <w:sz w:val="32"/>
        </w:rPr>
      </w:pPr>
    </w:p>
    <w:p>
      <w:pPr>
        <w:rPr>
          <w:rFonts w:eastAsia="仿宋_GB2312"/>
          <w:b/>
          <w:sz w:val="32"/>
        </w:rPr>
      </w:pPr>
    </w:p>
    <w:p>
      <w:pPr>
        <w:rPr>
          <w:rFonts w:eastAsia="仿宋_GB2312"/>
          <w:b/>
          <w:sz w:val="32"/>
        </w:rPr>
      </w:pPr>
    </w:p>
    <w:p>
      <w:pPr>
        <w:spacing w:beforeLines="50" w:line="348" w:lineRule="auto"/>
        <w:ind w:firstLine="480" w:firstLineChars="150"/>
        <w:rPr>
          <w:rFonts w:eastAsia="仿宋_GB2312"/>
          <w:sz w:val="32"/>
          <w:szCs w:val="32"/>
          <w:u w:val="single"/>
        </w:rPr>
      </w:pPr>
      <w:r>
        <w:rPr>
          <w:rFonts w:hint="eastAsia" w:eastAsia="仿宋_GB2312"/>
          <w:sz w:val="32"/>
          <w:szCs w:val="32"/>
        </w:rPr>
        <w:t>部门(单位)名称：</w:t>
      </w:r>
      <w:r>
        <w:rPr>
          <w:rFonts w:hint="eastAsia" w:eastAsia="仿宋_GB2312"/>
          <w:sz w:val="32"/>
          <w:szCs w:val="32"/>
          <w:lang w:val="en-US" w:eastAsia="zh-CN"/>
        </w:rPr>
        <w:t>岳阳市市场监督管理局城陵矶新港区分局</w:t>
      </w:r>
    </w:p>
    <w:p>
      <w:pPr>
        <w:spacing w:beforeLines="50" w:line="348" w:lineRule="auto"/>
        <w:ind w:firstLine="480" w:firstLineChars="150"/>
        <w:rPr>
          <w:rFonts w:eastAsia="仿宋_GB2312"/>
          <w:spacing w:val="20"/>
          <w:sz w:val="32"/>
          <w:szCs w:val="32"/>
        </w:rPr>
      </w:pPr>
      <w:r>
        <w:rPr>
          <w:rFonts w:hint="eastAsia" w:eastAsia="仿宋_GB2312"/>
          <w:sz w:val="32"/>
          <w:szCs w:val="32"/>
        </w:rPr>
        <w:t>预</w:t>
      </w:r>
      <w:r>
        <w:rPr>
          <w:rFonts w:hint="eastAsia" w:eastAsia="仿宋_GB2312"/>
          <w:spacing w:val="30"/>
          <w:sz w:val="32"/>
          <w:szCs w:val="32"/>
        </w:rPr>
        <w:t xml:space="preserve"> 算 编 码：</w:t>
      </w:r>
      <w:r>
        <w:rPr>
          <w:rFonts w:hint="eastAsia" w:eastAsia="仿宋_GB2312"/>
          <w:spacing w:val="30"/>
          <w:sz w:val="32"/>
          <w:szCs w:val="32"/>
          <w:lang w:val="en-US" w:eastAsia="zh-CN"/>
        </w:rPr>
        <w:t>011001</w:t>
      </w:r>
    </w:p>
    <w:p>
      <w:pPr>
        <w:spacing w:beforeLines="50" w:line="348" w:lineRule="auto"/>
        <w:ind w:firstLine="480" w:firstLineChars="150"/>
        <w:rPr>
          <w:rFonts w:eastAsia="仿宋_GB2312"/>
          <w:sz w:val="32"/>
          <w:szCs w:val="32"/>
        </w:rPr>
      </w:pPr>
      <w:r>
        <w:rPr>
          <w:rFonts w:hint="eastAsia" w:eastAsia="仿宋_GB2312"/>
          <w:sz w:val="32"/>
          <w:szCs w:val="32"/>
        </w:rPr>
        <w:t>评价方式：部门（单位）绩效自评</w:t>
      </w:r>
    </w:p>
    <w:p>
      <w:pPr>
        <w:spacing w:beforeLines="50" w:line="348" w:lineRule="auto"/>
        <w:ind w:firstLine="480" w:firstLineChars="150"/>
        <w:rPr>
          <w:rFonts w:eastAsia="仿宋_GB2312"/>
          <w:sz w:val="32"/>
          <w:szCs w:val="32"/>
        </w:rPr>
      </w:pPr>
      <w:r>
        <w:rPr>
          <w:rFonts w:hint="eastAsia" w:eastAsia="仿宋_GB2312"/>
          <w:sz w:val="32"/>
          <w:szCs w:val="32"/>
        </w:rPr>
        <w:t xml:space="preserve">评价机构：部门（单位）评价组   </w:t>
      </w:r>
    </w:p>
    <w:p>
      <w:pPr>
        <w:spacing w:line="720" w:lineRule="exact"/>
        <w:rPr>
          <w:rFonts w:eastAsia="仿宋_GB2312"/>
          <w:sz w:val="32"/>
        </w:rPr>
      </w:pPr>
    </w:p>
    <w:p>
      <w:pPr>
        <w:spacing w:line="720" w:lineRule="exact"/>
        <w:rPr>
          <w:rFonts w:eastAsia="仿宋_GB2312"/>
          <w:sz w:val="32"/>
        </w:rPr>
      </w:pPr>
    </w:p>
    <w:p>
      <w:pPr>
        <w:pStyle w:val="2"/>
        <w:rPr>
          <w:rFonts w:eastAsia="仿宋_GB2312"/>
          <w:sz w:val="32"/>
        </w:rPr>
      </w:pPr>
    </w:p>
    <w:p>
      <w:pPr>
        <w:pStyle w:val="3"/>
        <w:rPr>
          <w:rFonts w:eastAsia="仿宋_GB2312"/>
          <w:sz w:val="32"/>
        </w:rPr>
      </w:pPr>
    </w:p>
    <w:p>
      <w:pPr>
        <w:pStyle w:val="3"/>
        <w:rPr>
          <w:rFonts w:eastAsia="仿宋_GB2312"/>
          <w:sz w:val="32"/>
        </w:rPr>
      </w:pPr>
    </w:p>
    <w:p>
      <w:pPr>
        <w:spacing w:line="348" w:lineRule="auto"/>
        <w:jc w:val="center"/>
        <w:rPr>
          <w:rFonts w:eastAsia="仿宋_GB2312"/>
          <w:sz w:val="32"/>
        </w:rPr>
      </w:pPr>
      <w:r>
        <w:rPr>
          <w:rFonts w:hint="eastAsia" w:eastAsia="仿宋_GB2312"/>
          <w:sz w:val="32"/>
        </w:rPr>
        <w:t>报告日期：</w:t>
      </w:r>
      <w:r>
        <w:rPr>
          <w:rFonts w:hint="eastAsia" w:eastAsia="仿宋_GB2312"/>
          <w:sz w:val="32"/>
          <w:lang w:val="en-US" w:eastAsia="zh-CN"/>
        </w:rPr>
        <w:t>2022</w:t>
      </w:r>
      <w:r>
        <w:rPr>
          <w:rFonts w:hint="eastAsia" w:eastAsia="仿宋_GB2312"/>
          <w:sz w:val="32"/>
        </w:rPr>
        <w:t>年</w:t>
      </w:r>
      <w:r>
        <w:rPr>
          <w:rFonts w:hint="eastAsia" w:eastAsia="仿宋_GB2312"/>
          <w:sz w:val="32"/>
          <w:lang w:val="en-US" w:eastAsia="zh-CN"/>
        </w:rPr>
        <w:t>6</w:t>
      </w:r>
      <w:r>
        <w:rPr>
          <w:rFonts w:hint="eastAsia" w:eastAsia="仿宋_GB2312"/>
          <w:sz w:val="32"/>
        </w:rPr>
        <w:t>月</w:t>
      </w:r>
      <w:r>
        <w:rPr>
          <w:rFonts w:hint="eastAsia" w:eastAsia="仿宋_GB2312"/>
          <w:sz w:val="32"/>
          <w:lang w:val="en-US" w:eastAsia="zh-CN"/>
        </w:rPr>
        <w:t>22</w:t>
      </w:r>
      <w:r>
        <w:rPr>
          <w:rFonts w:hint="eastAsia" w:eastAsia="仿宋_GB2312"/>
          <w:sz w:val="32"/>
        </w:rPr>
        <w:t>日</w:t>
      </w:r>
    </w:p>
    <w:tbl>
      <w:tblPr>
        <w:tblStyle w:val="5"/>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145"/>
        <w:gridCol w:w="272"/>
        <w:gridCol w:w="808"/>
        <w:gridCol w:w="1479"/>
        <w:gridCol w:w="226"/>
        <w:gridCol w:w="196"/>
        <w:gridCol w:w="259"/>
        <w:gridCol w:w="1080"/>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lang w:val="en-US" w:eastAsia="zh-CN"/>
              </w:rPr>
              <w:t>黎诗妤</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rPr>
              <w:t>联络电话</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lang w:val="en-US" w:eastAsia="zh-CN"/>
              </w:rPr>
              <w:t>13975043332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lang w:val="en-US" w:eastAsia="zh-CN"/>
              </w:rPr>
              <w:t>18</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rPr>
              <w:t>实有人数</w:t>
            </w:r>
          </w:p>
        </w:tc>
        <w:tc>
          <w:tcPr>
            <w:tcW w:w="3106" w:type="dxa"/>
            <w:gridSpan w:val="8"/>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lang w:val="en-US" w:eastAsia="zh-CN"/>
              </w:rPr>
              <w:t>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50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5"/>
            <w:vAlign w:val="center"/>
          </w:tcPr>
          <w:p>
            <w:pPr>
              <w:autoSpaceDN w:val="0"/>
              <w:spacing w:line="320" w:lineRule="exact"/>
              <w:jc w:val="left"/>
              <w:textAlignment w:val="center"/>
              <w:rPr>
                <w:rFonts w:ascii="仿宋_GB2312" w:hAnsi="仿宋_GB2312" w:eastAsia="仿宋_GB2312" w:cs="仿宋_GB2312"/>
                <w:color w:val="000000"/>
                <w:kern w:val="2"/>
                <w:sz w:val="24"/>
                <w:szCs w:val="22"/>
                <w:lang w:val="en-US" w:eastAsia="zh-CN" w:bidi="ar-SA"/>
              </w:rPr>
            </w:pPr>
            <w:r>
              <w:rPr>
                <w:rFonts w:hint="eastAsia" w:ascii="仿宋_GB2312" w:hAnsi="宋体" w:eastAsia="仿宋_GB2312" w:cs="仿宋_GB2312"/>
                <w:color w:val="000000"/>
                <w:kern w:val="0"/>
                <w:sz w:val="22"/>
                <w:szCs w:val="22"/>
                <w:lang w:eastAsia="zh-CN"/>
              </w:rPr>
              <w:t>负责市场综合监督</w:t>
            </w:r>
            <w:r>
              <w:rPr>
                <w:rFonts w:hint="eastAsia" w:ascii="仿宋_GB2312" w:hAnsi="宋体" w:eastAsia="仿宋_GB2312" w:cs="仿宋_GB2312"/>
                <w:color w:val="000000"/>
                <w:kern w:val="0"/>
                <w:sz w:val="22"/>
                <w:szCs w:val="22"/>
                <w:lang w:val="en-US" w:eastAsia="zh-CN"/>
              </w:rPr>
              <w:t>管理</w:t>
            </w:r>
            <w:r>
              <w:rPr>
                <w:rFonts w:hint="eastAsia" w:ascii="仿宋_GB2312" w:hAnsi="宋体" w:eastAsia="仿宋_GB2312" w:cs="仿宋_GB2312"/>
                <w:color w:val="000000"/>
                <w:kern w:val="0"/>
                <w:sz w:val="22"/>
                <w:szCs w:val="22"/>
                <w:lang w:eastAsia="zh-CN"/>
              </w:rPr>
              <w:t>；市场主体统一登记注册；组织市场监管综合执法；反垄断执法调查；监督管理市场秩序；负责宏观质量管理；产品质量安全监管；特种设备安全监管；食品安全监管综合协调</w:t>
            </w:r>
            <w:r>
              <w:rPr>
                <w:rFonts w:hint="eastAsia" w:ascii="仿宋_GB2312" w:hAnsi="宋体" w:eastAsia="仿宋_GB2312" w:cs="仿宋_GB2312"/>
                <w:color w:val="000000"/>
                <w:kern w:val="0"/>
                <w:sz w:val="22"/>
                <w:szCs w:val="22"/>
                <w:lang w:val="en-US" w:eastAsia="zh-CN"/>
              </w:rPr>
              <w:t>及</w:t>
            </w:r>
            <w:r>
              <w:rPr>
                <w:rFonts w:hint="eastAsia" w:ascii="仿宋_GB2312" w:hAnsi="宋体" w:eastAsia="仿宋_GB2312" w:cs="仿宋_GB2312"/>
                <w:color w:val="000000"/>
                <w:kern w:val="0"/>
                <w:sz w:val="22"/>
                <w:szCs w:val="22"/>
                <w:lang w:eastAsia="zh-CN"/>
              </w:rPr>
              <w:t>管理；统一管理计量、标准化、检验检测、认证认可工作；负责实施知识产权</w:t>
            </w:r>
            <w:r>
              <w:rPr>
                <w:rFonts w:hint="eastAsia" w:ascii="仿宋_GB2312" w:hAnsi="宋体" w:eastAsia="仿宋_GB2312" w:cs="仿宋_GB2312"/>
                <w:color w:val="000000"/>
                <w:kern w:val="0"/>
                <w:sz w:val="22"/>
                <w:szCs w:val="22"/>
                <w:lang w:val="en-US" w:eastAsia="zh-CN"/>
              </w:rPr>
              <w:t>保护、创造、运用及战略实施；</w:t>
            </w:r>
            <w:r>
              <w:rPr>
                <w:rFonts w:hint="eastAsia" w:ascii="仿宋_GB2312" w:hAnsi="宋体" w:eastAsia="仿宋_GB2312" w:cs="仿宋_GB2312"/>
                <w:color w:val="000000"/>
                <w:kern w:val="0"/>
                <w:sz w:val="22"/>
                <w:szCs w:val="22"/>
                <w:lang w:eastAsia="zh-CN"/>
              </w:rPr>
              <w:t>负责组织开展消费维权工作；负责药品、医疗器械和化妆品安全、</w:t>
            </w:r>
            <w:r>
              <w:rPr>
                <w:rFonts w:hint="eastAsia" w:ascii="仿宋_GB2312" w:hAnsi="宋体" w:eastAsia="仿宋_GB2312" w:cs="仿宋_GB2312"/>
                <w:color w:val="000000"/>
                <w:kern w:val="0"/>
                <w:sz w:val="22"/>
                <w:szCs w:val="22"/>
                <w:lang w:val="en-US" w:eastAsia="zh-CN"/>
              </w:rPr>
              <w:t>质量、上市后风险</w:t>
            </w:r>
            <w:r>
              <w:rPr>
                <w:rFonts w:hint="eastAsia" w:ascii="仿宋_GB2312" w:hAnsi="宋体" w:eastAsia="仿宋_GB2312" w:cs="仿宋_GB2312"/>
                <w:color w:val="000000"/>
                <w:kern w:val="0"/>
                <w:sz w:val="22"/>
                <w:szCs w:val="22"/>
                <w:lang w:eastAsia="zh-CN"/>
              </w:rPr>
              <w:t>监督管理；完成市、区政府和市市场监管局交办的其他任务。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464"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5"/>
            <w:vAlign w:val="center"/>
          </w:tcPr>
          <w:p>
            <w:pPr>
              <w:autoSpaceDN w:val="0"/>
              <w:spacing w:line="320" w:lineRule="exact"/>
              <w:jc w:val="left"/>
              <w:textAlignment w:val="center"/>
              <w:rPr>
                <w:rFonts w:hint="eastAsia" w:ascii="仿宋_GB2312" w:hAnsi="宋体" w:eastAsia="仿宋_GB2312" w:cs="仿宋_GB2312"/>
                <w:color w:val="000000"/>
                <w:kern w:val="0"/>
                <w:sz w:val="22"/>
                <w:szCs w:val="22"/>
                <w:lang w:val="en-US" w:eastAsia="zh-CN"/>
              </w:rPr>
            </w:pPr>
            <w:r>
              <w:rPr>
                <w:rFonts w:hint="eastAsia" w:ascii="仿宋_GB2312" w:hAnsi="仿宋_GB2312" w:eastAsia="仿宋_GB2312" w:cs="仿宋_GB2312"/>
                <w:color w:val="000000"/>
                <w:sz w:val="24"/>
                <w:szCs w:val="24"/>
              </w:rPr>
              <w:t>任</w:t>
            </w:r>
            <w:r>
              <w:rPr>
                <w:rFonts w:hint="eastAsia" w:ascii="仿宋_GB2312" w:hAnsi="宋体" w:eastAsia="仿宋_GB2312" w:cs="仿宋_GB2312"/>
                <w:color w:val="000000"/>
                <w:kern w:val="0"/>
                <w:sz w:val="22"/>
                <w:szCs w:val="22"/>
                <w:lang w:eastAsia="zh-CN"/>
              </w:rPr>
              <w:t>务1：</w:t>
            </w:r>
            <w:r>
              <w:rPr>
                <w:rFonts w:hint="eastAsia" w:ascii="仿宋_GB2312" w:hAnsi="宋体" w:eastAsia="仿宋_GB2312" w:cs="仿宋_GB2312"/>
                <w:color w:val="000000"/>
                <w:kern w:val="0"/>
                <w:sz w:val="22"/>
                <w:szCs w:val="22"/>
                <w:lang w:val="en-US" w:eastAsia="zh-CN"/>
              </w:rPr>
              <w:t>坚持党建引领的红线,扎实开展“不忘初心、牢记使命”主题教育，抓班子带队伍，坚定干部职工理想信念。</w:t>
            </w:r>
          </w:p>
          <w:p>
            <w:pPr>
              <w:autoSpaceDN w:val="0"/>
              <w:spacing w:line="320" w:lineRule="exact"/>
              <w:jc w:val="left"/>
              <w:textAlignment w:val="center"/>
              <w:rPr>
                <w:rFonts w:hint="eastAsia" w:ascii="仿宋_GB2312" w:hAnsi="宋体" w:eastAsia="仿宋_GB2312" w:cs="仿宋_GB2312"/>
                <w:color w:val="000000"/>
                <w:kern w:val="0"/>
                <w:sz w:val="22"/>
                <w:szCs w:val="22"/>
                <w:lang w:val="en-US" w:eastAsia="zh-CN"/>
              </w:rPr>
            </w:pPr>
            <w:r>
              <w:rPr>
                <w:rFonts w:hint="eastAsia" w:ascii="仿宋_GB2312" w:hAnsi="宋体" w:eastAsia="仿宋_GB2312" w:cs="仿宋_GB2312"/>
                <w:color w:val="000000"/>
                <w:kern w:val="0"/>
                <w:sz w:val="22"/>
                <w:szCs w:val="22"/>
                <w:lang w:eastAsia="zh-CN"/>
              </w:rPr>
              <w:t>任务2：</w:t>
            </w:r>
            <w:r>
              <w:rPr>
                <w:rFonts w:hint="eastAsia" w:ascii="仿宋_GB2312" w:hAnsi="宋体" w:eastAsia="仿宋_GB2312" w:cs="仿宋_GB2312"/>
                <w:color w:val="000000"/>
                <w:kern w:val="0"/>
                <w:sz w:val="22"/>
                <w:szCs w:val="22"/>
                <w:lang w:val="en-US" w:eastAsia="zh-CN"/>
              </w:rPr>
              <w:t>抓实商事改革的主线。进一步深化商事制度“放管服”改革，落实“一件事一次办”，巩固成果，突出特色。</w:t>
            </w:r>
          </w:p>
          <w:p>
            <w:pPr>
              <w:autoSpaceDN w:val="0"/>
              <w:spacing w:line="320" w:lineRule="exact"/>
              <w:jc w:val="left"/>
              <w:textAlignment w:val="center"/>
              <w:rPr>
                <w:rFonts w:hint="eastAsia" w:ascii="仿宋_GB2312" w:hAnsi="宋体" w:eastAsia="仿宋_GB2312" w:cs="仿宋_GB2312"/>
                <w:color w:val="000000"/>
                <w:kern w:val="0"/>
                <w:sz w:val="22"/>
                <w:szCs w:val="22"/>
                <w:lang w:val="en-US" w:eastAsia="zh-CN"/>
              </w:rPr>
            </w:pPr>
            <w:r>
              <w:rPr>
                <w:rFonts w:hint="eastAsia" w:ascii="仿宋_GB2312" w:hAnsi="宋体" w:eastAsia="仿宋_GB2312" w:cs="仿宋_GB2312"/>
                <w:color w:val="000000"/>
                <w:kern w:val="0"/>
                <w:sz w:val="22"/>
                <w:szCs w:val="22"/>
                <w:lang w:eastAsia="zh-CN"/>
              </w:rPr>
              <w:t>任务3：</w:t>
            </w:r>
            <w:r>
              <w:rPr>
                <w:rFonts w:hint="eastAsia" w:ascii="仿宋_GB2312" w:hAnsi="宋体" w:eastAsia="仿宋_GB2312" w:cs="仿宋_GB2312"/>
                <w:color w:val="000000"/>
                <w:kern w:val="0"/>
                <w:sz w:val="22"/>
                <w:szCs w:val="22"/>
                <w:lang w:val="en-US" w:eastAsia="zh-CN"/>
              </w:rPr>
              <w:t>守住市场安全的底线。突出食品药品特种设备、重点工业产品监管，防范风险，维护市场公平正义。紧扣消费维权的热线。</w:t>
            </w:r>
          </w:p>
          <w:p>
            <w:pPr>
              <w:autoSpaceDN w:val="0"/>
              <w:spacing w:line="320" w:lineRule="exact"/>
              <w:jc w:val="left"/>
              <w:textAlignment w:val="center"/>
              <w:rPr>
                <w:rFonts w:ascii="仿宋_GB2312" w:hAnsi="仿宋_GB2312" w:eastAsia="仿宋_GB2312" w:cs="仿宋_GB2312"/>
                <w:color w:val="000000"/>
                <w:kern w:val="2"/>
                <w:sz w:val="24"/>
                <w:szCs w:val="22"/>
                <w:lang w:val="en-US" w:eastAsia="zh-CN" w:bidi="ar-SA"/>
              </w:rPr>
            </w:pPr>
            <w:r>
              <w:rPr>
                <w:rFonts w:hint="eastAsia" w:ascii="仿宋_GB2312" w:hAnsi="宋体" w:eastAsia="仿宋_GB2312" w:cs="仿宋_GB2312"/>
                <w:color w:val="000000"/>
                <w:kern w:val="0"/>
                <w:sz w:val="22"/>
                <w:szCs w:val="22"/>
                <w:lang w:val="en-US" w:eastAsia="zh-CN"/>
              </w:rPr>
              <w:t>任务4：围绕中心，服务大局，完善机构改革，服务新港区中心工作，维护好消费者权益。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26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5"/>
            <w:vAlign w:val="center"/>
          </w:tcPr>
          <w:p>
            <w:pPr>
              <w:autoSpaceDN w:val="0"/>
              <w:spacing w:line="320" w:lineRule="exact"/>
              <w:jc w:val="left"/>
              <w:textAlignment w:val="center"/>
              <w:rPr>
                <w:rFonts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szCs w:val="24"/>
                <w:lang w:val="en-US" w:eastAsia="zh-CN"/>
              </w:rPr>
              <w:t>1、先后完成了“食品经营（仅预包装）备案登记”“住所（经营场）自主申报承诺制”“一业一照”“市场主体登记确认制”等4项行政审批制度创新；2、争取了免予办理CCC认证的权限下放至岳阳；3、采取告知承诺方式对药食同源通关产品进行备案，形成药食同源产品监管新模式；4、2021年被评为全市市场监管系统综合绩效考评先进单位；5、2021年被湖南城陵矶新港区评为服务中国（湖南）自由贸易试验区岳阳片区突出贡献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14" w:hRule="atLeast"/>
          <w:jc w:val="center"/>
        </w:trPr>
        <w:tc>
          <w:tcPr>
            <w:tcW w:w="1700" w:type="dxa"/>
            <w:gridSpan w:val="3"/>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72" w:hRule="atLeast"/>
          <w:jc w:val="center"/>
        </w:trPr>
        <w:tc>
          <w:tcPr>
            <w:tcW w:w="170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195.985</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0</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195.985</w:t>
            </w:r>
          </w:p>
        </w:tc>
        <w:tc>
          <w:tcPr>
            <w:tcW w:w="1705"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0</w:t>
            </w: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0</w:t>
            </w:r>
          </w:p>
        </w:tc>
        <w:tc>
          <w:tcPr>
            <w:tcW w:w="108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195.985</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0</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195.985</w:t>
            </w:r>
          </w:p>
        </w:tc>
        <w:tc>
          <w:tcPr>
            <w:tcW w:w="1705"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0</w:t>
            </w: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0</w:t>
            </w:r>
          </w:p>
        </w:tc>
        <w:tc>
          <w:tcPr>
            <w:tcW w:w="108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left w:val="single" w:color="auto" w:sz="4" w:space="0"/>
              <w:bottom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left w:val="single" w:color="auto" w:sz="4" w:space="0"/>
              <w:bottom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vMerge w:val="continue"/>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77"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195.985</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0</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0</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0</w:t>
            </w: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195.985</w:t>
            </w: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0</w:t>
            </w: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195.985</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0</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0</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0</w:t>
            </w: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195.985</w:t>
            </w: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0</w:t>
            </w: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8"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355"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0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216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2425" w:type="dxa"/>
            <w:gridSpan w:val="5"/>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355"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0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216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2425" w:type="dxa"/>
            <w:gridSpan w:val="5"/>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5"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2435" w:type="dxa"/>
            <w:gridSpan w:val="4"/>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3644" w:type="dxa"/>
            <w:gridSpan w:val="7"/>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941"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2435" w:type="dxa"/>
            <w:gridSpan w:val="4"/>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3644" w:type="dxa"/>
            <w:gridSpan w:val="7"/>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941"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85" w:type="dxa"/>
            <w:gridSpan w:val="9"/>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72"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3774" w:type="dxa"/>
            <w:gridSpan w:val="7"/>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目标1：</w:t>
            </w:r>
            <w:r>
              <w:rPr>
                <w:rFonts w:hint="eastAsia" w:ascii="仿宋_GB2312" w:hAnsi="仿宋_GB2312" w:eastAsia="仿宋_GB2312" w:cs="仿宋_GB2312"/>
                <w:color w:val="000000"/>
                <w:sz w:val="24"/>
                <w:lang w:val="en-US" w:eastAsia="zh-CN"/>
              </w:rPr>
              <w:t>创新机制，高标准承接自贸片区相关工作，服务自贸片区建设；</w:t>
            </w:r>
            <w:r>
              <w:rPr>
                <w:rFonts w:hint="eastAsia" w:ascii="仿宋_GB2312" w:hAnsi="仿宋_GB2312" w:eastAsia="仿宋_GB2312" w:cs="仿宋_GB2312"/>
                <w:color w:val="000000"/>
                <w:sz w:val="24"/>
              </w:rPr>
              <w:t>目标2：</w:t>
            </w:r>
            <w:r>
              <w:rPr>
                <w:rFonts w:hint="eastAsia" w:ascii="仿宋_GB2312" w:hAnsi="仿宋_GB2312" w:eastAsia="仿宋_GB2312" w:cs="仿宋_GB2312"/>
                <w:color w:val="000000"/>
                <w:sz w:val="24"/>
                <w:lang w:eastAsia="zh-CN"/>
              </w:rPr>
              <w:t>加大惠企力度，持续优化营商环境；</w:t>
            </w:r>
          </w:p>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目标3：积极挖掘港区企业专利潜力，促进港区经济高质量发展；</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w:t>
            </w:r>
            <w:r>
              <w:rPr>
                <w:rFonts w:hint="eastAsia" w:ascii="仿宋_GB2312" w:hAnsi="仿宋_GB2312" w:eastAsia="仿宋_GB2312" w:cs="仿宋_GB2312"/>
                <w:color w:val="000000"/>
                <w:sz w:val="24"/>
                <w:lang w:val="en-US" w:eastAsia="zh-CN"/>
              </w:rPr>
              <w:t>4</w:t>
            </w:r>
            <w:r>
              <w:rPr>
                <w:rFonts w:hint="eastAsia" w:ascii="仿宋_GB2312" w:hAnsi="仿宋_GB2312" w:eastAsia="仿宋_GB2312" w:cs="仿宋_GB2312"/>
                <w:color w:val="000000"/>
                <w:sz w:val="24"/>
              </w:rPr>
              <w:t>：</w:t>
            </w:r>
            <w:r>
              <w:rPr>
                <w:rFonts w:hint="eastAsia" w:ascii="仿宋_GB2312" w:hAnsi="仿宋_GB2312" w:eastAsia="仿宋_GB2312" w:cs="仿宋_GB2312"/>
                <w:kern w:val="2"/>
                <w:sz w:val="24"/>
                <w:szCs w:val="24"/>
                <w:lang w:val="en-US" w:eastAsia="zh-CN"/>
              </w:rPr>
              <w:t>守住市场安全的底线。</w:t>
            </w:r>
          </w:p>
        </w:tc>
        <w:tc>
          <w:tcPr>
            <w:tcW w:w="4585" w:type="dxa"/>
            <w:gridSpan w:val="9"/>
            <w:vAlign w:val="center"/>
          </w:tcPr>
          <w:p>
            <w:pPr>
              <w:numPr>
                <w:ilvl w:val="0"/>
                <w:numId w:val="1"/>
              </w:numPr>
              <w:autoSpaceDN w:val="0"/>
              <w:spacing w:line="320" w:lineRule="exact"/>
              <w:ind w:left="0" w:leftChars="0" w:firstLine="0" w:firstLineChars="0"/>
              <w:jc w:val="left"/>
              <w:textAlignment w:val="center"/>
              <w:rPr>
                <w:rFonts w:hint="eastAsia"/>
                <w:lang w:val="en-US" w:eastAsia="zh-CN"/>
              </w:rPr>
            </w:pPr>
            <w:r>
              <w:rPr>
                <w:rFonts w:hint="eastAsia"/>
                <w:lang w:val="en-US" w:eastAsia="zh-CN"/>
              </w:rPr>
              <w:t>先后完成了“食品经营（仅预包装）备案登记”“住所（经营场）自主申报承诺制”“一业一照”“市场主体登记确认制”等4项行政审批制度创新；完成市场主体登记注册2280户，其中企业1743户，个体工商户537户，同比增长300%，超额完成了岳阳自贸片区新增市场主体2000户目标。</w:t>
            </w:r>
          </w:p>
          <w:p>
            <w:pPr>
              <w:numPr>
                <w:ilvl w:val="0"/>
                <w:numId w:val="1"/>
              </w:numPr>
              <w:autoSpaceDN w:val="0"/>
              <w:spacing w:line="320" w:lineRule="exact"/>
              <w:ind w:left="0" w:leftChars="0" w:firstLine="0" w:firstLineChars="0"/>
              <w:jc w:val="left"/>
              <w:textAlignment w:val="center"/>
              <w:rPr>
                <w:rFonts w:hint="eastAsia"/>
                <w:lang w:val="en-US" w:eastAsia="zh-CN"/>
              </w:rPr>
            </w:pPr>
            <w:r>
              <w:rPr>
                <w:rFonts w:hint="eastAsia"/>
                <w:lang w:val="en-US" w:eastAsia="zh-CN"/>
              </w:rPr>
              <w:t>争取了免予办理CCC认证的权限下放至岳阳；采取告知承诺方式对药食同源通关产品进行备案，形成药食同源产品监管新模式。</w:t>
            </w:r>
          </w:p>
          <w:p>
            <w:pPr>
              <w:numPr>
                <w:ilvl w:val="0"/>
                <w:numId w:val="1"/>
              </w:numPr>
              <w:autoSpaceDN w:val="0"/>
              <w:spacing w:line="320" w:lineRule="exact"/>
              <w:ind w:left="0" w:leftChars="0" w:firstLine="0" w:firstLineChars="0"/>
              <w:jc w:val="left"/>
              <w:textAlignment w:val="center"/>
            </w:pPr>
            <w:r>
              <w:rPr>
                <w:rFonts w:hint="eastAsia"/>
                <w:lang w:val="en-US" w:eastAsia="zh-CN"/>
              </w:rPr>
              <w:t>举办7期大型知识产权培训讲座，港区企业共360余人（次）参加，帮助企业获得银行质押融资贷款。4、按下达指标100%完成各类抽检任务。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（部门工作实绩，包含上级部门和市委市政府布置的重点工作、实事任务等，根据部门实际进行调整细化）</w:t>
            </w: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4"/>
            <w:vAlign w:val="center"/>
          </w:tcPr>
          <w:p>
            <w:pPr>
              <w:spacing w:line="360" w:lineRule="exact"/>
              <w:jc w:val="both"/>
              <w:rPr>
                <w:rFonts w:hint="default" w:ascii="Times New Roman" w:hAnsi="Times New Roman" w:eastAsia="仿宋_GB2312" w:cs="Times New Roman"/>
                <w:kern w:val="2"/>
                <w:sz w:val="24"/>
                <w:szCs w:val="24"/>
                <w:lang w:val="en-US" w:eastAsia="zh-CN" w:bidi="ar-SA"/>
              </w:rPr>
            </w:pPr>
            <w:r>
              <w:rPr>
                <w:rFonts w:hint="eastAsia" w:eastAsia="仿宋_GB2312"/>
                <w:sz w:val="24"/>
                <w:lang w:eastAsia="zh-CN"/>
              </w:rPr>
              <w:t>指标</w:t>
            </w:r>
            <w:r>
              <w:rPr>
                <w:rFonts w:hint="eastAsia" w:eastAsia="仿宋_GB2312"/>
                <w:sz w:val="24"/>
                <w:lang w:val="en-US" w:eastAsia="zh-CN"/>
              </w:rPr>
              <w:t>1：</w:t>
            </w:r>
            <w:r>
              <w:rPr>
                <w:rFonts w:hint="eastAsia" w:eastAsia="仿宋_GB2312"/>
                <w:sz w:val="24"/>
                <w:lang w:eastAsia="zh-CN"/>
              </w:rPr>
              <w:t>抽检结果完成</w:t>
            </w:r>
            <w:r>
              <w:rPr>
                <w:rFonts w:hint="eastAsia" w:eastAsia="仿宋_GB2312"/>
                <w:sz w:val="24"/>
                <w:lang w:val="en-US" w:eastAsia="zh-CN"/>
              </w:rPr>
              <w:t>:100%</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kern w:val="2"/>
                <w:sz w:val="24"/>
                <w:szCs w:val="22"/>
                <w:lang w:val="en-US" w:eastAsia="zh-CN" w:bidi="ar-SA"/>
              </w:rPr>
            </w:pPr>
            <w:r>
              <w:rPr>
                <w:rFonts w:hint="eastAsia" w:ascii="仿宋_GB2312" w:hAnsi="仿宋_GB2312" w:eastAsia="仿宋_GB2312" w:cs="仿宋_GB2312"/>
                <w:b w:val="0"/>
                <w:bCs/>
                <w:color w:val="000000"/>
                <w:sz w:val="24"/>
                <w:lang w:eastAsia="zh-CN"/>
              </w:rPr>
              <w:t>实际完成</w:t>
            </w:r>
            <w:r>
              <w:rPr>
                <w:rFonts w:hint="eastAsia" w:ascii="仿宋_GB2312" w:hAnsi="仿宋_GB2312" w:eastAsia="仿宋_GB2312" w:cs="仿宋_GB2312"/>
                <w:b w:val="0"/>
                <w:bCs/>
                <w:color w:val="000000"/>
                <w:sz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spacing w:line="320" w:lineRule="exact"/>
              <w:rPr>
                <w:rFonts w:ascii="仿宋_GB2312" w:hAnsi="仿宋_GB2312" w:eastAsia="仿宋_GB2312" w:cs="仿宋_GB2312"/>
                <w:sz w:val="24"/>
              </w:rPr>
            </w:pPr>
          </w:p>
        </w:tc>
        <w:tc>
          <w:tcPr>
            <w:tcW w:w="2709" w:type="dxa"/>
            <w:gridSpan w:val="4"/>
            <w:vAlign w:val="center"/>
          </w:tcPr>
          <w:p>
            <w:pPr>
              <w:spacing w:line="360" w:lineRule="exact"/>
              <w:jc w:val="left"/>
              <w:rPr>
                <w:rFonts w:hint="default" w:ascii="Times New Roman" w:hAnsi="Times New Roman" w:eastAsia="仿宋_GB2312" w:cs="Times New Roman"/>
                <w:kern w:val="2"/>
                <w:sz w:val="24"/>
                <w:szCs w:val="24"/>
                <w:lang w:val="en-US" w:eastAsia="zh-CN" w:bidi="ar-SA"/>
              </w:rPr>
            </w:pPr>
            <w:r>
              <w:rPr>
                <w:rFonts w:hint="eastAsia" w:eastAsia="仿宋_GB2312"/>
                <w:sz w:val="24"/>
                <w:lang w:val="en-US" w:eastAsia="zh-CN"/>
              </w:rPr>
              <w:t>指标2：发生</w:t>
            </w:r>
            <w:r>
              <w:rPr>
                <w:rFonts w:hint="eastAsia" w:eastAsia="仿宋_GB2312"/>
                <w:sz w:val="24"/>
                <w:lang w:eastAsia="zh-CN"/>
              </w:rPr>
              <w:t>影响恶劣的重大执法违法违规事件为</w:t>
            </w:r>
            <w:r>
              <w:rPr>
                <w:rFonts w:hint="eastAsia" w:eastAsia="仿宋_GB2312"/>
                <w:sz w:val="24"/>
                <w:lang w:val="en-US" w:eastAsia="zh-CN"/>
              </w:rPr>
              <w:t>0次</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kern w:val="2"/>
                <w:sz w:val="24"/>
                <w:szCs w:val="22"/>
                <w:lang w:val="en-US" w:eastAsia="zh-CN" w:bidi="ar-SA"/>
              </w:rPr>
            </w:pPr>
            <w:r>
              <w:rPr>
                <w:rFonts w:hint="eastAsia" w:ascii="仿宋_GB2312" w:hAnsi="仿宋_GB2312" w:eastAsia="仿宋_GB2312" w:cs="仿宋_GB2312"/>
                <w:b w:val="0"/>
                <w:bCs/>
                <w:color w:val="000000"/>
                <w:sz w:val="24"/>
                <w:lang w:eastAsia="zh-CN"/>
              </w:rPr>
              <w:t>实际无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spacing w:line="320" w:lineRule="exact"/>
              <w:rPr>
                <w:rFonts w:ascii="仿宋_GB2312" w:hAnsi="仿宋_GB2312" w:eastAsia="仿宋_GB2312" w:cs="仿宋_GB2312"/>
                <w:sz w:val="24"/>
              </w:rPr>
            </w:pPr>
          </w:p>
        </w:tc>
        <w:tc>
          <w:tcPr>
            <w:tcW w:w="2709" w:type="dxa"/>
            <w:gridSpan w:val="4"/>
            <w:vAlign w:val="center"/>
          </w:tcPr>
          <w:p>
            <w:pPr>
              <w:spacing w:line="360" w:lineRule="exact"/>
              <w:jc w:val="left"/>
              <w:rPr>
                <w:rFonts w:ascii="仿宋_GB2312" w:hAnsi="仿宋_GB2312" w:eastAsia="仿宋_GB2312" w:cs="仿宋_GB2312"/>
                <w:color w:val="000000"/>
                <w:sz w:val="24"/>
              </w:rPr>
            </w:pPr>
            <w:r>
              <w:rPr>
                <w:rFonts w:hint="eastAsia" w:eastAsia="仿宋_GB2312"/>
                <w:sz w:val="24"/>
                <w:lang w:eastAsia="zh-CN"/>
              </w:rPr>
              <w:t>指标</w:t>
            </w:r>
            <w:r>
              <w:rPr>
                <w:rFonts w:hint="eastAsia" w:eastAsia="仿宋_GB2312"/>
                <w:sz w:val="24"/>
                <w:lang w:val="en-US" w:eastAsia="zh-CN"/>
              </w:rPr>
              <w:t>3：</w:t>
            </w:r>
            <w:r>
              <w:rPr>
                <w:rFonts w:hint="eastAsia" w:eastAsia="仿宋_GB2312"/>
                <w:sz w:val="24"/>
                <w:lang w:eastAsia="zh-CN"/>
              </w:rPr>
              <w:t>食品生产环节发生系统性、区域性安全事故次数为</w:t>
            </w:r>
            <w:r>
              <w:rPr>
                <w:rFonts w:hint="eastAsia" w:eastAsia="仿宋_GB2312"/>
                <w:sz w:val="24"/>
                <w:lang w:val="en-US" w:eastAsia="zh-CN"/>
              </w:rPr>
              <w:t>0次</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val="0"/>
                <w:bCs/>
                <w:color w:val="000000"/>
                <w:sz w:val="24"/>
                <w:lang w:eastAsia="zh-CN"/>
              </w:rPr>
              <w:t>实际无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4"/>
            <w:vAlign w:val="center"/>
          </w:tcPr>
          <w:p>
            <w:pPr>
              <w:spacing w:line="360" w:lineRule="exact"/>
              <w:jc w:val="left"/>
              <w:rPr>
                <w:rFonts w:ascii="仿宋_GB2312" w:hAnsi="仿宋_GB2312" w:eastAsia="仿宋_GB2312" w:cs="仿宋_GB2312"/>
                <w:color w:val="000000"/>
                <w:sz w:val="24"/>
                <w:highlight w:val="none"/>
              </w:rPr>
            </w:pPr>
            <w:r>
              <w:rPr>
                <w:rFonts w:hint="eastAsia" w:eastAsia="仿宋_GB2312"/>
                <w:sz w:val="24"/>
                <w:highlight w:val="none"/>
                <w:lang w:eastAsia="zh-CN"/>
              </w:rPr>
              <w:t>指标</w:t>
            </w:r>
            <w:r>
              <w:rPr>
                <w:rFonts w:hint="eastAsia" w:eastAsia="仿宋_GB2312"/>
                <w:sz w:val="24"/>
                <w:highlight w:val="none"/>
                <w:lang w:val="en-US" w:eastAsia="zh-CN"/>
              </w:rPr>
              <w:t>1：</w:t>
            </w:r>
            <w:r>
              <w:rPr>
                <w:rFonts w:hint="eastAsia" w:eastAsia="仿宋_GB2312"/>
                <w:sz w:val="24"/>
                <w:highlight w:val="none"/>
                <w:lang w:eastAsia="zh-CN"/>
              </w:rPr>
              <w:t>食品抽检</w:t>
            </w:r>
            <w:r>
              <w:rPr>
                <w:rFonts w:hint="eastAsia" w:eastAsia="仿宋_GB2312"/>
                <w:sz w:val="24"/>
                <w:highlight w:val="none"/>
                <w:lang w:val="en-US" w:eastAsia="zh-CN"/>
              </w:rPr>
              <w:t>60</w:t>
            </w:r>
            <w:r>
              <w:rPr>
                <w:rFonts w:hint="eastAsia" w:eastAsia="仿宋_GB2312"/>
                <w:sz w:val="24"/>
                <w:highlight w:val="none"/>
                <w:lang w:eastAsia="zh-CN"/>
              </w:rPr>
              <w:t>批次</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highlight w:val="none"/>
              </w:rPr>
            </w:pPr>
            <w:r>
              <w:rPr>
                <w:rFonts w:hint="eastAsia" w:eastAsia="仿宋_GB2312"/>
                <w:sz w:val="24"/>
                <w:highlight w:val="none"/>
                <w:lang w:val="en-US" w:eastAsia="zh-CN"/>
              </w:rPr>
              <w:t>完成抽检60批次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vAlign w:val="center"/>
          </w:tcPr>
          <w:p>
            <w:pPr>
              <w:spacing w:line="360" w:lineRule="exact"/>
              <w:jc w:val="left"/>
              <w:rPr>
                <w:rFonts w:ascii="仿宋_GB2312" w:hAnsi="仿宋_GB2312" w:eastAsia="仿宋_GB2312" w:cs="仿宋_GB2312"/>
                <w:color w:val="000000"/>
                <w:sz w:val="24"/>
                <w:highlight w:val="none"/>
              </w:rPr>
            </w:pPr>
            <w:r>
              <w:rPr>
                <w:rFonts w:hint="eastAsia" w:eastAsia="仿宋_GB2312"/>
                <w:sz w:val="24"/>
                <w:highlight w:val="none"/>
                <w:lang w:eastAsia="zh-CN"/>
              </w:rPr>
              <w:t>指标</w:t>
            </w:r>
            <w:r>
              <w:rPr>
                <w:rFonts w:hint="eastAsia" w:eastAsia="仿宋_GB2312"/>
                <w:sz w:val="24"/>
                <w:highlight w:val="none"/>
                <w:lang w:val="en-US" w:eastAsia="zh-CN"/>
              </w:rPr>
              <w:t>2：药品</w:t>
            </w:r>
            <w:r>
              <w:rPr>
                <w:rFonts w:hint="eastAsia" w:eastAsia="仿宋_GB2312"/>
                <w:sz w:val="24"/>
                <w:highlight w:val="none"/>
                <w:lang w:eastAsia="zh-CN"/>
              </w:rPr>
              <w:t>抽检</w:t>
            </w:r>
            <w:r>
              <w:rPr>
                <w:rFonts w:hint="eastAsia" w:eastAsia="仿宋_GB2312"/>
                <w:sz w:val="24"/>
                <w:highlight w:val="none"/>
                <w:lang w:val="en-US" w:eastAsia="zh-CN"/>
              </w:rPr>
              <w:t>10</w:t>
            </w:r>
            <w:r>
              <w:rPr>
                <w:rFonts w:hint="eastAsia" w:eastAsia="仿宋_GB2312"/>
                <w:sz w:val="24"/>
                <w:highlight w:val="none"/>
                <w:lang w:eastAsia="zh-CN"/>
              </w:rPr>
              <w:t>批次</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highlight w:val="none"/>
              </w:rPr>
            </w:pPr>
            <w:r>
              <w:rPr>
                <w:rFonts w:hint="eastAsia" w:eastAsia="仿宋_GB2312"/>
                <w:sz w:val="24"/>
                <w:highlight w:val="none"/>
                <w:lang w:val="en-US" w:eastAsia="zh-CN"/>
              </w:rPr>
              <w:t>完成抽检10批次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vAlign w:val="center"/>
          </w:tcPr>
          <w:p>
            <w:pPr>
              <w:spacing w:line="360" w:lineRule="exact"/>
              <w:jc w:val="left"/>
              <w:rPr>
                <w:rFonts w:ascii="仿宋_GB2312" w:hAnsi="仿宋_GB2312" w:eastAsia="仿宋_GB2312" w:cs="仿宋_GB2312"/>
                <w:color w:val="000000"/>
                <w:sz w:val="24"/>
              </w:rPr>
            </w:pPr>
            <w:r>
              <w:rPr>
                <w:rFonts w:hint="eastAsia" w:eastAsia="仿宋_GB2312"/>
                <w:sz w:val="24"/>
                <w:lang w:eastAsia="zh-CN"/>
              </w:rPr>
              <w:t>指标</w:t>
            </w:r>
            <w:r>
              <w:rPr>
                <w:rFonts w:hint="eastAsia" w:eastAsia="仿宋_GB2312"/>
                <w:sz w:val="24"/>
                <w:lang w:val="en-US" w:eastAsia="zh-CN"/>
              </w:rPr>
              <w:t>3：特种设备定检率100%</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eastAsia="仿宋_GB2312"/>
                <w:sz w:val="24"/>
                <w:lang w:val="en-US" w:eastAsia="zh-CN"/>
              </w:rPr>
              <w:t>完成100%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vAlign w:val="center"/>
          </w:tcPr>
          <w:p>
            <w:pPr>
              <w:spacing w:line="360" w:lineRule="exact"/>
              <w:jc w:val="left"/>
              <w:rPr>
                <w:rFonts w:hint="eastAsia" w:ascii="仿宋_GB2312" w:hAnsi="仿宋_GB2312" w:eastAsia="仿宋_GB2312" w:cs="仿宋_GB2312"/>
                <w:color w:val="000000"/>
                <w:sz w:val="24"/>
              </w:rPr>
            </w:pPr>
            <w:r>
              <w:rPr>
                <w:rFonts w:hint="eastAsia" w:eastAsia="仿宋_GB2312"/>
                <w:sz w:val="24"/>
                <w:lang w:eastAsia="zh-CN"/>
              </w:rPr>
              <w:t>指标</w:t>
            </w:r>
            <w:r>
              <w:rPr>
                <w:rFonts w:hint="eastAsia" w:eastAsia="仿宋_GB2312"/>
                <w:sz w:val="24"/>
                <w:lang w:val="en-US" w:eastAsia="zh-CN"/>
              </w:rPr>
              <w:t>4：</w:t>
            </w:r>
            <w:r>
              <w:rPr>
                <w:rFonts w:hint="eastAsia" w:eastAsia="仿宋_GB2312"/>
                <w:sz w:val="24"/>
                <w:lang w:eastAsia="zh-CN"/>
              </w:rPr>
              <w:t>巡查</w:t>
            </w:r>
            <w:r>
              <w:rPr>
                <w:rFonts w:hint="eastAsia" w:eastAsia="仿宋_GB2312"/>
                <w:sz w:val="24"/>
                <w:lang w:val="en-US" w:eastAsia="zh-CN"/>
              </w:rPr>
              <w:t>食品经营户覆盖率100%</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eastAsia="仿宋_GB2312"/>
                <w:sz w:val="24"/>
                <w:lang w:val="en-US" w:eastAsia="zh-CN"/>
              </w:rPr>
              <w:t>完成100%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4"/>
            <w:vAlign w:val="center"/>
          </w:tcPr>
          <w:p>
            <w:pPr>
              <w:spacing w:line="360" w:lineRule="exact"/>
              <w:jc w:val="center"/>
              <w:rPr>
                <w:rFonts w:ascii="仿宋_GB2312" w:hAnsi="仿宋_GB2312" w:eastAsia="仿宋_GB2312" w:cs="仿宋_GB2312"/>
                <w:color w:val="000000"/>
                <w:sz w:val="24"/>
                <w:highlight w:val="none"/>
              </w:rPr>
            </w:pPr>
            <w:r>
              <w:rPr>
                <w:rFonts w:hint="eastAsia" w:eastAsia="仿宋_GB2312"/>
                <w:sz w:val="24"/>
                <w:highlight w:val="none"/>
                <w:lang w:eastAsia="zh-CN"/>
              </w:rPr>
              <w:t>指标</w:t>
            </w:r>
            <w:r>
              <w:rPr>
                <w:rFonts w:hint="eastAsia" w:eastAsia="仿宋_GB2312"/>
                <w:sz w:val="24"/>
                <w:highlight w:val="none"/>
                <w:lang w:val="en-US" w:eastAsia="zh-CN"/>
              </w:rPr>
              <w:t>1：</w:t>
            </w:r>
            <w:r>
              <w:rPr>
                <w:rFonts w:hint="eastAsia" w:eastAsia="仿宋_GB2312"/>
                <w:sz w:val="24"/>
                <w:highlight w:val="none"/>
                <w:lang w:eastAsia="zh-CN"/>
              </w:rPr>
              <w:t>抽样于</w:t>
            </w:r>
            <w:r>
              <w:rPr>
                <w:rFonts w:hint="eastAsia" w:eastAsia="仿宋_GB2312"/>
                <w:sz w:val="24"/>
                <w:highlight w:val="none"/>
                <w:lang w:val="en-US" w:eastAsia="zh-CN"/>
              </w:rPr>
              <w:t>11月30日前</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highlight w:val="none"/>
              </w:rPr>
            </w:pPr>
            <w:r>
              <w:rPr>
                <w:rFonts w:hint="eastAsia" w:ascii="仿宋_GB2312" w:hAnsi="仿宋_GB2312" w:eastAsia="仿宋_GB2312" w:cs="仿宋_GB2312"/>
                <w:b w:val="0"/>
                <w:bCs/>
                <w:color w:val="000000"/>
                <w:sz w:val="24"/>
                <w:highlight w:val="none"/>
                <w:lang w:eastAsia="zh-CN"/>
              </w:rPr>
              <w:t>与时间匹配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709" w:type="dxa"/>
            <w:gridSpan w:val="4"/>
            <w:vAlign w:val="center"/>
          </w:tcPr>
          <w:p>
            <w:pPr>
              <w:spacing w:line="360" w:lineRule="exact"/>
              <w:jc w:val="center"/>
              <w:rPr>
                <w:rFonts w:ascii="仿宋_GB2312" w:hAnsi="仿宋_GB2312" w:eastAsia="仿宋_GB2312" w:cs="仿宋_GB2312"/>
                <w:color w:val="000000"/>
                <w:sz w:val="24"/>
                <w:highlight w:val="none"/>
              </w:rPr>
            </w:pPr>
            <w:r>
              <w:rPr>
                <w:rFonts w:hint="eastAsia" w:eastAsia="仿宋_GB2312"/>
                <w:sz w:val="24"/>
                <w:highlight w:val="none"/>
                <w:lang w:eastAsia="zh-CN"/>
              </w:rPr>
              <w:t>指标</w:t>
            </w:r>
            <w:r>
              <w:rPr>
                <w:rFonts w:hint="eastAsia" w:eastAsia="仿宋_GB2312"/>
                <w:sz w:val="24"/>
                <w:highlight w:val="none"/>
                <w:lang w:val="en-US" w:eastAsia="zh-CN"/>
              </w:rPr>
              <w:t>2：</w:t>
            </w:r>
            <w:r>
              <w:rPr>
                <w:rFonts w:hint="eastAsia" w:eastAsia="仿宋_GB2312"/>
                <w:sz w:val="24"/>
                <w:highlight w:val="none"/>
                <w:lang w:eastAsia="zh-CN"/>
              </w:rPr>
              <w:t>检验与</w:t>
            </w:r>
            <w:r>
              <w:rPr>
                <w:rFonts w:hint="eastAsia" w:eastAsia="仿宋_GB2312"/>
                <w:sz w:val="24"/>
                <w:highlight w:val="none"/>
                <w:lang w:val="en-US" w:eastAsia="zh-CN"/>
              </w:rPr>
              <w:t>12月30日前</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highlight w:val="none"/>
              </w:rPr>
            </w:pPr>
            <w:r>
              <w:rPr>
                <w:rFonts w:hint="eastAsia" w:ascii="仿宋_GB2312" w:hAnsi="仿宋_GB2312" w:eastAsia="仿宋_GB2312" w:cs="仿宋_GB2312"/>
                <w:b w:val="0"/>
                <w:bCs/>
                <w:color w:val="000000"/>
                <w:sz w:val="24"/>
                <w:highlight w:val="none"/>
                <w:lang w:eastAsia="zh-CN"/>
              </w:rPr>
              <w:t>与时间匹配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eastAsia="zh-CN"/>
              </w:rPr>
              <w:t>消费者对消费环境满意度</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val="0"/>
                <w:bCs/>
                <w:color w:val="000000"/>
                <w:sz w:val="24"/>
                <w:lang w:eastAsia="zh-CN"/>
              </w:rPr>
              <w:t>达到</w:t>
            </w:r>
            <w:r>
              <w:rPr>
                <w:rFonts w:hint="eastAsia" w:ascii="仿宋_GB2312" w:hAnsi="仿宋_GB2312" w:eastAsia="仿宋_GB2312" w:cs="仿宋_GB2312"/>
                <w:b w:val="0"/>
                <w:bCs/>
                <w:color w:val="000000"/>
                <w:sz w:val="24"/>
                <w:lang w:val="en-US" w:eastAsia="zh-CN"/>
              </w:rPr>
              <w:t>90%以上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vAlign w:val="center"/>
          </w:tcPr>
          <w:p>
            <w:pPr>
              <w:autoSpaceDN w:val="0"/>
              <w:spacing w:line="320" w:lineRule="exact"/>
              <w:jc w:val="both"/>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99分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vAlign w:val="center"/>
          </w:tcPr>
          <w:p>
            <w:pPr>
              <w:autoSpaceDN w:val="0"/>
              <w:spacing w:line="320" w:lineRule="exact"/>
              <w:jc w:val="both"/>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尹赤波</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副局长</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市场监管局新港区分局</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黎诗妤</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报账员</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市场监管局新港区分局</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94" w:hRule="atLeast"/>
          <w:jc w:val="center"/>
        </w:trPr>
        <w:tc>
          <w:tcPr>
            <w:tcW w:w="9800" w:type="dxa"/>
            <w:gridSpan w:val="17"/>
            <w:vAlign w:val="center"/>
          </w:tcPr>
          <w:p>
            <w:pPr>
              <w:spacing w:line="320" w:lineRule="exact"/>
              <w:rPr>
                <w:rFonts w:eastAsia="仿宋_GB2312"/>
                <w:sz w:val="24"/>
              </w:rPr>
            </w:pPr>
            <w:r>
              <w:rPr>
                <w:rFonts w:hint="eastAsia" w:eastAsia="仿宋_GB2312"/>
                <w:sz w:val="24"/>
              </w:rPr>
              <w:t>财政部门归口业务科室意见：</w:t>
            </w: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r>
              <w:rPr>
                <w:rFonts w:hint="eastAsia" w:eastAsia="仿宋_GB2312"/>
                <w:sz w:val="24"/>
              </w:rPr>
              <w:t xml:space="preserve">                                  财政部门归口业务科室负责人（签章）：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eastAsia="仿宋_GB2312"/>
                <w:sz w:val="24"/>
              </w:rPr>
              <w:t xml:space="preserve">                                                                 年    月   日</w:t>
            </w:r>
          </w:p>
        </w:tc>
      </w:tr>
    </w:tbl>
    <w:p>
      <w:pPr>
        <w:rPr>
          <w:rFonts w:eastAsia="仿宋_GB2312" w:cs="仿宋_GB2312"/>
          <w:bCs/>
          <w:sz w:val="28"/>
          <w:szCs w:val="28"/>
        </w:rPr>
      </w:pPr>
      <w:r>
        <w:rPr>
          <w:rFonts w:hint="eastAsia" w:eastAsia="仿宋_GB2312" w:cs="仿宋_GB2312"/>
          <w:bCs/>
          <w:sz w:val="28"/>
          <w:szCs w:val="28"/>
        </w:rPr>
        <w:t>填报人（签名）：                          联系电话：</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tcPr>
          <w:p>
            <w:pPr>
              <w:jc w:val="center"/>
              <w:rPr>
                <w:rFonts w:ascii="黑体" w:hAnsi="黑体" w:eastAsia="黑体" w:cs="黑体"/>
                <w:bCs/>
                <w:sz w:val="28"/>
                <w:szCs w:val="28"/>
              </w:rPr>
            </w:pPr>
            <w:r>
              <w:rPr>
                <w:rFonts w:hint="eastAsia" w:ascii="黑体" w:hAnsi="黑体" w:eastAsia="黑体" w:cs="黑体"/>
                <w:bCs/>
                <w:sz w:val="28"/>
                <w:szCs w:val="28"/>
              </w:rPr>
              <w:t>五、评价报告综述（文字部分）</w:t>
            </w:r>
          </w:p>
          <w:p>
            <w:pPr>
              <w:spacing w:line="440" w:lineRule="exact"/>
              <w:ind w:firstLine="640" w:firstLineChars="200"/>
              <w:rPr>
                <w:rFonts w:eastAsia="仿宋_GB2312"/>
                <w:sz w:val="32"/>
                <w:szCs w:val="32"/>
              </w:rPr>
            </w:pP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一、部门（单位）概况</w:t>
            </w:r>
          </w:p>
          <w:p>
            <w:pPr>
              <w:pStyle w:val="4"/>
              <w:shd w:val="clear" w:color="auto" w:fill="FFFFFF"/>
              <w:spacing w:before="0" w:beforeAutospacing="0" w:after="0" w:afterAutospacing="0"/>
              <w:ind w:firstLine="422" w:firstLineChars="150"/>
              <w:rPr>
                <w:rFonts w:ascii="Arial" w:hAnsi="Arial" w:cs="Arial"/>
                <w:b/>
                <w:bCs w:val="0"/>
                <w:sz w:val="28"/>
              </w:rPr>
            </w:pPr>
            <w:r>
              <w:rPr>
                <w:rFonts w:hint="eastAsia" w:ascii="仿宋_GB2312" w:hAnsi="仿宋_GB2312" w:eastAsia="仿宋_GB2312" w:cs="仿宋_GB2312"/>
                <w:b/>
                <w:bCs w:val="0"/>
                <w:sz w:val="28"/>
                <w:szCs w:val="28"/>
                <w:lang w:val="en-US" w:eastAsia="zh-CN"/>
              </w:rPr>
              <w:t>1、机构设置</w:t>
            </w:r>
          </w:p>
          <w:p>
            <w:pPr>
              <w:pStyle w:val="4"/>
              <w:shd w:val="clear" w:color="auto" w:fill="FFFFFF"/>
              <w:spacing w:before="0" w:beforeAutospacing="0" w:after="0" w:afterAutospacing="0"/>
              <w:ind w:firstLine="570"/>
              <w:rPr>
                <w:rFonts w:hint="eastAsia" w:ascii="仿宋_GB2312" w:hAnsi="仿宋_GB2312" w:eastAsia="仿宋_GB2312" w:cs="仿宋_GB2312"/>
                <w:color w:val="333333"/>
                <w:sz w:val="28"/>
                <w:szCs w:val="28"/>
                <w:lang w:eastAsia="zh-CN"/>
              </w:rPr>
            </w:pPr>
            <w:r>
              <w:rPr>
                <w:rFonts w:hint="eastAsia" w:ascii="仿宋_GB2312" w:hAnsi="仿宋_GB2312" w:eastAsia="仿宋_GB2312" w:cs="仿宋_GB2312"/>
                <w:color w:val="333333"/>
                <w:sz w:val="28"/>
                <w:szCs w:val="28"/>
                <w:lang w:eastAsia="zh-CN"/>
              </w:rPr>
              <w:t>根据市委编办核定，我局设置机构</w:t>
            </w:r>
            <w:r>
              <w:rPr>
                <w:rFonts w:hint="eastAsia" w:ascii="仿宋_GB2312" w:hAnsi="仿宋_GB2312" w:eastAsia="仿宋_GB2312" w:cs="仿宋_GB2312"/>
                <w:color w:val="333333"/>
                <w:sz w:val="28"/>
                <w:szCs w:val="28"/>
                <w:lang w:val="en-US" w:eastAsia="zh-CN"/>
              </w:rPr>
              <w:t>4个，其中</w:t>
            </w:r>
            <w:r>
              <w:rPr>
                <w:rFonts w:hint="eastAsia" w:ascii="仿宋_GB2312" w:hAnsi="仿宋_GB2312" w:eastAsia="仿宋_GB2312" w:cs="仿宋_GB2312"/>
                <w:color w:val="333333"/>
                <w:sz w:val="28"/>
                <w:szCs w:val="28"/>
                <w:lang w:eastAsia="zh-CN"/>
              </w:rPr>
              <w:t>内设机构</w:t>
            </w:r>
            <w:r>
              <w:rPr>
                <w:rFonts w:hint="eastAsia" w:ascii="仿宋_GB2312" w:hAnsi="仿宋_GB2312" w:eastAsia="仿宋_GB2312" w:cs="仿宋_GB2312"/>
                <w:color w:val="333333"/>
                <w:sz w:val="28"/>
                <w:szCs w:val="28"/>
                <w:lang w:val="en-US" w:eastAsia="zh-CN"/>
              </w:rPr>
              <w:t>3</w:t>
            </w:r>
            <w:r>
              <w:rPr>
                <w:rFonts w:hint="eastAsia" w:ascii="仿宋_GB2312" w:hAnsi="仿宋_GB2312" w:eastAsia="仿宋_GB2312" w:cs="仿宋_GB2312"/>
                <w:color w:val="333333"/>
                <w:sz w:val="28"/>
                <w:szCs w:val="28"/>
                <w:lang w:eastAsia="zh-CN"/>
              </w:rPr>
              <w:t>个，</w:t>
            </w:r>
            <w:r>
              <w:rPr>
                <w:rFonts w:hint="eastAsia" w:ascii="仿宋_GB2312" w:hAnsi="仿宋_GB2312" w:eastAsia="仿宋_GB2312" w:cs="仿宋_GB2312"/>
                <w:color w:val="333333"/>
                <w:sz w:val="28"/>
                <w:szCs w:val="28"/>
                <w:lang w:val="en-US" w:eastAsia="zh-CN"/>
              </w:rPr>
              <w:t>副科级市场监管所1个。</w:t>
            </w:r>
            <w:r>
              <w:rPr>
                <w:rFonts w:hint="eastAsia" w:ascii="仿宋_GB2312" w:hAnsi="仿宋_GB2312" w:eastAsia="仿宋_GB2312" w:cs="仿宋_GB2312"/>
                <w:color w:val="333333"/>
                <w:sz w:val="28"/>
                <w:szCs w:val="28"/>
                <w:lang w:eastAsia="zh-CN"/>
              </w:rPr>
              <w:t>内设科室分别是</w:t>
            </w:r>
            <w:r>
              <w:rPr>
                <w:rFonts w:hint="eastAsia" w:ascii="仿宋_GB2312" w:hAnsi="仿宋_GB2312" w:eastAsia="仿宋_GB2312" w:cs="仿宋_GB2312"/>
                <w:color w:val="333333"/>
                <w:sz w:val="28"/>
                <w:szCs w:val="28"/>
                <w:lang w:val="en-US" w:eastAsia="zh-CN"/>
              </w:rPr>
              <w:t>行政综合办公室、登记注册和信息化股（非公党建办公室）、综合业务股</w:t>
            </w:r>
            <w:r>
              <w:rPr>
                <w:rFonts w:hint="eastAsia" w:ascii="仿宋_GB2312" w:hAnsi="仿宋_GB2312" w:eastAsia="仿宋_GB2312" w:cs="仿宋_GB2312"/>
                <w:color w:val="333333"/>
                <w:sz w:val="28"/>
                <w:szCs w:val="28"/>
                <w:lang w:eastAsia="zh-CN"/>
              </w:rPr>
              <w:t>。</w:t>
            </w:r>
          </w:p>
          <w:p>
            <w:pPr>
              <w:pStyle w:val="4"/>
              <w:shd w:val="clear" w:color="auto" w:fill="FFFFFF"/>
              <w:spacing w:before="0" w:beforeAutospacing="0" w:after="0" w:afterAutospacing="0"/>
              <w:ind w:firstLine="570"/>
              <w:rPr>
                <w:rFonts w:hint="eastAsia" w:ascii="仿宋_GB2312" w:hAnsi="仿宋_GB2312" w:eastAsia="仿宋_GB2312" w:cs="仿宋_GB2312"/>
                <w:color w:val="333333"/>
                <w:sz w:val="28"/>
                <w:szCs w:val="28"/>
                <w:lang w:eastAsia="zh-CN"/>
              </w:rPr>
            </w:pPr>
            <w:r>
              <w:rPr>
                <w:rFonts w:hint="eastAsia" w:ascii="仿宋_GB2312" w:hAnsi="仿宋_GB2312" w:eastAsia="仿宋_GB2312" w:cs="仿宋_GB2312"/>
                <w:color w:val="333333"/>
                <w:sz w:val="28"/>
                <w:szCs w:val="28"/>
                <w:lang w:val="en-US" w:eastAsia="zh-CN"/>
              </w:rPr>
              <w:t>副科级市场监管所是新港市场监管所</w:t>
            </w:r>
            <w:r>
              <w:rPr>
                <w:rFonts w:hint="eastAsia" w:ascii="仿宋_GB2312" w:hAnsi="仿宋_GB2312" w:eastAsia="仿宋_GB2312" w:cs="仿宋_GB2312"/>
                <w:color w:val="333333"/>
                <w:sz w:val="28"/>
                <w:szCs w:val="28"/>
                <w:lang w:eastAsia="zh-CN"/>
              </w:rPr>
              <w:t>。</w:t>
            </w:r>
          </w:p>
          <w:p>
            <w:pPr>
              <w:pStyle w:val="4"/>
              <w:shd w:val="clear" w:color="auto" w:fill="FFFFFF"/>
              <w:spacing w:before="0" w:beforeAutospacing="0" w:after="0" w:afterAutospacing="0"/>
              <w:ind w:firstLine="570"/>
              <w:rPr>
                <w:rFonts w:hint="eastAsia" w:ascii="Arial" w:hAnsi="Arial" w:cs="Arial"/>
                <w:b/>
                <w:bCs/>
                <w:sz w:val="28"/>
                <w:lang w:val="en-US" w:eastAsia="zh-CN"/>
              </w:rPr>
            </w:pPr>
            <w:r>
              <w:rPr>
                <w:rFonts w:hint="eastAsia" w:ascii="Arial" w:hAnsi="Arial" w:cs="Arial"/>
                <w:b/>
                <w:bCs/>
                <w:sz w:val="28"/>
                <w:lang w:val="en-US" w:eastAsia="zh-CN"/>
              </w:rPr>
              <w:t>2、人员情况</w:t>
            </w:r>
          </w:p>
          <w:p>
            <w:pPr>
              <w:pStyle w:val="4"/>
              <w:shd w:val="clear" w:color="auto" w:fill="FFFFFF"/>
              <w:spacing w:before="0" w:beforeAutospacing="0" w:after="0" w:afterAutospacing="0"/>
              <w:ind w:firstLine="570"/>
              <w:rPr>
                <w:rFonts w:hint="default" w:ascii="仿宋_GB2312" w:hAnsi="仿宋_GB2312" w:eastAsia="仿宋_GB2312" w:cs="仿宋_GB2312"/>
                <w:color w:val="333333"/>
                <w:sz w:val="28"/>
                <w:szCs w:val="28"/>
                <w:lang w:val="en-US" w:eastAsia="zh-CN"/>
              </w:rPr>
            </w:pPr>
            <w:r>
              <w:rPr>
                <w:rFonts w:hint="eastAsia" w:ascii="仿宋_GB2312" w:hAnsi="仿宋_GB2312" w:eastAsia="仿宋_GB2312" w:cs="仿宋_GB2312"/>
                <w:color w:val="333333"/>
                <w:sz w:val="28"/>
                <w:szCs w:val="28"/>
                <w:lang w:val="en-US" w:eastAsia="zh-CN"/>
              </w:rPr>
              <w:t>2021年末编制人数18人，其中行政编制17人，机关后勤服务事业编制1名。</w:t>
            </w:r>
          </w:p>
          <w:p>
            <w:pPr>
              <w:pStyle w:val="4"/>
              <w:shd w:val="clear" w:color="auto" w:fill="FFFFFF"/>
              <w:spacing w:before="0" w:beforeAutospacing="0" w:after="0" w:afterAutospacing="0"/>
              <w:ind w:firstLine="570"/>
              <w:rPr>
                <w:rFonts w:hint="eastAsia" w:ascii="Arial" w:hAnsi="Arial" w:eastAsia="宋体" w:cs="Arial"/>
                <w:b/>
                <w:bCs/>
                <w:sz w:val="28"/>
                <w:lang w:val="en-US" w:eastAsia="zh-CN"/>
              </w:rPr>
            </w:pPr>
            <w:r>
              <w:rPr>
                <w:rFonts w:hint="eastAsia" w:ascii="Arial" w:hAnsi="Arial" w:cs="Arial"/>
                <w:b/>
                <w:bCs/>
                <w:sz w:val="28"/>
                <w:lang w:val="en-US" w:eastAsia="zh-CN"/>
              </w:rPr>
              <w:t>3、</w:t>
            </w:r>
            <w:r>
              <w:rPr>
                <w:rFonts w:ascii="Arial" w:hAnsi="Arial" w:cs="Arial"/>
                <w:b/>
                <w:bCs/>
                <w:sz w:val="28"/>
              </w:rPr>
              <w:t>职能职责 </w:t>
            </w:r>
          </w:p>
          <w:p>
            <w:pPr>
              <w:pStyle w:val="4"/>
              <w:shd w:val="clear" w:color="auto" w:fill="FFFFFF"/>
              <w:spacing w:before="0" w:beforeAutospacing="0" w:after="0" w:afterAutospacing="0"/>
              <w:ind w:firstLine="570"/>
              <w:rPr>
                <w:rFonts w:hint="eastAsia" w:ascii="仿宋_GB2312" w:hAnsi="仿宋_GB2312" w:eastAsia="仿宋_GB2312" w:cs="仿宋_GB2312"/>
                <w:color w:val="333333"/>
                <w:sz w:val="28"/>
                <w:szCs w:val="28"/>
                <w:lang w:eastAsia="zh-CN"/>
              </w:rPr>
            </w:pPr>
            <w:r>
              <w:rPr>
                <w:rFonts w:hint="eastAsia" w:ascii="仿宋_GB2312" w:hAnsi="仿宋_GB2312" w:eastAsia="仿宋_GB2312" w:cs="仿宋_GB2312"/>
                <w:color w:val="333333"/>
                <w:sz w:val="28"/>
                <w:szCs w:val="28"/>
                <w:lang w:eastAsia="zh-CN"/>
              </w:rPr>
              <w:t>（一）负责市场综合监督管理。贯彻执行国家市场监督管理的方针、政策和法律法规规章，组织实施质量强市、食品安全、标准化和知识产权等战略，拟订并组织实施有关规划，规范和维护市场秩序，营造诚实守信、公平竞争的市场环境。</w:t>
            </w:r>
          </w:p>
          <w:p>
            <w:pPr>
              <w:pStyle w:val="4"/>
              <w:shd w:val="clear" w:color="auto" w:fill="FFFFFF"/>
              <w:spacing w:before="0" w:beforeAutospacing="0" w:after="0" w:afterAutospacing="0"/>
              <w:ind w:firstLine="570"/>
              <w:rPr>
                <w:rFonts w:hint="eastAsia" w:ascii="仿宋_GB2312" w:hAnsi="仿宋_GB2312" w:eastAsia="仿宋_GB2312" w:cs="仿宋_GB2312"/>
                <w:color w:val="333333"/>
                <w:sz w:val="28"/>
                <w:szCs w:val="28"/>
                <w:lang w:eastAsia="zh-CN"/>
              </w:rPr>
            </w:pPr>
            <w:r>
              <w:rPr>
                <w:rFonts w:hint="eastAsia" w:ascii="仿宋_GB2312" w:hAnsi="仿宋_GB2312" w:eastAsia="仿宋_GB2312" w:cs="仿宋_GB2312"/>
                <w:color w:val="333333"/>
                <w:sz w:val="28"/>
                <w:szCs w:val="28"/>
                <w:lang w:eastAsia="zh-CN"/>
              </w:rPr>
              <w:t>（二）负责市场主体统一登记注册工作。负责全市各类企业、农民专业合作社和从事经营活动的单位、个体工商户以及外国（地区）企业、常驻代表机构等市场主体的登记注册工作。建立市场主体信息公示和共享机制，依法公示和共享有关信息，加强信用监管，推动市场主体信用体系建设。</w:t>
            </w:r>
          </w:p>
          <w:p>
            <w:pPr>
              <w:pStyle w:val="4"/>
              <w:numPr>
                <w:ilvl w:val="0"/>
                <w:numId w:val="2"/>
              </w:numPr>
              <w:shd w:val="clear" w:color="auto" w:fill="FFFFFF"/>
              <w:spacing w:before="0" w:beforeAutospacing="0" w:after="0" w:afterAutospacing="0"/>
              <w:ind w:firstLine="570"/>
              <w:rPr>
                <w:rFonts w:hint="eastAsia" w:ascii="仿宋_GB2312" w:hAnsi="仿宋_GB2312" w:eastAsia="仿宋_GB2312" w:cs="仿宋_GB2312"/>
                <w:color w:val="333333"/>
                <w:sz w:val="28"/>
                <w:szCs w:val="28"/>
                <w:lang w:val="en-US" w:eastAsia="zh-CN"/>
              </w:rPr>
            </w:pPr>
            <w:r>
              <w:rPr>
                <w:rFonts w:hint="eastAsia" w:ascii="仿宋_GB2312" w:hAnsi="仿宋_GB2312" w:eastAsia="仿宋_GB2312" w:cs="仿宋_GB2312"/>
                <w:color w:val="333333"/>
                <w:sz w:val="28"/>
                <w:szCs w:val="28"/>
                <w:lang w:eastAsia="zh-CN"/>
              </w:rPr>
              <w:t>负责组织指导市场监管综合执法工作。指导县市区市场监管综合执法队伍整合和建设，推动实行统一的市场监管。组织指导或直接查处违法案件，</w:t>
            </w:r>
            <w:r>
              <w:rPr>
                <w:rFonts w:hint="eastAsia" w:ascii="仿宋_GB2312" w:hAnsi="仿宋_GB2312" w:eastAsia="仿宋_GB2312" w:cs="仿宋_GB2312"/>
                <w:color w:val="333333"/>
                <w:sz w:val="28"/>
                <w:szCs w:val="28"/>
                <w:lang w:val="en-US" w:eastAsia="zh-CN"/>
              </w:rPr>
              <w:t>规范市场监管行政执法行为。</w:t>
            </w:r>
          </w:p>
          <w:p>
            <w:pPr>
              <w:pStyle w:val="4"/>
              <w:shd w:val="clear" w:color="auto" w:fill="FFFFFF"/>
              <w:spacing w:before="0" w:beforeAutospacing="0" w:after="0" w:afterAutospacing="0"/>
              <w:ind w:firstLine="570"/>
              <w:rPr>
                <w:rFonts w:hint="eastAsia" w:ascii="仿宋_GB2312" w:hAnsi="仿宋_GB2312" w:eastAsia="仿宋_GB2312" w:cs="仿宋_GB2312"/>
                <w:color w:val="333333"/>
                <w:sz w:val="28"/>
                <w:szCs w:val="28"/>
                <w:lang w:val="en-US" w:eastAsia="zh-CN"/>
              </w:rPr>
            </w:pPr>
            <w:r>
              <w:rPr>
                <w:rFonts w:hint="eastAsia" w:ascii="仿宋_GB2312" w:hAnsi="仿宋_GB2312" w:eastAsia="仿宋_GB2312" w:cs="仿宋_GB2312"/>
                <w:color w:val="333333"/>
                <w:sz w:val="28"/>
                <w:szCs w:val="28"/>
                <w:lang w:val="en-US" w:eastAsia="zh-CN"/>
              </w:rPr>
              <w:t>（四）依委托开展反垄断统一执法调查工作。统筹推进竞争政策实施，组织实施公平竞争审查制度。依委托协助开展垄断协议、滥用市场支配地位和滥用行政权力排除、限制竞争等反垄断执法调查工作，指导企业在国外的反垄断应诉工作。</w:t>
            </w:r>
          </w:p>
          <w:p>
            <w:pPr>
              <w:pStyle w:val="4"/>
              <w:shd w:val="clear" w:color="auto" w:fill="FFFFFF"/>
              <w:spacing w:before="0" w:beforeAutospacing="0" w:after="0" w:afterAutospacing="0"/>
              <w:ind w:firstLine="570"/>
              <w:rPr>
                <w:rFonts w:hint="eastAsia" w:ascii="仿宋_GB2312" w:hAnsi="仿宋_GB2312" w:eastAsia="仿宋_GB2312" w:cs="仿宋_GB2312"/>
                <w:color w:val="333333"/>
                <w:sz w:val="28"/>
                <w:szCs w:val="28"/>
                <w:lang w:val="en-US" w:eastAsia="zh-CN"/>
              </w:rPr>
            </w:pPr>
            <w:r>
              <w:rPr>
                <w:rFonts w:hint="eastAsia" w:ascii="仿宋_GB2312" w:hAnsi="仿宋_GB2312" w:eastAsia="仿宋_GB2312" w:cs="仿宋_GB2312"/>
                <w:color w:val="333333"/>
                <w:sz w:val="28"/>
                <w:szCs w:val="28"/>
                <w:lang w:val="en-US" w:eastAsia="zh-CN"/>
              </w:rPr>
              <w:t>（五）负责监督管理市场秩序。依法监督管理市场交易、网络商品交易及有关服务的行为。组织指导查处价格收费违法违规、不正当竞争、违法直销、传销、侵犯商标专利知识产权和制售假冒伪劣行为。依法监督处理合同违法行为，依法实施对拍卖行为的监督管理，管理动产抵押物登记。指导广告业的发展，监督管理广告活动。承担依法查处无照生产经营和相关无证生产经营行为。</w:t>
            </w:r>
          </w:p>
          <w:p>
            <w:pPr>
              <w:pStyle w:val="4"/>
              <w:shd w:val="clear" w:color="auto" w:fill="FFFFFF"/>
              <w:spacing w:before="0" w:beforeAutospacing="0" w:after="0" w:afterAutospacing="0"/>
              <w:ind w:firstLine="570"/>
              <w:rPr>
                <w:rFonts w:hint="eastAsia" w:ascii="仿宋_GB2312" w:hAnsi="仿宋_GB2312" w:eastAsia="仿宋_GB2312" w:cs="仿宋_GB2312"/>
                <w:color w:val="333333"/>
                <w:sz w:val="28"/>
                <w:szCs w:val="28"/>
                <w:lang w:val="en-US" w:eastAsia="zh-CN"/>
              </w:rPr>
            </w:pPr>
            <w:r>
              <w:rPr>
                <w:rFonts w:hint="eastAsia" w:ascii="仿宋_GB2312" w:hAnsi="仿宋_GB2312" w:eastAsia="仿宋_GB2312" w:cs="仿宋_GB2312"/>
                <w:color w:val="333333"/>
                <w:sz w:val="28"/>
                <w:szCs w:val="28"/>
                <w:lang w:val="en-US" w:eastAsia="zh-CN"/>
              </w:rPr>
              <w:t>（六）负责宏观质量管理。贯彻国家、省质量发展的有关政策，拟订推进质量发展战略的政策措施并组织实施，对全市质量管理工作进行宏观指导。组织实施质量奖励制度，积极推进质量强市战略和品牌建设，推动建立产品质量诚信制度；组织实施产品和服务质量提升、开展服务质量监测；按规定权限组织对重大产品质量事故调查，配合实施缺陷产品召回制度，监督管理产品防伪工作。</w:t>
            </w:r>
          </w:p>
          <w:p>
            <w:pPr>
              <w:pStyle w:val="4"/>
              <w:shd w:val="clear" w:color="auto" w:fill="FFFFFF"/>
              <w:spacing w:before="0" w:beforeAutospacing="0" w:after="0" w:afterAutospacing="0"/>
              <w:ind w:firstLine="570"/>
              <w:rPr>
                <w:rFonts w:hint="eastAsia" w:ascii="仿宋_GB2312" w:hAnsi="仿宋_GB2312" w:eastAsia="仿宋_GB2312" w:cs="仿宋_GB2312"/>
                <w:color w:val="333333"/>
                <w:sz w:val="28"/>
                <w:szCs w:val="28"/>
                <w:lang w:val="en-US" w:eastAsia="zh-CN"/>
              </w:rPr>
            </w:pPr>
            <w:r>
              <w:rPr>
                <w:rFonts w:hint="eastAsia" w:ascii="仿宋_GB2312" w:hAnsi="仿宋_GB2312" w:eastAsia="仿宋_GB2312" w:cs="仿宋_GB2312"/>
                <w:color w:val="333333"/>
                <w:sz w:val="28"/>
                <w:szCs w:val="28"/>
                <w:lang w:val="en-US" w:eastAsia="zh-CN"/>
              </w:rPr>
              <w:t>（七）负责产品质量安全监督管理。负责产品质量安全监督抽查和风险监控工作，组织实施质量分级制度、质量安全追溯制度。负责工业产品生产许可证证后管理。负责纤维质量监督检验工作。</w:t>
            </w:r>
          </w:p>
          <w:p>
            <w:pPr>
              <w:pStyle w:val="4"/>
              <w:shd w:val="clear" w:color="auto" w:fill="FFFFFF"/>
              <w:spacing w:before="0" w:beforeAutospacing="0" w:after="0" w:afterAutospacing="0"/>
              <w:ind w:firstLine="570"/>
              <w:rPr>
                <w:rFonts w:hint="eastAsia" w:ascii="仿宋_GB2312" w:hAnsi="仿宋_GB2312" w:eastAsia="仿宋_GB2312" w:cs="仿宋_GB2312"/>
                <w:color w:val="333333"/>
                <w:sz w:val="28"/>
                <w:szCs w:val="28"/>
                <w:lang w:val="en-US" w:eastAsia="zh-CN"/>
              </w:rPr>
            </w:pPr>
            <w:r>
              <w:rPr>
                <w:rFonts w:hint="eastAsia" w:ascii="仿宋_GB2312" w:hAnsi="仿宋_GB2312" w:eastAsia="仿宋_GB2312" w:cs="仿宋_GB2312"/>
                <w:color w:val="333333"/>
                <w:sz w:val="28"/>
                <w:szCs w:val="28"/>
                <w:lang w:val="en-US" w:eastAsia="zh-CN"/>
              </w:rPr>
              <w:t>（八）负责特种设备安全监督管理。综合管理特种设备安全监察、监督工作，监督检查高耗能特种设备节能标准和锅炉生产、进口、销售环节环境保护标准的执行情况。按规定权限组织调查处理特种设备事故并进行统计分析。</w:t>
            </w:r>
          </w:p>
          <w:p>
            <w:pPr>
              <w:pStyle w:val="4"/>
              <w:shd w:val="clear" w:color="auto" w:fill="FFFFFF"/>
              <w:spacing w:before="0" w:beforeAutospacing="0" w:after="0" w:afterAutospacing="0"/>
              <w:ind w:firstLine="570"/>
              <w:rPr>
                <w:rFonts w:hint="eastAsia" w:ascii="仿宋_GB2312" w:hAnsi="仿宋_GB2312" w:eastAsia="仿宋_GB2312" w:cs="仿宋_GB2312"/>
                <w:color w:val="333333"/>
                <w:sz w:val="28"/>
                <w:szCs w:val="28"/>
                <w:lang w:val="en-US" w:eastAsia="zh-CN"/>
              </w:rPr>
            </w:pPr>
            <w:r>
              <w:rPr>
                <w:rFonts w:hint="eastAsia" w:ascii="仿宋_GB2312" w:hAnsi="仿宋_GB2312" w:eastAsia="仿宋_GB2312" w:cs="仿宋_GB2312"/>
                <w:color w:val="333333"/>
                <w:sz w:val="28"/>
                <w:szCs w:val="28"/>
                <w:lang w:val="en-US" w:eastAsia="zh-CN"/>
              </w:rPr>
              <w:t>（九）负责食品安全监督管理综合协调。负责食品安全应急体系建设，组织指导重大食品安全事件应急处置和调查处理工作。落实食品安全重要信息直报制度。承担区食品安全委员会日常工作。</w:t>
            </w:r>
          </w:p>
          <w:p>
            <w:pPr>
              <w:pStyle w:val="4"/>
              <w:shd w:val="clear" w:color="auto" w:fill="FFFFFF"/>
              <w:spacing w:before="0" w:beforeAutospacing="0" w:after="0" w:afterAutospacing="0"/>
              <w:ind w:firstLine="570"/>
              <w:rPr>
                <w:rFonts w:hint="eastAsia" w:ascii="仿宋_GB2312" w:hAnsi="仿宋_GB2312" w:eastAsia="仿宋_GB2312" w:cs="仿宋_GB2312"/>
                <w:color w:val="333333"/>
                <w:sz w:val="28"/>
                <w:szCs w:val="28"/>
                <w:lang w:val="en-US" w:eastAsia="zh-CN"/>
              </w:rPr>
            </w:pPr>
            <w:r>
              <w:rPr>
                <w:rFonts w:hint="eastAsia" w:ascii="仿宋_GB2312" w:hAnsi="仿宋_GB2312" w:eastAsia="仿宋_GB2312" w:cs="仿宋_GB2312"/>
                <w:color w:val="333333"/>
                <w:sz w:val="28"/>
                <w:szCs w:val="28"/>
                <w:lang w:val="en-US" w:eastAsia="zh-CN"/>
              </w:rPr>
              <w:t>（十）负责食品安全监督管理。建立覆盖食品生产、流通、消费全过程的监督检查制度和隐患排查治理机制并组织实施，防范区域性、系统性食品安全风险。推动建立食品生产经营者落实主体责任的机制，健全食品安全追溯体系。组织开展食品安全监督抽检、风险监测、核查处置和风险预警、风险交流等工作。组织实施特殊食品监督管理。负责食盐专营管理和食盐安全监督管理。</w:t>
            </w:r>
          </w:p>
          <w:p>
            <w:pPr>
              <w:pStyle w:val="4"/>
              <w:shd w:val="clear" w:color="auto" w:fill="FFFFFF"/>
              <w:spacing w:before="0" w:beforeAutospacing="0" w:after="0" w:afterAutospacing="0"/>
              <w:ind w:firstLine="570"/>
              <w:rPr>
                <w:rFonts w:hint="eastAsia" w:ascii="仿宋_GB2312" w:hAnsi="仿宋_GB2312" w:eastAsia="仿宋_GB2312" w:cs="仿宋_GB2312"/>
                <w:color w:val="333333"/>
                <w:sz w:val="28"/>
                <w:szCs w:val="28"/>
                <w:lang w:val="en-US" w:eastAsia="zh-CN"/>
              </w:rPr>
            </w:pPr>
            <w:r>
              <w:rPr>
                <w:rFonts w:hint="eastAsia" w:ascii="仿宋_GB2312" w:hAnsi="仿宋_GB2312" w:eastAsia="仿宋_GB2312" w:cs="仿宋_GB2312"/>
                <w:color w:val="333333"/>
                <w:sz w:val="28"/>
                <w:szCs w:val="28"/>
                <w:lang w:val="en-US" w:eastAsia="zh-CN"/>
              </w:rPr>
              <w:t>（十一）负责统一管理计量工作。推行国家法定计量单位，执行国家计量制度,依职权管理计量器具及量值传递和比对工作。规范、监督商品量和市场计量行为。</w:t>
            </w:r>
          </w:p>
          <w:p>
            <w:pPr>
              <w:pStyle w:val="4"/>
              <w:shd w:val="clear" w:color="auto" w:fill="FFFFFF"/>
              <w:spacing w:before="0" w:beforeAutospacing="0" w:after="0" w:afterAutospacing="0"/>
              <w:ind w:firstLine="570"/>
              <w:rPr>
                <w:rFonts w:hint="eastAsia" w:ascii="仿宋_GB2312" w:hAnsi="仿宋_GB2312" w:eastAsia="仿宋_GB2312" w:cs="仿宋_GB2312"/>
                <w:color w:val="333333"/>
                <w:sz w:val="28"/>
                <w:szCs w:val="28"/>
                <w:lang w:val="en-US" w:eastAsia="zh-CN"/>
              </w:rPr>
            </w:pPr>
            <w:r>
              <w:rPr>
                <w:rFonts w:hint="eastAsia" w:ascii="仿宋_GB2312" w:hAnsi="仿宋_GB2312" w:eastAsia="仿宋_GB2312" w:cs="仿宋_GB2312"/>
                <w:color w:val="333333"/>
                <w:sz w:val="28"/>
                <w:szCs w:val="28"/>
                <w:lang w:val="en-US" w:eastAsia="zh-CN"/>
              </w:rPr>
              <w:t>（十二）负责统一管理标准化工作。组织实施标准化法律、法规，推进本行政区域内标准化战略的实施；依法承担地方标准立项、编号和发布等工作，依法协调指导市级地方标准、团体标准制定工作。依法开展标准化试点示范工作；管理全市商品条码工作；依据法定职责，对标准的制定进行指导监督，对标准的实施进行监督检查。推行采用国际标准。</w:t>
            </w:r>
          </w:p>
          <w:p>
            <w:pPr>
              <w:pStyle w:val="4"/>
              <w:shd w:val="clear" w:color="auto" w:fill="FFFFFF"/>
              <w:spacing w:before="0" w:beforeAutospacing="0" w:after="0" w:afterAutospacing="0"/>
              <w:ind w:firstLine="570"/>
              <w:rPr>
                <w:rFonts w:hint="eastAsia" w:ascii="仿宋_GB2312" w:hAnsi="仿宋_GB2312" w:eastAsia="仿宋_GB2312" w:cs="仿宋_GB2312"/>
                <w:color w:val="333333"/>
                <w:sz w:val="28"/>
                <w:szCs w:val="28"/>
                <w:lang w:val="en-US" w:eastAsia="zh-CN"/>
              </w:rPr>
            </w:pPr>
            <w:r>
              <w:rPr>
                <w:rFonts w:hint="eastAsia" w:ascii="仿宋_GB2312" w:hAnsi="仿宋_GB2312" w:eastAsia="仿宋_GB2312" w:cs="仿宋_GB2312"/>
                <w:color w:val="333333"/>
                <w:sz w:val="28"/>
                <w:szCs w:val="28"/>
                <w:lang w:val="en-US" w:eastAsia="zh-CN"/>
              </w:rPr>
              <w:t>（十三）负责统一管理检验检测工作。组织实施检验检测机构资质认定监督管理；协调推进检验检测机构改革；规范检验检测市场，完善检验检测体系，指导协调检验检测行业发展。</w:t>
            </w:r>
          </w:p>
          <w:p>
            <w:pPr>
              <w:pStyle w:val="4"/>
              <w:shd w:val="clear" w:color="auto" w:fill="FFFFFF"/>
              <w:spacing w:before="0" w:beforeAutospacing="0" w:after="0" w:afterAutospacing="0"/>
              <w:ind w:firstLine="570"/>
              <w:rPr>
                <w:rFonts w:hint="eastAsia" w:ascii="仿宋_GB2312" w:hAnsi="仿宋_GB2312" w:eastAsia="仿宋_GB2312" w:cs="仿宋_GB2312"/>
                <w:color w:val="333333"/>
                <w:sz w:val="28"/>
                <w:szCs w:val="28"/>
                <w:lang w:val="en-US" w:eastAsia="zh-CN"/>
              </w:rPr>
            </w:pPr>
            <w:r>
              <w:rPr>
                <w:rFonts w:hint="eastAsia" w:ascii="仿宋_GB2312" w:hAnsi="仿宋_GB2312" w:eastAsia="仿宋_GB2312" w:cs="仿宋_GB2312"/>
                <w:color w:val="333333"/>
                <w:sz w:val="28"/>
                <w:szCs w:val="28"/>
                <w:lang w:val="en-US" w:eastAsia="zh-CN"/>
              </w:rPr>
              <w:t>（十四）负责统一管理、监督和综合协调认证认可工作。依法监督管理全市认证认可和合格评定有关活动。</w:t>
            </w:r>
          </w:p>
          <w:p>
            <w:pPr>
              <w:pStyle w:val="4"/>
              <w:shd w:val="clear" w:color="auto" w:fill="FFFFFF"/>
              <w:spacing w:before="0" w:beforeAutospacing="0" w:after="0" w:afterAutospacing="0"/>
              <w:ind w:firstLine="570"/>
              <w:rPr>
                <w:rFonts w:hint="eastAsia" w:ascii="仿宋_GB2312" w:hAnsi="仿宋_GB2312" w:eastAsia="仿宋_GB2312" w:cs="仿宋_GB2312"/>
                <w:color w:val="333333"/>
                <w:sz w:val="28"/>
                <w:szCs w:val="28"/>
                <w:lang w:val="en-US" w:eastAsia="zh-CN"/>
              </w:rPr>
            </w:pPr>
            <w:r>
              <w:rPr>
                <w:rFonts w:hint="eastAsia" w:ascii="仿宋_GB2312" w:hAnsi="仿宋_GB2312" w:eastAsia="仿宋_GB2312" w:cs="仿宋_GB2312"/>
                <w:color w:val="333333"/>
                <w:sz w:val="28"/>
                <w:szCs w:val="28"/>
                <w:lang w:val="en-US" w:eastAsia="zh-CN"/>
              </w:rPr>
              <w:t>（十五）负责市场监督管理、知识产权领域科技和信息化建设、新闻宣传、对外交流与合作。按规定承担技术性贸易措施有关工作。</w:t>
            </w:r>
          </w:p>
          <w:p>
            <w:pPr>
              <w:pStyle w:val="4"/>
              <w:shd w:val="clear" w:color="auto" w:fill="FFFFFF"/>
              <w:spacing w:before="0" w:beforeAutospacing="0" w:after="0" w:afterAutospacing="0"/>
              <w:ind w:firstLine="570"/>
              <w:rPr>
                <w:rFonts w:hint="eastAsia" w:ascii="仿宋_GB2312" w:hAnsi="仿宋_GB2312" w:eastAsia="仿宋_GB2312" w:cs="仿宋_GB2312"/>
                <w:color w:val="333333"/>
                <w:sz w:val="28"/>
                <w:szCs w:val="28"/>
                <w:lang w:val="en-US" w:eastAsia="zh-CN"/>
              </w:rPr>
            </w:pPr>
            <w:r>
              <w:rPr>
                <w:rFonts w:hint="eastAsia" w:ascii="仿宋_GB2312" w:hAnsi="仿宋_GB2312" w:eastAsia="仿宋_GB2312" w:cs="仿宋_GB2312"/>
                <w:color w:val="333333"/>
                <w:sz w:val="28"/>
                <w:szCs w:val="28"/>
                <w:lang w:val="en-US" w:eastAsia="zh-CN"/>
              </w:rPr>
              <w:t>（十六）负责实施知识产权战略，推进知识产权强市建设。制定知识产权创造、保护、运用的管理措施并组织实施。建设知识产权公共服务体系，推动知识产权信息传播利用，建设知识产权人才队伍。</w:t>
            </w:r>
          </w:p>
          <w:p>
            <w:pPr>
              <w:pStyle w:val="4"/>
              <w:shd w:val="clear" w:color="auto" w:fill="FFFFFF"/>
              <w:spacing w:before="0" w:beforeAutospacing="0" w:after="0" w:afterAutospacing="0"/>
              <w:ind w:firstLine="570"/>
              <w:rPr>
                <w:rFonts w:hint="eastAsia" w:ascii="仿宋_GB2312" w:hAnsi="仿宋_GB2312" w:eastAsia="仿宋_GB2312" w:cs="仿宋_GB2312"/>
                <w:color w:val="333333"/>
                <w:sz w:val="28"/>
                <w:szCs w:val="28"/>
                <w:lang w:val="en-US" w:eastAsia="zh-CN"/>
              </w:rPr>
            </w:pPr>
            <w:r>
              <w:rPr>
                <w:rFonts w:hint="eastAsia" w:ascii="仿宋_GB2312" w:hAnsi="仿宋_GB2312" w:eastAsia="仿宋_GB2312" w:cs="仿宋_GB2312"/>
                <w:color w:val="333333"/>
                <w:sz w:val="28"/>
                <w:szCs w:val="28"/>
                <w:lang w:val="en-US" w:eastAsia="zh-CN"/>
              </w:rPr>
              <w:t>（十七）负责保护知识产权。落实严格保护专利、商标、原产地地理标志等相关工作，建设知识产权保护体系，指导监督商标、专利及原产地地理标志执法。</w:t>
            </w:r>
          </w:p>
          <w:p>
            <w:pPr>
              <w:pStyle w:val="4"/>
              <w:shd w:val="clear" w:color="auto" w:fill="FFFFFF"/>
              <w:spacing w:before="0" w:beforeAutospacing="0" w:after="0" w:afterAutospacing="0"/>
              <w:ind w:firstLine="570"/>
              <w:rPr>
                <w:rFonts w:hint="eastAsia" w:ascii="仿宋_GB2312" w:hAnsi="仿宋_GB2312" w:eastAsia="仿宋_GB2312" w:cs="仿宋_GB2312"/>
                <w:color w:val="333333"/>
                <w:sz w:val="28"/>
                <w:szCs w:val="28"/>
                <w:lang w:val="en-US" w:eastAsia="zh-CN"/>
              </w:rPr>
            </w:pPr>
            <w:r>
              <w:rPr>
                <w:rFonts w:hint="eastAsia" w:ascii="仿宋_GB2312" w:hAnsi="仿宋_GB2312" w:eastAsia="仿宋_GB2312" w:cs="仿宋_GB2312"/>
                <w:color w:val="333333"/>
                <w:sz w:val="28"/>
                <w:szCs w:val="28"/>
                <w:lang w:val="en-US" w:eastAsia="zh-CN"/>
              </w:rPr>
              <w:t>（十八）负责知识产权创造运用。开展知识产权运营体系建设，指导重大经济活动知识产权评议，规范知识产权交易和无形资产评估，促进知识产权转移转化，推动知识产权高质量发展。</w:t>
            </w:r>
          </w:p>
          <w:p>
            <w:pPr>
              <w:pStyle w:val="4"/>
              <w:shd w:val="clear" w:color="auto" w:fill="FFFFFF"/>
              <w:spacing w:before="0" w:beforeAutospacing="0" w:after="0" w:afterAutospacing="0"/>
              <w:ind w:firstLine="570"/>
              <w:rPr>
                <w:rFonts w:hint="eastAsia" w:ascii="仿宋_GB2312" w:hAnsi="仿宋_GB2312" w:eastAsia="仿宋_GB2312" w:cs="仿宋_GB2312"/>
                <w:color w:val="333333"/>
                <w:sz w:val="28"/>
                <w:szCs w:val="28"/>
                <w:lang w:val="en-US" w:eastAsia="zh-CN"/>
              </w:rPr>
            </w:pPr>
            <w:r>
              <w:rPr>
                <w:rFonts w:hint="eastAsia" w:ascii="仿宋_GB2312" w:hAnsi="仿宋_GB2312" w:eastAsia="仿宋_GB2312" w:cs="仿宋_GB2312"/>
                <w:color w:val="333333"/>
                <w:sz w:val="28"/>
                <w:szCs w:val="28"/>
                <w:lang w:val="en-US" w:eastAsia="zh-CN"/>
              </w:rPr>
              <w:t>（十九）负责组织开展有关商品和服务领域消费维权工作，查处假冒伪劣等违法行为，指导消费者咨询、投诉、举报受理、处理和网络体系建设等工作，保护经营者、消费者合法权益。指导消费者权益保护组织开展消费维权工作。</w:t>
            </w:r>
          </w:p>
          <w:p>
            <w:pPr>
              <w:pStyle w:val="4"/>
              <w:shd w:val="clear" w:color="auto" w:fill="FFFFFF"/>
              <w:spacing w:before="0" w:beforeAutospacing="0" w:after="0" w:afterAutospacing="0"/>
              <w:ind w:firstLine="570"/>
              <w:rPr>
                <w:rFonts w:hint="eastAsia" w:ascii="仿宋_GB2312" w:hAnsi="仿宋_GB2312" w:eastAsia="仿宋_GB2312" w:cs="仿宋_GB2312"/>
                <w:color w:val="333333"/>
                <w:sz w:val="28"/>
                <w:szCs w:val="28"/>
                <w:lang w:val="en-US" w:eastAsia="zh-CN"/>
              </w:rPr>
            </w:pPr>
            <w:r>
              <w:rPr>
                <w:rFonts w:hint="eastAsia" w:ascii="仿宋_GB2312" w:hAnsi="仿宋_GB2312" w:eastAsia="仿宋_GB2312" w:cs="仿宋_GB2312"/>
                <w:color w:val="333333"/>
                <w:sz w:val="28"/>
                <w:szCs w:val="28"/>
                <w:lang w:val="en-US" w:eastAsia="zh-CN"/>
              </w:rPr>
              <w:t>（二十）负责药品（含中药、民族药，下同）、医疗器械和化妆品安全监督管理。贯彻执行国家、省关于药品、医疗器械、化妆品安全监督管理的法律、法规和规章，拟订地方性政策规划并组织实施。</w:t>
            </w:r>
          </w:p>
          <w:p>
            <w:pPr>
              <w:pStyle w:val="4"/>
              <w:shd w:val="clear" w:color="auto" w:fill="FFFFFF"/>
              <w:spacing w:before="0" w:beforeAutospacing="0" w:after="0" w:afterAutospacing="0"/>
              <w:ind w:firstLine="570"/>
              <w:rPr>
                <w:rFonts w:hint="eastAsia" w:ascii="仿宋_GB2312" w:hAnsi="仿宋_GB2312" w:eastAsia="仿宋_GB2312" w:cs="仿宋_GB2312"/>
                <w:color w:val="333333"/>
                <w:sz w:val="28"/>
                <w:szCs w:val="28"/>
                <w:lang w:val="en-US" w:eastAsia="zh-CN"/>
              </w:rPr>
            </w:pPr>
            <w:r>
              <w:rPr>
                <w:rFonts w:hint="eastAsia" w:ascii="仿宋_GB2312" w:hAnsi="仿宋_GB2312" w:eastAsia="仿宋_GB2312" w:cs="仿宋_GB2312"/>
                <w:color w:val="333333"/>
                <w:sz w:val="28"/>
                <w:szCs w:val="28"/>
                <w:lang w:val="en-US" w:eastAsia="zh-CN"/>
              </w:rPr>
              <w:t>（二十一）监督实施药品、医疗器械、化妆品标准和分类管理制度，配合有关部门实施国家基本药物制度。</w:t>
            </w:r>
          </w:p>
          <w:p>
            <w:pPr>
              <w:pStyle w:val="4"/>
              <w:shd w:val="clear" w:color="auto" w:fill="FFFFFF"/>
              <w:spacing w:before="0" w:beforeAutospacing="0" w:after="0" w:afterAutospacing="0"/>
              <w:ind w:firstLine="570"/>
              <w:rPr>
                <w:rFonts w:hint="eastAsia" w:ascii="仿宋_GB2312" w:hAnsi="仿宋_GB2312" w:eastAsia="仿宋_GB2312" w:cs="仿宋_GB2312"/>
                <w:color w:val="333333"/>
                <w:sz w:val="28"/>
                <w:szCs w:val="28"/>
                <w:lang w:val="en-US" w:eastAsia="zh-CN"/>
              </w:rPr>
            </w:pPr>
            <w:r>
              <w:rPr>
                <w:rFonts w:hint="eastAsia" w:ascii="仿宋_GB2312" w:hAnsi="仿宋_GB2312" w:eastAsia="仿宋_GB2312" w:cs="仿宋_GB2312"/>
                <w:color w:val="333333"/>
                <w:sz w:val="28"/>
                <w:szCs w:val="28"/>
                <w:lang w:val="en-US" w:eastAsia="zh-CN"/>
              </w:rPr>
              <w:t>（二十二）负责权限范围内药品、医疗器械和化妆品质量管理。监督实施药品、医疗器械经营质量管理规范，监督实施化妆品经营、使用卫生标准和技术规范。</w:t>
            </w:r>
          </w:p>
          <w:p>
            <w:pPr>
              <w:pStyle w:val="4"/>
              <w:shd w:val="clear" w:color="auto" w:fill="FFFFFF"/>
              <w:spacing w:before="0" w:beforeAutospacing="0" w:after="0" w:afterAutospacing="0"/>
              <w:ind w:firstLine="570"/>
              <w:rPr>
                <w:rFonts w:hint="eastAsia" w:ascii="仿宋_GB2312" w:hAnsi="仿宋_GB2312" w:eastAsia="仿宋_GB2312" w:cs="仿宋_GB2312"/>
                <w:color w:val="333333"/>
                <w:sz w:val="28"/>
                <w:szCs w:val="28"/>
                <w:lang w:val="en-US" w:eastAsia="zh-CN"/>
              </w:rPr>
            </w:pPr>
            <w:r>
              <w:rPr>
                <w:rFonts w:hint="eastAsia" w:ascii="仿宋_GB2312" w:hAnsi="仿宋_GB2312" w:eastAsia="仿宋_GB2312" w:cs="仿宋_GB2312"/>
                <w:color w:val="333333"/>
                <w:sz w:val="28"/>
                <w:szCs w:val="28"/>
                <w:lang w:val="en-US" w:eastAsia="zh-CN"/>
              </w:rPr>
              <w:t>（二十三）负责权限范围内药品、医疗器械和化妆品上市后风险管理。组织开展药品不良反应、医疗器械不良事件和化妆品不良反应的监测、评价和处置工作。依法承担药品、医疗器械和化妆品安全应急管理工作。</w:t>
            </w:r>
          </w:p>
          <w:p>
            <w:pPr>
              <w:pStyle w:val="4"/>
              <w:shd w:val="clear" w:color="auto" w:fill="FFFFFF"/>
              <w:spacing w:before="0" w:beforeAutospacing="0" w:after="0" w:afterAutospacing="0"/>
              <w:ind w:firstLine="570"/>
              <w:rPr>
                <w:rFonts w:hint="eastAsia" w:ascii="仿宋_GB2312" w:hAnsi="仿宋_GB2312" w:eastAsia="仿宋_GB2312" w:cs="仿宋_GB2312"/>
                <w:color w:val="333333"/>
                <w:sz w:val="28"/>
                <w:szCs w:val="28"/>
                <w:lang w:val="en-US" w:eastAsia="zh-CN"/>
              </w:rPr>
            </w:pPr>
            <w:r>
              <w:rPr>
                <w:rFonts w:hint="eastAsia" w:ascii="仿宋_GB2312" w:hAnsi="仿宋_GB2312" w:eastAsia="仿宋_GB2312" w:cs="仿宋_GB2312"/>
                <w:color w:val="333333"/>
                <w:sz w:val="28"/>
                <w:szCs w:val="28"/>
                <w:lang w:val="en-US" w:eastAsia="zh-CN"/>
              </w:rPr>
              <w:t>（二十四）负责组织实施药品、医疗器械和化妆品监督检查。制定检查制度，依法查处药品、医疗器械和化妆品经营、使用环节违法行为，监督实施问题产品召回和处置制度，依职责组织指导查处其他环节的违法行为。</w:t>
            </w:r>
          </w:p>
          <w:p>
            <w:pPr>
              <w:pStyle w:val="4"/>
              <w:shd w:val="clear" w:color="auto" w:fill="FFFFFF"/>
              <w:spacing w:before="0" w:beforeAutospacing="0" w:after="0" w:afterAutospacing="0"/>
              <w:ind w:firstLine="570"/>
              <w:rPr>
                <w:rFonts w:hint="eastAsia" w:ascii="仿宋_GB2312" w:hAnsi="仿宋_GB2312" w:eastAsia="仿宋_GB2312" w:cs="仿宋_GB2312"/>
                <w:color w:val="333333"/>
                <w:sz w:val="28"/>
                <w:szCs w:val="28"/>
                <w:lang w:val="en-US" w:eastAsia="zh-CN"/>
              </w:rPr>
            </w:pPr>
            <w:r>
              <w:rPr>
                <w:rFonts w:hint="eastAsia" w:ascii="仿宋_GB2312" w:hAnsi="仿宋_GB2312" w:eastAsia="仿宋_GB2312" w:cs="仿宋_GB2312"/>
                <w:color w:val="333333"/>
                <w:sz w:val="28"/>
                <w:szCs w:val="28"/>
                <w:lang w:val="en-US" w:eastAsia="zh-CN"/>
              </w:rPr>
              <w:t>（二十五）负责指导所辖市场监管所承担的药品、医疗器械、化妆品有关监督管理工作。</w:t>
            </w:r>
          </w:p>
          <w:p>
            <w:pPr>
              <w:pStyle w:val="4"/>
              <w:shd w:val="clear" w:color="auto" w:fill="FFFFFF"/>
              <w:spacing w:before="0" w:beforeAutospacing="0" w:after="0" w:afterAutospacing="0"/>
              <w:ind w:firstLine="570"/>
              <w:rPr>
                <w:rFonts w:hint="eastAsia" w:ascii="仿宋_GB2312" w:hAnsi="仿宋_GB2312" w:eastAsia="仿宋_GB2312" w:cs="仿宋_GB2312"/>
                <w:color w:val="333333"/>
                <w:sz w:val="28"/>
                <w:szCs w:val="28"/>
                <w:lang w:val="en-US" w:eastAsia="zh-CN"/>
              </w:rPr>
            </w:pPr>
            <w:r>
              <w:rPr>
                <w:rFonts w:hint="eastAsia" w:ascii="仿宋_GB2312" w:hAnsi="仿宋_GB2312" w:eastAsia="仿宋_GB2312" w:cs="仿宋_GB2312"/>
                <w:color w:val="333333"/>
                <w:sz w:val="28"/>
                <w:szCs w:val="28"/>
                <w:lang w:val="en-US" w:eastAsia="zh-CN"/>
              </w:rPr>
              <w:t>（二十六）按规定要求，承担对口事业服务机构业务工作的指导、协调和监督职责。</w:t>
            </w:r>
          </w:p>
          <w:p>
            <w:pPr>
              <w:pStyle w:val="4"/>
              <w:shd w:val="clear" w:color="auto" w:fill="FFFFFF"/>
              <w:spacing w:before="0" w:beforeAutospacing="0" w:after="0" w:afterAutospacing="0"/>
              <w:ind w:firstLine="570"/>
              <w:rPr>
                <w:rFonts w:hint="eastAsia" w:ascii="仿宋_GB2312" w:eastAsia="仿宋_GB2312"/>
                <w:sz w:val="28"/>
                <w:szCs w:val="28"/>
              </w:rPr>
            </w:pPr>
            <w:r>
              <w:rPr>
                <w:rFonts w:hint="eastAsia" w:ascii="仿宋_GB2312" w:hAnsi="仿宋_GB2312" w:eastAsia="仿宋_GB2312" w:cs="仿宋_GB2312"/>
                <w:color w:val="333333"/>
                <w:sz w:val="28"/>
                <w:szCs w:val="28"/>
                <w:lang w:val="en-US" w:eastAsia="zh-CN"/>
              </w:rPr>
              <w:t>（二十七）完成市委、市政府交办的其他任务。</w:t>
            </w:r>
          </w:p>
          <w:p>
            <w:pPr>
              <w:spacing w:line="560" w:lineRule="exact"/>
              <w:ind w:firstLine="562" w:firstLineChars="200"/>
              <w:rPr>
                <w:rFonts w:hint="eastAsia" w:ascii="宋体" w:hAnsi="宋体" w:eastAsia="宋体" w:cs="宋体"/>
                <w:b/>
                <w:bCs w:val="0"/>
                <w:sz w:val="28"/>
                <w:szCs w:val="28"/>
                <w:lang w:val="en-US" w:eastAsia="zh-CN"/>
              </w:rPr>
            </w:pPr>
            <w:r>
              <w:rPr>
                <w:rFonts w:hint="eastAsia" w:ascii="宋体" w:hAnsi="宋体" w:eastAsia="宋体" w:cs="宋体"/>
                <w:b/>
                <w:bCs w:val="0"/>
                <w:sz w:val="28"/>
                <w:szCs w:val="28"/>
                <w:lang w:val="en-US" w:eastAsia="zh-CN"/>
              </w:rPr>
              <w:t>4、部门整体支出管理状况</w:t>
            </w:r>
          </w:p>
          <w:p>
            <w:pPr>
              <w:pStyle w:val="4"/>
              <w:shd w:val="clear" w:color="auto" w:fill="FFFFFF"/>
              <w:spacing w:before="0" w:beforeAutospacing="0" w:after="0" w:afterAutospacing="0"/>
              <w:ind w:firstLine="570"/>
              <w:rPr>
                <w:rFonts w:hint="eastAsia" w:ascii="仿宋_GB2312" w:hAnsi="仿宋_GB2312" w:eastAsia="仿宋_GB2312" w:cs="仿宋_GB2312"/>
                <w:color w:val="333333"/>
                <w:sz w:val="28"/>
                <w:szCs w:val="28"/>
                <w:lang w:val="en-US" w:eastAsia="zh-CN"/>
              </w:rPr>
            </w:pPr>
            <w:r>
              <w:rPr>
                <w:rFonts w:hint="eastAsia" w:ascii="仿宋_GB2312" w:hAnsi="仿宋_GB2312" w:eastAsia="仿宋_GB2312" w:cs="仿宋_GB2312"/>
                <w:color w:val="333333"/>
                <w:sz w:val="28"/>
                <w:szCs w:val="28"/>
                <w:lang w:val="en-US" w:eastAsia="zh-CN"/>
              </w:rPr>
              <w:t>（一）2021年，我局为加强部门整体支出管理，提高资金使用效益，除日常的管理工作之外，我局在部门整体支出管理方面开展了如下工作：</w:t>
            </w:r>
          </w:p>
          <w:p>
            <w:pPr>
              <w:pStyle w:val="4"/>
              <w:shd w:val="clear" w:color="auto" w:fill="FFFFFF"/>
              <w:spacing w:before="0" w:beforeAutospacing="0" w:after="0" w:afterAutospacing="0"/>
              <w:ind w:firstLine="570"/>
              <w:rPr>
                <w:rFonts w:hint="eastAsia" w:ascii="仿宋_GB2312" w:hAnsi="仿宋_GB2312" w:eastAsia="仿宋_GB2312" w:cs="仿宋_GB2312"/>
                <w:color w:val="333333"/>
                <w:sz w:val="28"/>
                <w:szCs w:val="28"/>
                <w:lang w:val="en-US" w:eastAsia="zh-CN"/>
              </w:rPr>
            </w:pPr>
            <w:r>
              <w:rPr>
                <w:rFonts w:hint="eastAsia" w:ascii="仿宋_GB2312" w:hAnsi="仿宋_GB2312" w:eastAsia="仿宋_GB2312" w:cs="仿宋_GB2312"/>
                <w:color w:val="333333"/>
                <w:sz w:val="28"/>
                <w:szCs w:val="28"/>
                <w:lang w:val="en-US" w:eastAsia="zh-CN"/>
              </w:rPr>
              <w:t>1、重视预算支出绩效评估工作，成立了以局领导和相关科室负责人组成的预算支出绩效评估领导小组，强化了分局预算管理意识。</w:t>
            </w:r>
          </w:p>
          <w:p>
            <w:pPr>
              <w:pStyle w:val="4"/>
              <w:shd w:val="clear" w:color="auto" w:fill="FFFFFF"/>
              <w:spacing w:before="0" w:beforeAutospacing="0" w:after="0" w:afterAutospacing="0"/>
              <w:ind w:firstLine="570"/>
              <w:rPr>
                <w:rFonts w:hint="eastAsia" w:ascii="仿宋_GB2312" w:hAnsi="仿宋_GB2312" w:eastAsia="仿宋_GB2312" w:cs="仿宋_GB2312"/>
                <w:color w:val="333333"/>
                <w:sz w:val="28"/>
                <w:szCs w:val="28"/>
                <w:lang w:val="en-US" w:eastAsia="zh-CN"/>
              </w:rPr>
            </w:pPr>
            <w:r>
              <w:rPr>
                <w:rFonts w:hint="eastAsia" w:ascii="仿宋_GB2312" w:hAnsi="仿宋_GB2312" w:eastAsia="仿宋_GB2312" w:cs="仿宋_GB2312"/>
                <w:color w:val="333333"/>
                <w:sz w:val="28"/>
                <w:szCs w:val="28"/>
                <w:lang w:val="en-US" w:eastAsia="zh-CN"/>
              </w:rPr>
              <w:t>2、重视财政预算资金管理方面制度的学习，不断提高资金管理能力。</w:t>
            </w:r>
          </w:p>
          <w:p>
            <w:pPr>
              <w:pStyle w:val="4"/>
              <w:shd w:val="clear" w:color="auto" w:fill="FFFFFF"/>
              <w:spacing w:before="0" w:beforeAutospacing="0" w:after="0" w:afterAutospacing="0"/>
              <w:ind w:firstLine="570"/>
              <w:rPr>
                <w:rFonts w:hint="eastAsia" w:ascii="仿宋_GB2312" w:hAnsi="仿宋_GB2312" w:eastAsia="仿宋_GB2312" w:cs="仿宋_GB2312"/>
                <w:color w:val="333333"/>
                <w:sz w:val="28"/>
                <w:szCs w:val="28"/>
                <w:lang w:val="en-US" w:eastAsia="zh-CN"/>
              </w:rPr>
            </w:pPr>
            <w:r>
              <w:rPr>
                <w:rFonts w:hint="eastAsia" w:ascii="仿宋_GB2312" w:hAnsi="仿宋_GB2312" w:eastAsia="仿宋_GB2312" w:cs="仿宋_GB2312"/>
                <w:color w:val="333333"/>
                <w:sz w:val="28"/>
                <w:szCs w:val="28"/>
                <w:lang w:val="en-US" w:eastAsia="zh-CN"/>
              </w:rPr>
              <w:t>3、建立了财务管理制度，并不断进行完善和修订。</w:t>
            </w:r>
          </w:p>
          <w:p>
            <w:pPr>
              <w:pStyle w:val="4"/>
              <w:shd w:val="clear" w:color="auto" w:fill="FFFFFF"/>
              <w:spacing w:before="0" w:beforeAutospacing="0" w:after="0" w:afterAutospacing="0"/>
              <w:ind w:firstLine="570"/>
              <w:rPr>
                <w:rFonts w:hint="eastAsia" w:ascii="仿宋_GB2312" w:hAnsi="仿宋_GB2312" w:eastAsia="仿宋_GB2312" w:cs="仿宋_GB2312"/>
                <w:color w:val="333333"/>
                <w:sz w:val="28"/>
                <w:szCs w:val="28"/>
                <w:lang w:val="en-US" w:eastAsia="zh-CN"/>
              </w:rPr>
            </w:pPr>
            <w:r>
              <w:rPr>
                <w:rFonts w:hint="eastAsia" w:ascii="仿宋_GB2312" w:hAnsi="仿宋_GB2312" w:eastAsia="仿宋_GB2312" w:cs="仿宋_GB2312"/>
                <w:color w:val="333333"/>
                <w:sz w:val="28"/>
                <w:szCs w:val="28"/>
                <w:lang w:val="en-US" w:eastAsia="zh-CN"/>
              </w:rPr>
              <w:t>4、严格制度的执行，特别是“三公”经费的管理。通过加强对招待费的严格控制，“三公”经费较好的控制在预算范围之内。</w:t>
            </w:r>
          </w:p>
          <w:p>
            <w:pPr>
              <w:spacing w:line="560" w:lineRule="exact"/>
              <w:ind w:firstLine="560" w:firstLineChars="200"/>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（二）部门（单位）整体支出规模、使用方向和主要内容、涉及范围等</w:t>
            </w:r>
          </w:p>
          <w:p>
            <w:pPr>
              <w:spacing w:line="560" w:lineRule="exact"/>
              <w:ind w:firstLine="560" w:firstLineChars="200"/>
              <w:rPr>
                <w:rFonts w:hint="eastAsia" w:ascii="黑体" w:hAnsi="黑体" w:eastAsia="黑体" w:cs="黑体"/>
                <w:b/>
                <w:bCs w:val="0"/>
                <w:sz w:val="28"/>
                <w:szCs w:val="28"/>
                <w:lang w:val="en-US" w:eastAsia="zh-CN"/>
              </w:rPr>
            </w:pPr>
            <w:r>
              <w:rPr>
                <w:rFonts w:hint="eastAsia" w:ascii="黑体" w:hAnsi="黑体" w:eastAsia="黑体" w:cs="黑体"/>
                <w:bCs/>
                <w:sz w:val="28"/>
                <w:szCs w:val="28"/>
                <w:lang w:val="en-US" w:eastAsia="zh-CN"/>
              </w:rPr>
              <w:t>1、年度部门预算收支情况及</w:t>
            </w:r>
            <w:r>
              <w:rPr>
                <w:rFonts w:hint="eastAsia" w:ascii="宋体" w:hAnsi="宋体" w:eastAsia="宋体" w:cs="宋体"/>
                <w:b/>
                <w:bCs w:val="0"/>
                <w:sz w:val="28"/>
                <w:szCs w:val="28"/>
                <w:lang w:val="en-US" w:eastAsia="zh-CN"/>
              </w:rPr>
              <w:t>使用方向和主要内容、涉及范围</w:t>
            </w:r>
          </w:p>
          <w:p>
            <w:pPr>
              <w:spacing w:line="560" w:lineRule="exact"/>
              <w:ind w:firstLine="560" w:firstLineChars="200"/>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根据财政部门的预算批复，我局年度部门收支预算情况如下：</w:t>
            </w:r>
          </w:p>
          <w:p>
            <w:pPr>
              <w:widowControl/>
              <w:spacing w:line="480" w:lineRule="auto"/>
              <w:rPr>
                <w:rFonts w:hint="eastAsia" w:ascii="仿宋_GB2312" w:hAnsi="仿宋_GB2312" w:eastAsia="仿宋_GB2312" w:cs="仿宋_GB2312"/>
                <w:color w:val="333333"/>
                <w:kern w:val="0"/>
                <w:sz w:val="28"/>
                <w:szCs w:val="28"/>
              </w:rPr>
            </w:pPr>
            <w:r>
              <w:rPr>
                <w:rFonts w:hint="eastAsia" w:ascii="仿宋_GB2312" w:hAnsi="仿宋_GB2312" w:eastAsia="仿宋_GB2312" w:cs="仿宋_GB2312"/>
                <w:color w:val="333333"/>
                <w:kern w:val="0"/>
                <w:sz w:val="28"/>
                <w:szCs w:val="28"/>
              </w:rPr>
              <w:t>         单位：万元</w:t>
            </w:r>
          </w:p>
          <w:tbl>
            <w:tblPr>
              <w:tblStyle w:val="5"/>
              <w:tblW w:w="9441" w:type="dxa"/>
              <w:tblInd w:w="1" w:type="dxa"/>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30" w:type="dxa"/>
                <w:left w:w="30" w:type="dxa"/>
                <w:bottom w:w="30" w:type="dxa"/>
                <w:right w:w="30" w:type="dxa"/>
              </w:tblCellMar>
            </w:tblPr>
            <w:tblGrid>
              <w:gridCol w:w="4536"/>
              <w:gridCol w:w="4905"/>
            </w:tblGrid>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4536"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480" w:lineRule="auto"/>
                    <w:jc w:val="center"/>
                    <w:rPr>
                      <w:rFonts w:ascii="黑体" w:hAnsi="宋体" w:eastAsia="黑体" w:cs="宋体"/>
                      <w:color w:val="333333"/>
                      <w:kern w:val="0"/>
                      <w:sz w:val="28"/>
                      <w:szCs w:val="28"/>
                    </w:rPr>
                  </w:pPr>
                  <w:r>
                    <w:rPr>
                      <w:rFonts w:hint="eastAsia" w:ascii="黑体" w:hAnsi="宋体" w:eastAsia="黑体" w:cs="宋体"/>
                      <w:color w:val="333333"/>
                      <w:kern w:val="0"/>
                      <w:sz w:val="28"/>
                      <w:szCs w:val="28"/>
                    </w:rPr>
                    <w:t>预算项目</w:t>
                  </w:r>
                </w:p>
              </w:tc>
              <w:tc>
                <w:tcPr>
                  <w:tcW w:w="490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480" w:lineRule="auto"/>
                    <w:ind w:firstLine="2240" w:firstLineChars="800"/>
                    <w:jc w:val="center"/>
                    <w:rPr>
                      <w:rFonts w:ascii="黑体" w:hAnsi="宋体" w:eastAsia="黑体" w:cs="宋体"/>
                      <w:color w:val="333333"/>
                      <w:kern w:val="0"/>
                      <w:sz w:val="28"/>
                      <w:szCs w:val="28"/>
                    </w:rPr>
                  </w:pPr>
                  <w:r>
                    <w:rPr>
                      <w:rFonts w:hint="eastAsia" w:ascii="黑体" w:hAnsi="宋体" w:eastAsia="黑体" w:cs="宋体"/>
                      <w:color w:val="333333"/>
                      <w:kern w:val="0"/>
                      <w:sz w:val="28"/>
                      <w:szCs w:val="28"/>
                    </w:rPr>
                    <w:t>合计</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rPr>
                <w:trHeight w:val="469" w:hRule="atLeast"/>
              </w:trPr>
              <w:tc>
                <w:tcPr>
                  <w:tcW w:w="4536"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jc w:val="center"/>
                    <w:textAlignment w:val="center"/>
                    <w:rPr>
                      <w:rFonts w:hint="eastAsia" w:ascii="宋体" w:hAnsi="宋体" w:eastAsia="宋体" w:cs="宋体"/>
                      <w:color w:val="333333"/>
                      <w:kern w:val="0"/>
                      <w:sz w:val="24"/>
                      <w:szCs w:val="24"/>
                    </w:rPr>
                  </w:pPr>
                  <w:r>
                    <w:rPr>
                      <w:rFonts w:hint="eastAsia" w:ascii="宋体" w:hAnsi="宋体" w:eastAsia="宋体" w:cs="宋体"/>
                      <w:i w:val="0"/>
                      <w:color w:val="000000"/>
                      <w:kern w:val="0"/>
                      <w:sz w:val="24"/>
                      <w:szCs w:val="24"/>
                      <w:u w:val="none"/>
                      <w:lang w:val="en-US" w:eastAsia="zh-CN" w:bidi="ar"/>
                    </w:rPr>
                    <w:t>一、本年收入</w:t>
                  </w:r>
                </w:p>
              </w:tc>
              <w:tc>
                <w:tcPr>
                  <w:tcW w:w="4905"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jc w:val="center"/>
                    <w:textAlignment w:val="center"/>
                    <w:rPr>
                      <w:rFonts w:hint="default" w:ascii="宋体" w:hAnsi="宋体" w:eastAsia="宋体" w:cs="宋体"/>
                      <w:color w:val="333333"/>
                      <w:kern w:val="0"/>
                      <w:sz w:val="24"/>
                      <w:szCs w:val="24"/>
                      <w:lang w:val="en-US" w:eastAsia="zh-CN"/>
                    </w:rPr>
                  </w:pPr>
                  <w:r>
                    <w:rPr>
                      <w:rFonts w:hint="eastAsia" w:ascii="宋体" w:hAnsi="宋体" w:cs="宋体"/>
                      <w:color w:val="333333"/>
                      <w:kern w:val="0"/>
                      <w:sz w:val="24"/>
                      <w:szCs w:val="24"/>
                      <w:lang w:val="en-US" w:eastAsia="zh-CN"/>
                    </w:rPr>
                    <w:t>195.985</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rPr>
                <w:trHeight w:val="477" w:hRule="atLeast"/>
              </w:trPr>
              <w:tc>
                <w:tcPr>
                  <w:tcW w:w="4536"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jc w:val="center"/>
                    <w:textAlignment w:val="center"/>
                    <w:rPr>
                      <w:rFonts w:hint="eastAsia" w:ascii="宋体" w:hAnsi="宋体" w:eastAsia="宋体" w:cs="宋体"/>
                      <w:color w:val="333333"/>
                      <w:kern w:val="0"/>
                      <w:sz w:val="24"/>
                      <w:szCs w:val="24"/>
                    </w:rPr>
                  </w:pPr>
                  <w:r>
                    <w:rPr>
                      <w:rFonts w:hint="eastAsia" w:ascii="宋体" w:hAnsi="宋体" w:eastAsia="宋体" w:cs="宋体"/>
                      <w:i w:val="0"/>
                      <w:color w:val="000000"/>
                      <w:kern w:val="0"/>
                      <w:sz w:val="24"/>
                      <w:szCs w:val="24"/>
                      <w:u w:val="none"/>
                      <w:lang w:val="en-US" w:eastAsia="zh-CN" w:bidi="ar"/>
                    </w:rPr>
                    <w:t>经费拨款(补助)</w:t>
                  </w:r>
                </w:p>
              </w:tc>
              <w:tc>
                <w:tcPr>
                  <w:tcW w:w="4905"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jc w:val="center"/>
                    <w:textAlignment w:val="center"/>
                    <w:rPr>
                      <w:rFonts w:hint="default" w:ascii="宋体" w:hAnsi="宋体" w:eastAsia="宋体" w:cs="宋体"/>
                      <w:color w:val="333333"/>
                      <w:kern w:val="0"/>
                      <w:sz w:val="24"/>
                      <w:szCs w:val="24"/>
                      <w:lang w:val="en-US" w:eastAsia="zh-CN"/>
                    </w:rPr>
                  </w:pPr>
                  <w:r>
                    <w:rPr>
                      <w:rFonts w:hint="eastAsia" w:ascii="宋体" w:hAnsi="宋体" w:cs="宋体"/>
                      <w:color w:val="333333"/>
                      <w:kern w:val="0"/>
                      <w:sz w:val="24"/>
                      <w:szCs w:val="24"/>
                      <w:lang w:val="en-US" w:eastAsia="zh-CN"/>
                    </w:rPr>
                    <w:t>195.985</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rPr>
                <w:trHeight w:val="579" w:hRule="atLeast"/>
              </w:trPr>
              <w:tc>
                <w:tcPr>
                  <w:tcW w:w="4536"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jc w:val="center"/>
                    <w:textAlignment w:val="center"/>
                    <w:rPr>
                      <w:rFonts w:hint="eastAsia" w:ascii="宋体" w:hAnsi="宋体" w:eastAsia="宋体" w:cs="宋体"/>
                      <w:color w:val="333333"/>
                      <w:kern w:val="0"/>
                      <w:sz w:val="24"/>
                      <w:szCs w:val="24"/>
                    </w:rPr>
                  </w:pPr>
                  <w:r>
                    <w:rPr>
                      <w:rFonts w:hint="eastAsia" w:ascii="宋体" w:hAnsi="宋体" w:eastAsia="宋体" w:cs="宋体"/>
                      <w:i w:val="0"/>
                      <w:color w:val="000000"/>
                      <w:kern w:val="0"/>
                      <w:sz w:val="24"/>
                      <w:szCs w:val="24"/>
                      <w:u w:val="none"/>
                      <w:lang w:val="en-US" w:eastAsia="zh-CN" w:bidi="ar"/>
                    </w:rPr>
                    <w:t>纳入一般公共预算管理的非税收入拨款</w:t>
                  </w:r>
                </w:p>
              </w:tc>
              <w:tc>
                <w:tcPr>
                  <w:tcW w:w="490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480" w:lineRule="auto"/>
                    <w:ind w:firstLine="2400" w:firstLineChars="1000"/>
                    <w:jc w:val="both"/>
                    <w:rPr>
                      <w:rFonts w:hint="default" w:ascii="宋体" w:hAnsi="宋体" w:eastAsia="宋体" w:cs="宋体"/>
                      <w:color w:val="333333"/>
                      <w:kern w:val="0"/>
                      <w:sz w:val="24"/>
                      <w:szCs w:val="24"/>
                      <w:lang w:val="en-US" w:eastAsia="zh-CN"/>
                    </w:rPr>
                  </w:pPr>
                  <w:r>
                    <w:rPr>
                      <w:rFonts w:hint="eastAsia" w:ascii="宋体" w:hAnsi="宋体" w:cs="宋体"/>
                      <w:color w:val="333333"/>
                      <w:kern w:val="0"/>
                      <w:sz w:val="24"/>
                      <w:szCs w:val="24"/>
                      <w:lang w:val="en-US" w:eastAsia="zh-CN"/>
                    </w:rPr>
                    <w:t>0</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4536"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480" w:lineRule="auto"/>
                    <w:jc w:val="center"/>
                    <w:rPr>
                      <w:rFonts w:hint="eastAsia" w:ascii="宋体" w:hAnsi="宋体" w:eastAsia="宋体" w:cs="宋体"/>
                      <w:color w:val="333333"/>
                      <w:kern w:val="0"/>
                      <w:sz w:val="24"/>
                      <w:szCs w:val="24"/>
                      <w:lang w:eastAsia="zh-CN"/>
                    </w:rPr>
                  </w:pPr>
                  <w:r>
                    <w:rPr>
                      <w:rFonts w:hint="eastAsia" w:ascii="宋体" w:hAnsi="宋体" w:eastAsia="宋体" w:cs="宋体"/>
                      <w:color w:val="333333"/>
                      <w:kern w:val="0"/>
                      <w:sz w:val="24"/>
                      <w:szCs w:val="24"/>
                      <w:lang w:eastAsia="zh-CN"/>
                    </w:rPr>
                    <w:t>二、本年支出</w:t>
                  </w:r>
                </w:p>
              </w:tc>
              <w:tc>
                <w:tcPr>
                  <w:tcW w:w="490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480" w:lineRule="auto"/>
                    <w:jc w:val="center"/>
                    <w:rPr>
                      <w:rFonts w:hint="default" w:ascii="宋体" w:hAnsi="宋体" w:eastAsia="宋体" w:cs="宋体"/>
                      <w:color w:val="333333"/>
                      <w:kern w:val="0"/>
                      <w:sz w:val="24"/>
                      <w:szCs w:val="24"/>
                      <w:lang w:val="en-US" w:eastAsia="zh-CN"/>
                    </w:rPr>
                  </w:pPr>
                  <w:r>
                    <w:rPr>
                      <w:rFonts w:hint="eastAsia" w:ascii="宋体" w:hAnsi="宋体" w:cs="宋体"/>
                      <w:color w:val="333333"/>
                      <w:kern w:val="0"/>
                      <w:sz w:val="24"/>
                      <w:szCs w:val="24"/>
                      <w:lang w:val="en-US" w:eastAsia="zh-CN"/>
                    </w:rPr>
                    <w:t>195.985</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4536"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480" w:lineRule="auto"/>
                    <w:jc w:val="center"/>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基本支出</w:t>
                  </w:r>
                </w:p>
              </w:tc>
              <w:tc>
                <w:tcPr>
                  <w:tcW w:w="490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480" w:lineRule="auto"/>
                    <w:jc w:val="center"/>
                    <w:rPr>
                      <w:rFonts w:hint="default" w:ascii="宋体" w:hAnsi="宋体" w:eastAsia="宋体" w:cs="宋体"/>
                      <w:color w:val="333333"/>
                      <w:kern w:val="0"/>
                      <w:sz w:val="24"/>
                      <w:szCs w:val="24"/>
                      <w:lang w:val="en-US" w:eastAsia="zh-CN"/>
                    </w:rPr>
                  </w:pPr>
                  <w:r>
                    <w:rPr>
                      <w:rFonts w:hint="eastAsia" w:ascii="宋体" w:hAnsi="宋体" w:cs="宋体"/>
                      <w:color w:val="333333"/>
                      <w:kern w:val="0"/>
                      <w:sz w:val="24"/>
                      <w:szCs w:val="24"/>
                      <w:lang w:val="en-US" w:eastAsia="zh-CN"/>
                    </w:rPr>
                    <w:t>0</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4536"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480" w:lineRule="auto"/>
                    <w:jc w:val="center"/>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其中：财政拨款支出</w:t>
                  </w:r>
                </w:p>
              </w:tc>
              <w:tc>
                <w:tcPr>
                  <w:tcW w:w="490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480" w:lineRule="auto"/>
                    <w:jc w:val="center"/>
                    <w:rPr>
                      <w:rFonts w:hint="default" w:ascii="宋体" w:hAnsi="宋体" w:eastAsia="宋体" w:cs="宋体"/>
                      <w:color w:val="333333"/>
                      <w:kern w:val="0"/>
                      <w:sz w:val="24"/>
                      <w:szCs w:val="24"/>
                      <w:lang w:val="en-US" w:eastAsia="zh-CN"/>
                    </w:rPr>
                  </w:pPr>
                  <w:r>
                    <w:rPr>
                      <w:rFonts w:hint="eastAsia" w:ascii="宋体" w:hAnsi="宋体" w:cs="宋体"/>
                      <w:color w:val="333333"/>
                      <w:kern w:val="0"/>
                      <w:sz w:val="24"/>
                      <w:szCs w:val="24"/>
                      <w:lang w:val="en-US" w:eastAsia="zh-CN"/>
                    </w:rPr>
                    <w:t>0</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4536"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480" w:lineRule="auto"/>
                    <w:jc w:val="center"/>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项目支出</w:t>
                  </w:r>
                </w:p>
              </w:tc>
              <w:tc>
                <w:tcPr>
                  <w:tcW w:w="490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480" w:lineRule="auto"/>
                    <w:jc w:val="center"/>
                    <w:rPr>
                      <w:rFonts w:hint="default" w:ascii="宋体" w:hAnsi="宋体" w:eastAsia="宋体" w:cs="宋体"/>
                      <w:color w:val="333333"/>
                      <w:kern w:val="0"/>
                      <w:sz w:val="24"/>
                      <w:szCs w:val="24"/>
                      <w:lang w:val="en-US" w:eastAsia="zh-CN"/>
                    </w:rPr>
                  </w:pPr>
                  <w:r>
                    <w:rPr>
                      <w:rFonts w:hint="eastAsia" w:ascii="宋体" w:hAnsi="宋体" w:cs="宋体"/>
                      <w:color w:val="333333"/>
                      <w:kern w:val="0"/>
                      <w:sz w:val="24"/>
                      <w:szCs w:val="24"/>
                      <w:lang w:val="en-US" w:eastAsia="zh-CN"/>
                    </w:rPr>
                    <w:t>195.985</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4536"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480" w:lineRule="auto"/>
                    <w:jc w:val="center"/>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其中：财政拨款支出</w:t>
                  </w:r>
                </w:p>
              </w:tc>
              <w:tc>
                <w:tcPr>
                  <w:tcW w:w="490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480" w:lineRule="auto"/>
                    <w:jc w:val="center"/>
                    <w:rPr>
                      <w:rFonts w:hint="default" w:ascii="宋体" w:hAnsi="宋体" w:eastAsia="宋体" w:cs="宋体"/>
                      <w:color w:val="333333"/>
                      <w:kern w:val="0"/>
                      <w:sz w:val="24"/>
                      <w:szCs w:val="24"/>
                      <w:lang w:val="en-US" w:eastAsia="zh-CN"/>
                    </w:rPr>
                  </w:pPr>
                  <w:r>
                    <w:rPr>
                      <w:rFonts w:hint="eastAsia" w:ascii="宋体" w:hAnsi="宋体" w:cs="宋体"/>
                      <w:color w:val="333333"/>
                      <w:kern w:val="0"/>
                      <w:sz w:val="24"/>
                      <w:szCs w:val="24"/>
                      <w:lang w:val="en-US" w:eastAsia="zh-CN"/>
                    </w:rPr>
                    <w:t>195.985</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4536"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480" w:lineRule="auto"/>
                    <w:jc w:val="center"/>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支出预算合计</w:t>
                  </w:r>
                </w:p>
              </w:tc>
              <w:tc>
                <w:tcPr>
                  <w:tcW w:w="490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480" w:lineRule="auto"/>
                    <w:jc w:val="center"/>
                    <w:rPr>
                      <w:rFonts w:hint="default" w:ascii="宋体" w:hAnsi="宋体" w:eastAsia="宋体" w:cs="宋体"/>
                      <w:color w:val="333333"/>
                      <w:kern w:val="0"/>
                      <w:sz w:val="24"/>
                      <w:szCs w:val="24"/>
                      <w:lang w:val="en-US" w:eastAsia="zh-CN"/>
                    </w:rPr>
                  </w:pPr>
                  <w:r>
                    <w:rPr>
                      <w:rFonts w:hint="eastAsia" w:ascii="宋体" w:hAnsi="宋体" w:cs="宋体"/>
                      <w:color w:val="333333"/>
                      <w:kern w:val="0"/>
                      <w:sz w:val="24"/>
                      <w:szCs w:val="24"/>
                      <w:lang w:val="en-US" w:eastAsia="zh-CN"/>
                    </w:rPr>
                    <w:t>195.985</w:t>
                  </w:r>
                </w:p>
              </w:tc>
            </w:tr>
          </w:tbl>
          <w:p>
            <w:pPr>
              <w:spacing w:line="560" w:lineRule="exact"/>
              <w:ind w:firstLine="560" w:firstLineChars="200"/>
              <w:rPr>
                <w:rFonts w:hint="default" w:ascii="黑体" w:hAnsi="黑体" w:eastAsia="黑体" w:cs="黑体"/>
                <w:bCs/>
                <w:sz w:val="28"/>
                <w:szCs w:val="28"/>
                <w:lang w:val="en-US" w:eastAsia="zh-CN"/>
              </w:rPr>
            </w:pPr>
            <w:r>
              <w:rPr>
                <w:rFonts w:hint="eastAsia" w:ascii="仿宋_GB2312" w:hAnsi="仿宋_GB2312" w:eastAsia="仿宋_GB2312" w:cs="仿宋_GB2312"/>
                <w:b w:val="0"/>
                <w:bCs/>
                <w:sz w:val="28"/>
                <w:szCs w:val="28"/>
                <w:lang w:val="en-US" w:eastAsia="zh-CN"/>
              </w:rPr>
              <w:t>从预算批复分析，年度预算收入195.985万元，全部为财政拨款收入，全年预算支出195.985万元，全部为项目支出，使用内容为：市场监督经费19.8724万元，办公场所租赁费19.836万元，绩效考核奖金55.3332万元，临聘人员经费11.8606万元，商事制度改革经费9.9828万元，特种设备安全监管经费4万元，食品安全监管专项资金8万元，企业知识产权专利资助奖励资金67.1万元。</w:t>
            </w:r>
          </w:p>
          <w:p>
            <w:pPr>
              <w:numPr>
                <w:ilvl w:val="0"/>
                <w:numId w:val="0"/>
              </w:numPr>
              <w:spacing w:line="560" w:lineRule="exact"/>
              <w:ind w:leftChars="0" w:firstLine="280" w:firstLineChars="100"/>
              <w:rPr>
                <w:rFonts w:hint="eastAsia" w:ascii="黑体" w:hAnsi="黑体" w:eastAsia="黑体" w:cs="黑体"/>
                <w:bCs/>
                <w:sz w:val="28"/>
                <w:szCs w:val="28"/>
                <w:lang w:val="en-US" w:eastAsia="zh-CN"/>
              </w:rPr>
            </w:pPr>
          </w:p>
          <w:p>
            <w:pPr>
              <w:numPr>
                <w:ilvl w:val="0"/>
                <w:numId w:val="0"/>
              </w:numPr>
              <w:spacing w:line="560" w:lineRule="exact"/>
              <w:ind w:firstLine="840" w:firstLineChars="300"/>
              <w:rPr>
                <w:rFonts w:hint="eastAsia" w:ascii="宋体" w:hAnsi="宋体" w:eastAsia="宋体" w:cs="宋体"/>
                <w:b/>
                <w:bCs w:val="0"/>
                <w:sz w:val="28"/>
                <w:szCs w:val="28"/>
                <w:lang w:val="en-US" w:eastAsia="zh-CN"/>
              </w:rPr>
            </w:pPr>
            <w:r>
              <w:rPr>
                <w:rFonts w:hint="eastAsia" w:ascii="黑体" w:hAnsi="黑体" w:eastAsia="黑体" w:cs="黑体"/>
                <w:bCs/>
                <w:sz w:val="28"/>
                <w:szCs w:val="28"/>
                <w:lang w:val="en-US" w:eastAsia="zh-CN"/>
              </w:rPr>
              <w:t>2、年度部门决算收支情况及</w:t>
            </w:r>
            <w:r>
              <w:rPr>
                <w:rFonts w:hint="eastAsia" w:ascii="宋体" w:hAnsi="宋体" w:eastAsia="宋体" w:cs="宋体"/>
                <w:b/>
                <w:bCs w:val="0"/>
                <w:sz w:val="28"/>
                <w:szCs w:val="28"/>
                <w:lang w:val="en-US" w:eastAsia="zh-CN"/>
              </w:rPr>
              <w:t>使用方向和主要内容、涉及范围</w:t>
            </w:r>
          </w:p>
          <w:p>
            <w:pPr>
              <w:numPr>
                <w:ilvl w:val="0"/>
                <w:numId w:val="0"/>
              </w:numPr>
              <w:spacing w:line="560" w:lineRule="exact"/>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收入决算情况</w:t>
            </w:r>
          </w:p>
          <w:tbl>
            <w:tblPr>
              <w:tblStyle w:val="5"/>
              <w:tblW w:w="0" w:type="auto"/>
              <w:tblInd w:w="-15" w:type="dxa"/>
              <w:tblLayout w:type="fixed"/>
              <w:tblCellMar>
                <w:top w:w="0" w:type="dxa"/>
                <w:left w:w="0" w:type="dxa"/>
                <w:bottom w:w="0" w:type="dxa"/>
                <w:right w:w="0" w:type="dxa"/>
              </w:tblCellMar>
            </w:tblPr>
            <w:tblGrid>
              <w:gridCol w:w="1520"/>
              <w:gridCol w:w="1590"/>
              <w:gridCol w:w="1390"/>
              <w:gridCol w:w="1460"/>
              <w:gridCol w:w="1140"/>
              <w:gridCol w:w="1683"/>
            </w:tblGrid>
            <w:tr>
              <w:tblPrEx>
                <w:tblCellMar>
                  <w:top w:w="0" w:type="dxa"/>
                  <w:left w:w="0" w:type="dxa"/>
                  <w:bottom w:w="0" w:type="dxa"/>
                  <w:right w:w="0" w:type="dxa"/>
                </w:tblCellMar>
              </w:tblPrEx>
              <w:trPr>
                <w:trHeight w:val="465" w:hRule="atLeast"/>
              </w:trPr>
              <w:tc>
                <w:tcPr>
                  <w:tcW w:w="152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单位名称</w:t>
                  </w:r>
                </w:p>
              </w:tc>
              <w:tc>
                <w:tcPr>
                  <w:tcW w:w="1590" w:type="dxa"/>
                  <w:tcBorders>
                    <w:top w:val="single" w:color="auto" w:sz="4" w:space="0"/>
                    <w:left w:val="nil"/>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预算收入</w:t>
                  </w:r>
                </w:p>
              </w:tc>
              <w:tc>
                <w:tcPr>
                  <w:tcW w:w="1390" w:type="dxa"/>
                  <w:tcBorders>
                    <w:top w:val="single" w:color="auto" w:sz="4" w:space="0"/>
                    <w:left w:val="nil"/>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决算收入</w:t>
                  </w:r>
                </w:p>
              </w:tc>
              <w:tc>
                <w:tcPr>
                  <w:tcW w:w="1460" w:type="dxa"/>
                  <w:tcBorders>
                    <w:top w:val="single" w:color="auto" w:sz="4" w:space="0"/>
                    <w:left w:val="nil"/>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年末结余</w:t>
                  </w:r>
                </w:p>
              </w:tc>
              <w:tc>
                <w:tcPr>
                  <w:tcW w:w="1140" w:type="dxa"/>
                  <w:tcBorders>
                    <w:top w:val="single" w:color="auto" w:sz="4" w:space="0"/>
                    <w:left w:val="nil"/>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上年结余</w:t>
                  </w:r>
                </w:p>
              </w:tc>
              <w:tc>
                <w:tcPr>
                  <w:tcW w:w="1683" w:type="dxa"/>
                  <w:tcBorders>
                    <w:top w:val="single" w:color="auto" w:sz="4" w:space="0"/>
                    <w:left w:val="nil"/>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本年结余</w:t>
                  </w:r>
                </w:p>
              </w:tc>
            </w:tr>
            <w:tr>
              <w:tblPrEx>
                <w:tblCellMar>
                  <w:top w:w="0" w:type="dxa"/>
                  <w:left w:w="0" w:type="dxa"/>
                  <w:bottom w:w="0" w:type="dxa"/>
                  <w:right w:w="0" w:type="dxa"/>
                </w:tblCellMar>
              </w:tblPrEx>
              <w:trPr>
                <w:trHeight w:val="728" w:hRule="atLeast"/>
              </w:trPr>
              <w:tc>
                <w:tcPr>
                  <w:tcW w:w="1520" w:type="dxa"/>
                  <w:tcBorders>
                    <w:top w:val="nil"/>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eastAsia="zh-CN"/>
                    </w:rPr>
                  </w:pPr>
                  <w:r>
                    <w:rPr>
                      <w:rFonts w:hint="eastAsia" w:ascii="宋体" w:hAnsi="宋体" w:cs="宋体"/>
                      <w:i w:val="0"/>
                      <w:color w:val="auto"/>
                      <w:sz w:val="24"/>
                      <w:szCs w:val="24"/>
                      <w:u w:val="none"/>
                      <w:lang w:eastAsia="zh-CN"/>
                    </w:rPr>
                    <w:t>市场监管局</w:t>
                  </w:r>
                </w:p>
              </w:tc>
              <w:tc>
                <w:tcPr>
                  <w:tcW w:w="1590"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24"/>
                      <w:szCs w:val="24"/>
                      <w:u w:val="none"/>
                      <w:lang w:val="en-US"/>
                    </w:rPr>
                  </w:pPr>
                  <w:r>
                    <w:rPr>
                      <w:rFonts w:hint="eastAsia" w:ascii="宋体" w:hAnsi="宋体" w:cs="宋体"/>
                      <w:i w:val="0"/>
                      <w:color w:val="auto"/>
                      <w:kern w:val="0"/>
                      <w:sz w:val="24"/>
                      <w:szCs w:val="24"/>
                      <w:u w:val="none"/>
                      <w:lang w:val="en-US" w:eastAsia="zh-CN" w:bidi="ar"/>
                    </w:rPr>
                    <w:t>195.985</w:t>
                  </w:r>
                </w:p>
              </w:tc>
              <w:tc>
                <w:tcPr>
                  <w:tcW w:w="1390"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24"/>
                      <w:szCs w:val="24"/>
                      <w:u w:val="none"/>
                      <w:lang w:val="en-US"/>
                    </w:rPr>
                  </w:pPr>
                  <w:r>
                    <w:rPr>
                      <w:rFonts w:hint="eastAsia" w:ascii="宋体" w:hAnsi="宋体" w:cs="宋体"/>
                      <w:i w:val="0"/>
                      <w:color w:val="auto"/>
                      <w:kern w:val="0"/>
                      <w:sz w:val="24"/>
                      <w:szCs w:val="24"/>
                      <w:u w:val="none"/>
                      <w:lang w:val="en-US" w:eastAsia="zh-CN" w:bidi="ar"/>
                    </w:rPr>
                    <w:t>195.985</w:t>
                  </w:r>
                </w:p>
              </w:tc>
              <w:tc>
                <w:tcPr>
                  <w:tcW w:w="1460"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24"/>
                      <w:szCs w:val="24"/>
                      <w:u w:val="none"/>
                      <w:lang w:val="en-US"/>
                    </w:rPr>
                  </w:pPr>
                  <w:r>
                    <w:rPr>
                      <w:rFonts w:hint="eastAsia" w:ascii="宋体" w:hAnsi="宋体" w:eastAsia="宋体" w:cs="宋体"/>
                      <w:i w:val="0"/>
                      <w:color w:val="auto"/>
                      <w:kern w:val="0"/>
                      <w:sz w:val="24"/>
                      <w:szCs w:val="24"/>
                      <w:u w:val="none"/>
                      <w:lang w:val="en-US" w:eastAsia="zh-CN" w:bidi="ar"/>
                    </w:rPr>
                    <w:t>0</w:t>
                  </w:r>
                </w:p>
              </w:tc>
              <w:tc>
                <w:tcPr>
                  <w:tcW w:w="1140"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24"/>
                      <w:szCs w:val="24"/>
                      <w:u w:val="none"/>
                      <w:lang w:val="en-US"/>
                    </w:rPr>
                  </w:pPr>
                  <w:r>
                    <w:rPr>
                      <w:rFonts w:hint="eastAsia" w:ascii="宋体" w:hAnsi="宋体" w:eastAsia="宋体" w:cs="宋体"/>
                      <w:i w:val="0"/>
                      <w:color w:val="auto"/>
                      <w:kern w:val="0"/>
                      <w:sz w:val="24"/>
                      <w:szCs w:val="24"/>
                      <w:u w:val="none"/>
                      <w:lang w:val="en-US" w:eastAsia="zh-CN" w:bidi="ar"/>
                    </w:rPr>
                    <w:t>0</w:t>
                  </w:r>
                </w:p>
              </w:tc>
              <w:tc>
                <w:tcPr>
                  <w:tcW w:w="1683"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val="en-US" w:eastAsia="zh-CN"/>
                    </w:rPr>
                  </w:pPr>
                  <w:r>
                    <w:rPr>
                      <w:rFonts w:hint="eastAsia" w:ascii="宋体" w:hAnsi="宋体" w:eastAsia="宋体" w:cs="宋体"/>
                      <w:i w:val="0"/>
                      <w:color w:val="auto"/>
                      <w:sz w:val="24"/>
                      <w:szCs w:val="24"/>
                      <w:u w:val="none"/>
                      <w:lang w:val="en-US" w:eastAsia="zh-CN"/>
                    </w:rPr>
                    <w:t>0</w:t>
                  </w:r>
                </w:p>
              </w:tc>
            </w:tr>
          </w:tbl>
          <w:p>
            <w:pPr>
              <w:numPr>
                <w:ilvl w:val="0"/>
                <w:numId w:val="0"/>
              </w:numPr>
              <w:spacing w:line="560" w:lineRule="exact"/>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支出决算情况</w:t>
            </w:r>
          </w:p>
          <w:p>
            <w:pPr>
              <w:numPr>
                <w:ilvl w:val="0"/>
                <w:numId w:val="0"/>
              </w:numPr>
              <w:spacing w:line="560" w:lineRule="exact"/>
              <w:rPr>
                <w:rFonts w:hint="default"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金额单位：万元</w:t>
            </w:r>
          </w:p>
          <w:tbl>
            <w:tblPr>
              <w:tblStyle w:val="5"/>
              <w:tblW w:w="0" w:type="auto"/>
              <w:tblInd w:w="-15" w:type="dxa"/>
              <w:tblLayout w:type="fixed"/>
              <w:tblCellMar>
                <w:top w:w="0" w:type="dxa"/>
                <w:left w:w="0" w:type="dxa"/>
                <w:bottom w:w="0" w:type="dxa"/>
                <w:right w:w="0" w:type="dxa"/>
              </w:tblCellMar>
            </w:tblPr>
            <w:tblGrid>
              <w:gridCol w:w="1400"/>
              <w:gridCol w:w="1088"/>
              <w:gridCol w:w="1425"/>
              <w:gridCol w:w="1461"/>
              <w:gridCol w:w="1445"/>
              <w:gridCol w:w="1912"/>
            </w:tblGrid>
            <w:tr>
              <w:tblPrEx>
                <w:tblCellMar>
                  <w:top w:w="0" w:type="dxa"/>
                  <w:left w:w="0" w:type="dxa"/>
                  <w:bottom w:w="0" w:type="dxa"/>
                  <w:right w:w="0" w:type="dxa"/>
                </w:tblCellMar>
              </w:tblPrEx>
              <w:trPr>
                <w:trHeight w:val="420" w:hRule="atLeast"/>
              </w:trPr>
              <w:tc>
                <w:tcPr>
                  <w:tcW w:w="1400" w:type="dxa"/>
                  <w:tcBorders>
                    <w:top w:val="single" w:color="auto" w:sz="4" w:space="0"/>
                    <w:left w:val="single" w:color="auto" w:sz="4" w:space="0"/>
                    <w:bottom w:val="single" w:color="auto" w:sz="4" w:space="0"/>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p>
              </w:tc>
              <w:tc>
                <w:tcPr>
                  <w:tcW w:w="2513" w:type="dxa"/>
                  <w:gridSpan w:val="2"/>
                  <w:tcBorders>
                    <w:top w:val="single" w:color="auto" w:sz="4" w:space="0"/>
                    <w:left w:val="nil"/>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预算批复</w:t>
                  </w:r>
                </w:p>
              </w:tc>
              <w:tc>
                <w:tcPr>
                  <w:tcW w:w="1461" w:type="dxa"/>
                  <w:tcBorders>
                    <w:top w:val="single" w:color="auto" w:sz="4" w:space="0"/>
                    <w:left w:val="nil"/>
                    <w:bottom w:val="single" w:color="auto" w:sz="4" w:space="0"/>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p>
              </w:tc>
              <w:tc>
                <w:tcPr>
                  <w:tcW w:w="3357" w:type="dxa"/>
                  <w:gridSpan w:val="2"/>
                  <w:tcBorders>
                    <w:top w:val="single" w:color="auto" w:sz="4" w:space="0"/>
                    <w:left w:val="nil"/>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决算数据</w:t>
                  </w:r>
                </w:p>
              </w:tc>
            </w:tr>
            <w:tr>
              <w:tblPrEx>
                <w:tblCellMar>
                  <w:top w:w="0" w:type="dxa"/>
                  <w:left w:w="0" w:type="dxa"/>
                  <w:bottom w:w="0" w:type="dxa"/>
                  <w:right w:w="0" w:type="dxa"/>
                </w:tblCellMar>
              </w:tblPrEx>
              <w:trPr>
                <w:trHeight w:val="420" w:hRule="atLeast"/>
              </w:trPr>
              <w:tc>
                <w:tcPr>
                  <w:tcW w:w="1400" w:type="dxa"/>
                  <w:tcBorders>
                    <w:top w:val="nil"/>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合计</w:t>
                  </w:r>
                </w:p>
              </w:tc>
              <w:tc>
                <w:tcPr>
                  <w:tcW w:w="1088" w:type="dxa"/>
                  <w:tcBorders>
                    <w:top w:val="nil"/>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基本支出</w:t>
                  </w:r>
                </w:p>
              </w:tc>
              <w:tc>
                <w:tcPr>
                  <w:tcW w:w="1425"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项目支出</w:t>
                  </w:r>
                </w:p>
              </w:tc>
              <w:tc>
                <w:tcPr>
                  <w:tcW w:w="1461"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合计</w:t>
                  </w:r>
                </w:p>
              </w:tc>
              <w:tc>
                <w:tcPr>
                  <w:tcW w:w="1445"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基本支出</w:t>
                  </w:r>
                </w:p>
              </w:tc>
              <w:tc>
                <w:tcPr>
                  <w:tcW w:w="1912"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项目支出</w:t>
                  </w:r>
                </w:p>
              </w:tc>
            </w:tr>
            <w:tr>
              <w:tblPrEx>
                <w:tblCellMar>
                  <w:top w:w="0" w:type="dxa"/>
                  <w:left w:w="0" w:type="dxa"/>
                  <w:bottom w:w="0" w:type="dxa"/>
                  <w:right w:w="0" w:type="dxa"/>
                </w:tblCellMar>
              </w:tblPrEx>
              <w:trPr>
                <w:trHeight w:val="420" w:hRule="atLeast"/>
              </w:trPr>
              <w:tc>
                <w:tcPr>
                  <w:tcW w:w="1400" w:type="dxa"/>
                  <w:tcBorders>
                    <w:top w:val="nil"/>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195.985</w:t>
                  </w:r>
                </w:p>
              </w:tc>
              <w:tc>
                <w:tcPr>
                  <w:tcW w:w="1088" w:type="dxa"/>
                  <w:tcBorders>
                    <w:top w:val="nil"/>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val="en-US" w:eastAsia="zh-CN"/>
                    </w:rPr>
                  </w:pPr>
                  <w:r>
                    <w:rPr>
                      <w:rFonts w:hint="eastAsia" w:ascii="宋体" w:hAnsi="宋体" w:eastAsia="宋体" w:cs="宋体"/>
                      <w:i w:val="0"/>
                      <w:color w:val="auto"/>
                      <w:sz w:val="24"/>
                      <w:szCs w:val="24"/>
                      <w:u w:val="none"/>
                      <w:lang w:val="en-US" w:eastAsia="zh-CN"/>
                    </w:rPr>
                    <w:t>0</w:t>
                  </w:r>
                </w:p>
              </w:tc>
              <w:tc>
                <w:tcPr>
                  <w:tcW w:w="1425"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24"/>
                      <w:szCs w:val="24"/>
                      <w:u w:val="none"/>
                      <w:lang w:val="en-US"/>
                    </w:rPr>
                  </w:pPr>
                  <w:r>
                    <w:rPr>
                      <w:rFonts w:hint="eastAsia" w:ascii="宋体" w:hAnsi="宋体" w:cs="宋体"/>
                      <w:i w:val="0"/>
                      <w:color w:val="auto"/>
                      <w:kern w:val="0"/>
                      <w:sz w:val="24"/>
                      <w:szCs w:val="24"/>
                      <w:u w:val="none"/>
                      <w:lang w:val="en-US" w:eastAsia="zh-CN" w:bidi="ar"/>
                    </w:rPr>
                    <w:t>195.985</w:t>
                  </w:r>
                </w:p>
              </w:tc>
              <w:tc>
                <w:tcPr>
                  <w:tcW w:w="1461"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195.985</w:t>
                  </w:r>
                </w:p>
              </w:tc>
              <w:tc>
                <w:tcPr>
                  <w:tcW w:w="1445"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24"/>
                      <w:szCs w:val="24"/>
                      <w:u w:val="none"/>
                      <w:lang w:val="en-US" w:eastAsia="zh-CN"/>
                    </w:rPr>
                  </w:pPr>
                  <w:r>
                    <w:rPr>
                      <w:rFonts w:hint="eastAsia" w:ascii="宋体" w:hAnsi="宋体" w:eastAsia="宋体" w:cs="宋体"/>
                      <w:i w:val="0"/>
                      <w:color w:val="auto"/>
                      <w:sz w:val="24"/>
                      <w:szCs w:val="24"/>
                      <w:u w:val="none"/>
                      <w:lang w:val="en-US" w:eastAsia="zh-CN"/>
                    </w:rPr>
                    <w:t>0</w:t>
                  </w:r>
                </w:p>
              </w:tc>
              <w:tc>
                <w:tcPr>
                  <w:tcW w:w="1912"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24"/>
                      <w:szCs w:val="24"/>
                      <w:u w:val="none"/>
                      <w:lang w:val="en-US"/>
                    </w:rPr>
                  </w:pPr>
                  <w:r>
                    <w:rPr>
                      <w:rFonts w:hint="eastAsia" w:ascii="宋体" w:hAnsi="宋体" w:cs="宋体"/>
                      <w:i w:val="0"/>
                      <w:color w:val="auto"/>
                      <w:kern w:val="0"/>
                      <w:sz w:val="24"/>
                      <w:szCs w:val="24"/>
                      <w:u w:val="none"/>
                      <w:lang w:val="en-US" w:eastAsia="zh-CN" w:bidi="ar"/>
                    </w:rPr>
                    <w:t>195.985</w:t>
                  </w:r>
                </w:p>
              </w:tc>
            </w:tr>
          </w:tbl>
          <w:p>
            <w:pPr>
              <w:spacing w:line="560" w:lineRule="exact"/>
              <w:rPr>
                <w:rFonts w:hint="default" w:ascii="仿宋_GB2312" w:hAnsi="仿宋_GB2312" w:eastAsia="仿宋_GB2312" w:cs="仿宋_GB2312"/>
                <w:b w:val="0"/>
                <w:bCs/>
                <w:sz w:val="28"/>
                <w:szCs w:val="28"/>
                <w:lang w:val="en-US"/>
              </w:rPr>
            </w:pPr>
            <w:r>
              <w:rPr>
                <w:rFonts w:hint="eastAsia" w:ascii="仿宋_GB2312" w:hAnsi="仿宋_GB2312" w:eastAsia="仿宋_GB2312" w:cs="仿宋_GB2312"/>
                <w:b w:val="0"/>
                <w:bCs/>
                <w:sz w:val="28"/>
                <w:szCs w:val="28"/>
                <w:lang w:val="en-US" w:eastAsia="zh-CN"/>
              </w:rPr>
              <w:t>从上述数据分析：2021年预算收入195.985万元，决算195.985万元，严格按照预算控制资金使用。</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二、部门（单位）整体支出管理及使用情况</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w:t>
            </w:r>
            <w:r>
              <w:rPr>
                <w:rFonts w:hint="eastAsia" w:ascii="仿宋_GB2312" w:hAnsi="仿宋_GB2312" w:eastAsia="仿宋_GB2312" w:cs="仿宋_GB2312"/>
                <w:bCs/>
                <w:sz w:val="28"/>
                <w:szCs w:val="28"/>
                <w:lang w:val="en-US" w:eastAsia="zh-CN"/>
              </w:rPr>
              <w:t>项目</w:t>
            </w:r>
            <w:r>
              <w:rPr>
                <w:rFonts w:hint="eastAsia" w:ascii="仿宋_GB2312" w:hAnsi="仿宋_GB2312" w:eastAsia="仿宋_GB2312" w:cs="仿宋_GB2312"/>
                <w:bCs/>
                <w:sz w:val="28"/>
                <w:szCs w:val="28"/>
              </w:rPr>
              <w:t>支出</w:t>
            </w:r>
          </w:p>
          <w:p>
            <w:pPr>
              <w:spacing w:line="560" w:lineRule="exact"/>
              <w:ind w:firstLine="560" w:firstLineChars="200"/>
              <w:rPr>
                <w:rFonts w:hint="default"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1、我局经费全部为项目支出，具体如下：</w:t>
            </w:r>
          </w:p>
          <w:p>
            <w:pPr>
              <w:spacing w:line="560" w:lineRule="exact"/>
              <w:ind w:firstLine="560" w:firstLineChars="200"/>
              <w:rPr>
                <w:rFonts w:hint="default" w:ascii="仿宋_GB2312" w:hAnsi="仿宋_GB2312" w:eastAsia="仿宋_GB2312" w:cs="仿宋_GB2312"/>
                <w:bCs/>
                <w:sz w:val="28"/>
                <w:szCs w:val="28"/>
                <w:lang w:val="en-US" w:eastAsia="zh-CN"/>
              </w:rPr>
            </w:pPr>
            <w:r>
              <w:rPr>
                <w:rFonts w:hint="eastAsia" w:ascii="仿宋_GB2312" w:hAnsi="仿宋_GB2312" w:eastAsia="仿宋_GB2312" w:cs="仿宋_GB2312"/>
                <w:b w:val="0"/>
                <w:bCs/>
                <w:sz w:val="28"/>
                <w:szCs w:val="28"/>
                <w:lang w:val="en-US" w:eastAsia="zh-CN"/>
              </w:rPr>
              <w:t>市场监</w:t>
            </w:r>
            <w:r>
              <w:rPr>
                <w:rFonts w:hint="eastAsia" w:ascii="仿宋_GB2312" w:hAnsi="仿宋_GB2312" w:eastAsia="仿宋_GB2312" w:cs="仿宋_GB2312"/>
                <w:bCs/>
                <w:sz w:val="28"/>
                <w:szCs w:val="28"/>
                <w:lang w:val="en-US" w:eastAsia="zh-CN"/>
              </w:rPr>
              <w:t>督经费、办公场所租赁费、绩效考核奖金、临聘人员经费、商事制度改革经费、特种设备安全监管经费、食品安全监管专项资金、企业知识产权专利资助奖励资金。</w:t>
            </w:r>
          </w:p>
          <w:p>
            <w:p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eastAsia="zh-CN"/>
              </w:rPr>
              <w:t>具体为</w:t>
            </w:r>
            <w:r>
              <w:rPr>
                <w:rFonts w:hint="eastAsia" w:ascii="仿宋_GB2312" w:hAnsi="仿宋_GB2312" w:eastAsia="仿宋_GB2312" w:cs="仿宋_GB2312"/>
                <w:bCs/>
                <w:sz w:val="28"/>
                <w:szCs w:val="28"/>
                <w:lang w:val="en-US" w:eastAsia="zh-CN"/>
              </w:rPr>
              <w:t>房屋租金、</w:t>
            </w:r>
            <w:r>
              <w:rPr>
                <w:rFonts w:hint="eastAsia" w:ascii="仿宋_GB2312" w:hAnsi="仿宋_GB2312" w:eastAsia="仿宋_GB2312" w:cs="仿宋_GB2312"/>
                <w:bCs/>
                <w:sz w:val="28"/>
                <w:szCs w:val="28"/>
                <w:lang w:eastAsia="zh-CN"/>
              </w:rPr>
              <w:t>办公费、邮电费、</w:t>
            </w:r>
            <w:r>
              <w:rPr>
                <w:rFonts w:hint="eastAsia" w:ascii="仿宋_GB2312" w:hAnsi="仿宋_GB2312" w:eastAsia="仿宋_GB2312" w:cs="仿宋_GB2312"/>
                <w:bCs/>
                <w:sz w:val="28"/>
                <w:szCs w:val="28"/>
                <w:lang w:val="en-US" w:eastAsia="zh-CN"/>
              </w:rPr>
              <w:t>保险费、档案扫描费、报刊杂志费、</w:t>
            </w:r>
            <w:r>
              <w:rPr>
                <w:rFonts w:hint="eastAsia" w:ascii="仿宋_GB2312" w:hAnsi="仿宋_GB2312" w:eastAsia="仿宋_GB2312" w:cs="仿宋_GB2312"/>
                <w:bCs/>
                <w:sz w:val="28"/>
                <w:szCs w:val="28"/>
                <w:lang w:eastAsia="zh-CN"/>
              </w:rPr>
              <w:t>印刷</w:t>
            </w:r>
            <w:r>
              <w:rPr>
                <w:rFonts w:hint="eastAsia" w:ascii="仿宋_GB2312" w:hAnsi="仿宋_GB2312" w:eastAsia="仿宋_GB2312" w:cs="仿宋_GB2312"/>
                <w:bCs/>
                <w:sz w:val="28"/>
                <w:szCs w:val="28"/>
                <w:lang w:val="en-US" w:eastAsia="zh-CN"/>
              </w:rPr>
              <w:t>宣传</w:t>
            </w:r>
            <w:r>
              <w:rPr>
                <w:rFonts w:hint="eastAsia" w:ascii="仿宋_GB2312" w:hAnsi="仿宋_GB2312" w:eastAsia="仿宋_GB2312" w:cs="仿宋_GB2312"/>
                <w:bCs/>
                <w:sz w:val="28"/>
                <w:szCs w:val="28"/>
                <w:lang w:eastAsia="zh-CN"/>
              </w:rPr>
              <w:t>费、</w:t>
            </w:r>
            <w:r>
              <w:rPr>
                <w:rFonts w:hint="eastAsia" w:ascii="仿宋_GB2312" w:hAnsi="仿宋_GB2312" w:eastAsia="仿宋_GB2312" w:cs="仿宋_GB2312"/>
                <w:bCs/>
                <w:sz w:val="28"/>
                <w:szCs w:val="28"/>
                <w:lang w:val="en-US" w:eastAsia="zh-CN"/>
              </w:rPr>
              <w:t>工作餐费、知识产权奖励资金、知识产权咨询费、工会活动支出、大厅工装支出、保洁费、劳务费、绩效奖金，项目支出的管理和使用情况如下：</w:t>
            </w:r>
          </w:p>
          <w:p>
            <w:pPr>
              <w:spacing w:line="560" w:lineRule="exact"/>
              <w:ind w:firstLine="560" w:firstLineChars="200"/>
              <w:rPr>
                <w:rFonts w:hint="default"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项目支出执行情况表（金额单位:万元）</w:t>
            </w:r>
          </w:p>
          <w:tbl>
            <w:tblPr>
              <w:tblStyle w:val="5"/>
              <w:tblW w:w="0" w:type="auto"/>
              <w:tblInd w:w="114" w:type="dxa"/>
              <w:tblLayout w:type="fixed"/>
              <w:tblCellMar>
                <w:top w:w="0" w:type="dxa"/>
                <w:left w:w="0" w:type="dxa"/>
                <w:bottom w:w="0" w:type="dxa"/>
                <w:right w:w="0" w:type="dxa"/>
              </w:tblCellMar>
            </w:tblPr>
            <w:tblGrid>
              <w:gridCol w:w="3271"/>
              <w:gridCol w:w="2626"/>
              <w:gridCol w:w="2738"/>
            </w:tblGrid>
            <w:tr>
              <w:tblPrEx>
                <w:tblCellMar>
                  <w:top w:w="0" w:type="dxa"/>
                  <w:left w:w="0" w:type="dxa"/>
                  <w:bottom w:w="0" w:type="dxa"/>
                  <w:right w:w="0" w:type="dxa"/>
                </w:tblCellMar>
              </w:tblPrEx>
              <w:trPr>
                <w:trHeight w:val="435" w:hRule="atLeast"/>
              </w:trPr>
              <w:tc>
                <w:tcPr>
                  <w:tcW w:w="3271"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spacing w:line="560" w:lineRule="exact"/>
                    <w:ind w:firstLine="1400" w:firstLineChars="500"/>
                    <w:jc w:val="both"/>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项  目</w:t>
                  </w:r>
                </w:p>
              </w:tc>
              <w:tc>
                <w:tcPr>
                  <w:tcW w:w="2626" w:type="dxa"/>
                  <w:tcBorders>
                    <w:top w:val="single" w:color="auto" w:sz="4" w:space="0"/>
                    <w:left w:val="nil"/>
                    <w:bottom w:val="single" w:color="auto" w:sz="4" w:space="0"/>
                    <w:right w:val="nil"/>
                  </w:tcBorders>
                  <w:noWrap/>
                  <w:tcMar>
                    <w:top w:w="15" w:type="dxa"/>
                    <w:left w:w="15" w:type="dxa"/>
                    <w:right w:w="15" w:type="dxa"/>
                  </w:tcMar>
                  <w:vAlign w:val="center"/>
                </w:tcPr>
                <w:p>
                  <w:pPr>
                    <w:spacing w:line="560" w:lineRule="exact"/>
                    <w:ind w:firstLine="840" w:firstLineChars="300"/>
                    <w:jc w:val="both"/>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预算批复</w:t>
                  </w:r>
                </w:p>
              </w:tc>
              <w:tc>
                <w:tcPr>
                  <w:tcW w:w="273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spacing w:line="560" w:lineRule="exact"/>
                    <w:ind w:firstLine="840" w:firstLineChars="300"/>
                    <w:jc w:val="both"/>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决算数据</w:t>
                  </w:r>
                </w:p>
              </w:tc>
            </w:tr>
            <w:tr>
              <w:tblPrEx>
                <w:tblCellMar>
                  <w:top w:w="0" w:type="dxa"/>
                  <w:left w:w="0" w:type="dxa"/>
                  <w:bottom w:w="0" w:type="dxa"/>
                  <w:right w:w="0" w:type="dxa"/>
                </w:tblCellMar>
              </w:tblPrEx>
              <w:trPr>
                <w:trHeight w:val="622" w:hRule="atLeast"/>
              </w:trPr>
              <w:tc>
                <w:tcPr>
                  <w:tcW w:w="3271" w:type="dxa"/>
                  <w:tcBorders>
                    <w:top w:val="nil"/>
                    <w:left w:val="single" w:color="auto" w:sz="4" w:space="0"/>
                    <w:bottom w:val="single" w:color="auto" w:sz="4" w:space="0"/>
                    <w:right w:val="single" w:color="auto" w:sz="4" w:space="0"/>
                  </w:tcBorders>
                  <w:noWrap/>
                  <w:tcMar>
                    <w:top w:w="15" w:type="dxa"/>
                    <w:left w:w="15" w:type="dxa"/>
                    <w:right w:w="15" w:type="dxa"/>
                  </w:tcMar>
                  <w:vAlign w:val="center"/>
                </w:tcPr>
                <w:p>
                  <w:pPr>
                    <w:spacing w:line="560" w:lineRule="exact"/>
                    <w:ind w:firstLine="840" w:firstLineChars="300"/>
                    <w:jc w:val="both"/>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市场监督经费</w:t>
                  </w:r>
                </w:p>
              </w:tc>
              <w:tc>
                <w:tcPr>
                  <w:tcW w:w="2626"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24"/>
                      <w:szCs w:val="24"/>
                      <w:u w:val="none"/>
                      <w:lang w:val="en-US" w:eastAsia="zh-CN"/>
                    </w:rPr>
                  </w:pPr>
                  <w:r>
                    <w:rPr>
                      <w:rFonts w:hint="eastAsia" w:ascii="仿宋_GB2312" w:hAnsi="仿宋_GB2312" w:eastAsia="仿宋_GB2312" w:cs="仿宋_GB2312"/>
                      <w:b w:val="0"/>
                      <w:bCs/>
                      <w:sz w:val="28"/>
                      <w:szCs w:val="28"/>
                      <w:lang w:val="en-US" w:eastAsia="zh-CN"/>
                    </w:rPr>
                    <w:t>19.8724</w:t>
                  </w:r>
                </w:p>
              </w:tc>
              <w:tc>
                <w:tcPr>
                  <w:tcW w:w="2738"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24"/>
                      <w:szCs w:val="24"/>
                      <w:u w:val="none"/>
                      <w:lang w:val="en-US"/>
                    </w:rPr>
                  </w:pPr>
                  <w:r>
                    <w:rPr>
                      <w:rFonts w:hint="eastAsia" w:ascii="仿宋_GB2312" w:hAnsi="仿宋_GB2312" w:eastAsia="仿宋_GB2312" w:cs="仿宋_GB2312"/>
                      <w:b w:val="0"/>
                      <w:bCs/>
                      <w:sz w:val="28"/>
                      <w:szCs w:val="28"/>
                      <w:lang w:val="en-US" w:eastAsia="zh-CN"/>
                    </w:rPr>
                    <w:t>19.8724</w:t>
                  </w:r>
                </w:p>
              </w:tc>
            </w:tr>
            <w:tr>
              <w:tblPrEx>
                <w:tblCellMar>
                  <w:top w:w="0" w:type="dxa"/>
                  <w:left w:w="0" w:type="dxa"/>
                  <w:bottom w:w="0" w:type="dxa"/>
                  <w:right w:w="0" w:type="dxa"/>
                </w:tblCellMar>
              </w:tblPrEx>
              <w:trPr>
                <w:trHeight w:val="285" w:hRule="atLeast"/>
              </w:trPr>
              <w:tc>
                <w:tcPr>
                  <w:tcW w:w="3271" w:type="dxa"/>
                  <w:tcBorders>
                    <w:top w:val="nil"/>
                    <w:left w:val="single" w:color="auto" w:sz="4" w:space="0"/>
                    <w:bottom w:val="single" w:color="auto" w:sz="4" w:space="0"/>
                    <w:right w:val="single" w:color="auto" w:sz="4" w:space="0"/>
                  </w:tcBorders>
                  <w:noWrap/>
                  <w:tcMar>
                    <w:top w:w="15" w:type="dxa"/>
                    <w:left w:w="15" w:type="dxa"/>
                    <w:right w:w="15" w:type="dxa"/>
                  </w:tcMar>
                  <w:vAlign w:val="center"/>
                </w:tcPr>
                <w:p>
                  <w:pPr>
                    <w:spacing w:line="560" w:lineRule="exact"/>
                    <w:ind w:firstLine="840" w:firstLineChars="300"/>
                    <w:jc w:val="both"/>
                    <w:rPr>
                      <w:rFonts w:hint="default"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办公室租赁费</w:t>
                  </w:r>
                </w:p>
              </w:tc>
              <w:tc>
                <w:tcPr>
                  <w:tcW w:w="2626" w:type="dxa"/>
                  <w:tcBorders>
                    <w:top w:val="nil"/>
                    <w:left w:val="nil"/>
                    <w:bottom w:val="single" w:color="auto" w:sz="4" w:space="0"/>
                    <w:right w:val="single" w:color="auto" w:sz="4" w:space="0"/>
                  </w:tcBorders>
                  <w:noWrap/>
                  <w:tcMar>
                    <w:top w:w="15" w:type="dxa"/>
                    <w:left w:w="15" w:type="dxa"/>
                    <w:right w:w="15" w:type="dxa"/>
                  </w:tcMar>
                  <w:vAlign w:val="center"/>
                </w:tcPr>
                <w:p>
                  <w:pPr>
                    <w:jc w:val="center"/>
                    <w:rPr>
                      <w:rFonts w:hint="default" w:ascii="宋体" w:hAnsi="宋体" w:eastAsia="宋体" w:cs="宋体"/>
                      <w:i w:val="0"/>
                      <w:color w:val="auto"/>
                      <w:sz w:val="24"/>
                      <w:szCs w:val="24"/>
                      <w:u w:val="none"/>
                      <w:lang w:val="en-US" w:eastAsia="zh-CN"/>
                    </w:rPr>
                  </w:pPr>
                  <w:r>
                    <w:rPr>
                      <w:rFonts w:hint="eastAsia" w:ascii="仿宋_GB2312" w:hAnsi="仿宋_GB2312" w:eastAsia="仿宋_GB2312" w:cs="仿宋_GB2312"/>
                      <w:b w:val="0"/>
                      <w:bCs/>
                      <w:sz w:val="28"/>
                      <w:szCs w:val="28"/>
                      <w:lang w:val="en-US" w:eastAsia="zh-CN"/>
                    </w:rPr>
                    <w:t>19.836</w:t>
                  </w:r>
                </w:p>
              </w:tc>
              <w:tc>
                <w:tcPr>
                  <w:tcW w:w="2738" w:type="dxa"/>
                  <w:tcBorders>
                    <w:top w:val="nil"/>
                    <w:left w:val="nil"/>
                    <w:bottom w:val="single" w:color="auto" w:sz="4" w:space="0"/>
                    <w:right w:val="single" w:color="auto" w:sz="4" w:space="0"/>
                  </w:tcBorders>
                  <w:noWrap/>
                  <w:tcMar>
                    <w:top w:w="15" w:type="dxa"/>
                    <w:left w:w="15" w:type="dxa"/>
                    <w:right w:w="15" w:type="dxa"/>
                  </w:tcMar>
                  <w:vAlign w:val="center"/>
                </w:tcPr>
                <w:p>
                  <w:pPr>
                    <w:jc w:val="center"/>
                    <w:rPr>
                      <w:rFonts w:hint="default" w:ascii="宋体" w:hAnsi="宋体" w:eastAsia="宋体" w:cs="宋体"/>
                      <w:i w:val="0"/>
                      <w:color w:val="auto"/>
                      <w:sz w:val="24"/>
                      <w:szCs w:val="24"/>
                      <w:u w:val="none"/>
                      <w:lang w:val="en-US" w:eastAsia="zh-CN"/>
                    </w:rPr>
                  </w:pPr>
                  <w:r>
                    <w:rPr>
                      <w:rFonts w:hint="eastAsia" w:ascii="仿宋_GB2312" w:hAnsi="仿宋_GB2312" w:eastAsia="仿宋_GB2312" w:cs="仿宋_GB2312"/>
                      <w:b w:val="0"/>
                      <w:bCs/>
                      <w:sz w:val="28"/>
                      <w:szCs w:val="28"/>
                      <w:lang w:val="en-US" w:eastAsia="zh-CN"/>
                    </w:rPr>
                    <w:t>19.836</w:t>
                  </w:r>
                </w:p>
              </w:tc>
            </w:tr>
            <w:tr>
              <w:tblPrEx>
                <w:tblCellMar>
                  <w:top w:w="0" w:type="dxa"/>
                  <w:left w:w="0" w:type="dxa"/>
                  <w:bottom w:w="0" w:type="dxa"/>
                  <w:right w:w="0" w:type="dxa"/>
                </w:tblCellMar>
              </w:tblPrEx>
              <w:trPr>
                <w:trHeight w:val="285" w:hRule="atLeast"/>
              </w:trPr>
              <w:tc>
                <w:tcPr>
                  <w:tcW w:w="3271"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仿宋_GB2312" w:hAnsi="仿宋_GB2312" w:eastAsia="仿宋_GB2312" w:cs="仿宋_GB2312"/>
                      <w:b w:val="0"/>
                      <w:bCs/>
                      <w:sz w:val="28"/>
                      <w:szCs w:val="28"/>
                      <w:lang w:val="en-US" w:eastAsia="zh-CN"/>
                    </w:rPr>
                    <w:t>绩效考核奖金</w:t>
                  </w:r>
                </w:p>
              </w:tc>
              <w:tc>
                <w:tcPr>
                  <w:tcW w:w="2626" w:type="dxa"/>
                  <w:tcBorders>
                    <w:top w:val="single" w:color="auto" w:sz="4" w:space="0"/>
                    <w:left w:val="nil"/>
                    <w:bottom w:val="single" w:color="auto" w:sz="4" w:space="0"/>
                    <w:right w:val="single" w:color="auto" w:sz="4" w:space="0"/>
                  </w:tcBorders>
                  <w:noWrap/>
                  <w:tcMar>
                    <w:top w:w="15" w:type="dxa"/>
                    <w:left w:w="15" w:type="dxa"/>
                    <w:right w:w="15" w:type="dxa"/>
                  </w:tcMar>
                  <w:vAlign w:val="center"/>
                </w:tcPr>
                <w:p>
                  <w:pPr>
                    <w:jc w:val="center"/>
                    <w:rPr>
                      <w:rFonts w:hint="default" w:ascii="宋体" w:hAnsi="宋体" w:cs="宋体"/>
                      <w:i w:val="0"/>
                      <w:color w:val="auto"/>
                      <w:sz w:val="24"/>
                      <w:szCs w:val="24"/>
                      <w:u w:val="none"/>
                      <w:lang w:val="en-US" w:eastAsia="zh-CN"/>
                    </w:rPr>
                  </w:pPr>
                  <w:r>
                    <w:rPr>
                      <w:rFonts w:hint="eastAsia" w:ascii="仿宋_GB2312" w:hAnsi="仿宋_GB2312" w:eastAsia="仿宋_GB2312" w:cs="仿宋_GB2312"/>
                      <w:b w:val="0"/>
                      <w:bCs/>
                      <w:sz w:val="28"/>
                      <w:szCs w:val="28"/>
                      <w:lang w:val="en-US" w:eastAsia="zh-CN"/>
                    </w:rPr>
                    <w:t>55.3332</w:t>
                  </w:r>
                </w:p>
              </w:tc>
              <w:tc>
                <w:tcPr>
                  <w:tcW w:w="2738" w:type="dxa"/>
                  <w:tcBorders>
                    <w:top w:val="single" w:color="auto" w:sz="4" w:space="0"/>
                    <w:left w:val="nil"/>
                    <w:bottom w:val="single" w:color="auto" w:sz="4" w:space="0"/>
                    <w:right w:val="single" w:color="auto" w:sz="4" w:space="0"/>
                  </w:tcBorders>
                  <w:noWrap/>
                  <w:tcMar>
                    <w:top w:w="15" w:type="dxa"/>
                    <w:left w:w="15" w:type="dxa"/>
                    <w:right w:w="15" w:type="dxa"/>
                  </w:tcMar>
                  <w:vAlign w:val="center"/>
                </w:tcPr>
                <w:p>
                  <w:pPr>
                    <w:jc w:val="center"/>
                    <w:rPr>
                      <w:rFonts w:hint="default" w:ascii="宋体" w:hAnsi="宋体" w:cs="宋体"/>
                      <w:i w:val="0"/>
                      <w:color w:val="auto"/>
                      <w:sz w:val="24"/>
                      <w:szCs w:val="24"/>
                      <w:u w:val="none"/>
                      <w:lang w:val="en-US" w:eastAsia="zh-CN"/>
                    </w:rPr>
                  </w:pPr>
                  <w:r>
                    <w:rPr>
                      <w:rFonts w:hint="eastAsia" w:ascii="仿宋_GB2312" w:hAnsi="仿宋_GB2312" w:eastAsia="仿宋_GB2312" w:cs="仿宋_GB2312"/>
                      <w:b w:val="0"/>
                      <w:bCs/>
                      <w:sz w:val="28"/>
                      <w:szCs w:val="28"/>
                      <w:lang w:val="en-US" w:eastAsia="zh-CN"/>
                    </w:rPr>
                    <w:t>55.3332</w:t>
                  </w:r>
                </w:p>
              </w:tc>
            </w:tr>
            <w:tr>
              <w:tblPrEx>
                <w:tblCellMar>
                  <w:top w:w="0" w:type="dxa"/>
                  <w:left w:w="0" w:type="dxa"/>
                  <w:bottom w:w="0" w:type="dxa"/>
                  <w:right w:w="0" w:type="dxa"/>
                </w:tblCellMar>
              </w:tblPrEx>
              <w:trPr>
                <w:trHeight w:val="285" w:hRule="atLeast"/>
              </w:trPr>
              <w:tc>
                <w:tcPr>
                  <w:tcW w:w="3271"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仿宋_GB2312" w:hAnsi="仿宋_GB2312" w:eastAsia="仿宋_GB2312" w:cs="仿宋_GB2312"/>
                      <w:b w:val="0"/>
                      <w:bCs/>
                      <w:sz w:val="28"/>
                      <w:szCs w:val="28"/>
                      <w:lang w:val="en-US" w:eastAsia="zh-CN"/>
                    </w:rPr>
                    <w:t>临聘人员经费</w:t>
                  </w:r>
                </w:p>
              </w:tc>
              <w:tc>
                <w:tcPr>
                  <w:tcW w:w="2626" w:type="dxa"/>
                  <w:tcBorders>
                    <w:top w:val="single" w:color="auto" w:sz="4" w:space="0"/>
                    <w:left w:val="nil"/>
                    <w:bottom w:val="single" w:color="auto" w:sz="4" w:space="0"/>
                    <w:right w:val="single" w:color="auto" w:sz="4" w:space="0"/>
                  </w:tcBorders>
                  <w:noWrap/>
                  <w:tcMar>
                    <w:top w:w="15" w:type="dxa"/>
                    <w:left w:w="15" w:type="dxa"/>
                    <w:right w:w="15" w:type="dxa"/>
                  </w:tcMar>
                  <w:vAlign w:val="center"/>
                </w:tcPr>
                <w:p>
                  <w:pPr>
                    <w:jc w:val="center"/>
                    <w:rPr>
                      <w:rFonts w:hint="eastAsia" w:ascii="宋体" w:hAnsi="宋体" w:cs="宋体"/>
                      <w:i w:val="0"/>
                      <w:color w:val="auto"/>
                      <w:sz w:val="24"/>
                      <w:szCs w:val="24"/>
                      <w:u w:val="none"/>
                      <w:lang w:val="en-US" w:eastAsia="zh-CN"/>
                    </w:rPr>
                  </w:pPr>
                  <w:r>
                    <w:rPr>
                      <w:rFonts w:hint="eastAsia" w:ascii="仿宋_GB2312" w:hAnsi="仿宋_GB2312" w:eastAsia="仿宋_GB2312" w:cs="仿宋_GB2312"/>
                      <w:b w:val="0"/>
                      <w:bCs/>
                      <w:sz w:val="28"/>
                      <w:szCs w:val="28"/>
                      <w:lang w:val="en-US" w:eastAsia="zh-CN"/>
                    </w:rPr>
                    <w:t>11.8606</w:t>
                  </w:r>
                </w:p>
              </w:tc>
              <w:tc>
                <w:tcPr>
                  <w:tcW w:w="2738" w:type="dxa"/>
                  <w:tcBorders>
                    <w:top w:val="single" w:color="auto" w:sz="4" w:space="0"/>
                    <w:left w:val="nil"/>
                    <w:bottom w:val="single" w:color="auto" w:sz="4" w:space="0"/>
                    <w:right w:val="single" w:color="auto" w:sz="4" w:space="0"/>
                  </w:tcBorders>
                  <w:noWrap/>
                  <w:tcMar>
                    <w:top w:w="15" w:type="dxa"/>
                    <w:left w:w="15" w:type="dxa"/>
                    <w:right w:w="15" w:type="dxa"/>
                  </w:tcMar>
                  <w:vAlign w:val="center"/>
                </w:tcPr>
                <w:p>
                  <w:pPr>
                    <w:jc w:val="center"/>
                    <w:rPr>
                      <w:rFonts w:hint="eastAsia" w:ascii="宋体" w:hAnsi="宋体" w:cs="宋体"/>
                      <w:i w:val="0"/>
                      <w:color w:val="auto"/>
                      <w:sz w:val="24"/>
                      <w:szCs w:val="24"/>
                      <w:u w:val="none"/>
                      <w:lang w:val="en-US" w:eastAsia="zh-CN"/>
                    </w:rPr>
                  </w:pPr>
                  <w:r>
                    <w:rPr>
                      <w:rFonts w:hint="eastAsia" w:ascii="仿宋_GB2312" w:hAnsi="仿宋_GB2312" w:eastAsia="仿宋_GB2312" w:cs="仿宋_GB2312"/>
                      <w:b w:val="0"/>
                      <w:bCs/>
                      <w:sz w:val="28"/>
                      <w:szCs w:val="28"/>
                      <w:lang w:val="en-US" w:eastAsia="zh-CN"/>
                    </w:rPr>
                    <w:t>11.8606</w:t>
                  </w:r>
                </w:p>
              </w:tc>
            </w:tr>
            <w:tr>
              <w:tblPrEx>
                <w:tblCellMar>
                  <w:top w:w="0" w:type="dxa"/>
                  <w:left w:w="0" w:type="dxa"/>
                  <w:bottom w:w="0" w:type="dxa"/>
                  <w:right w:w="0" w:type="dxa"/>
                </w:tblCellMar>
              </w:tblPrEx>
              <w:trPr>
                <w:trHeight w:val="285" w:hRule="atLeast"/>
              </w:trPr>
              <w:tc>
                <w:tcPr>
                  <w:tcW w:w="3271"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仿宋_GB2312" w:hAnsi="仿宋_GB2312" w:eastAsia="仿宋_GB2312" w:cs="仿宋_GB2312"/>
                      <w:b w:val="0"/>
                      <w:bCs/>
                      <w:sz w:val="28"/>
                      <w:szCs w:val="28"/>
                      <w:lang w:val="en-US" w:eastAsia="zh-CN"/>
                    </w:rPr>
                    <w:t>商事制度改革经费</w:t>
                  </w:r>
                </w:p>
              </w:tc>
              <w:tc>
                <w:tcPr>
                  <w:tcW w:w="2626" w:type="dxa"/>
                  <w:tcBorders>
                    <w:top w:val="single" w:color="auto" w:sz="4" w:space="0"/>
                    <w:left w:val="nil"/>
                    <w:bottom w:val="single" w:color="auto" w:sz="4" w:space="0"/>
                    <w:right w:val="single" w:color="auto" w:sz="4" w:space="0"/>
                  </w:tcBorders>
                  <w:noWrap/>
                  <w:tcMar>
                    <w:top w:w="15" w:type="dxa"/>
                    <w:left w:w="15" w:type="dxa"/>
                    <w:right w:w="15" w:type="dxa"/>
                  </w:tcMar>
                  <w:vAlign w:val="center"/>
                </w:tcPr>
                <w:p>
                  <w:pPr>
                    <w:jc w:val="center"/>
                    <w:rPr>
                      <w:rFonts w:hint="eastAsia" w:ascii="宋体" w:hAnsi="宋体" w:cs="宋体"/>
                      <w:i w:val="0"/>
                      <w:color w:val="auto"/>
                      <w:sz w:val="24"/>
                      <w:szCs w:val="24"/>
                      <w:u w:val="none"/>
                      <w:lang w:val="en-US" w:eastAsia="zh-CN"/>
                    </w:rPr>
                  </w:pPr>
                  <w:r>
                    <w:rPr>
                      <w:rFonts w:hint="eastAsia" w:ascii="仿宋_GB2312" w:hAnsi="仿宋_GB2312" w:eastAsia="仿宋_GB2312" w:cs="仿宋_GB2312"/>
                      <w:b w:val="0"/>
                      <w:bCs/>
                      <w:sz w:val="28"/>
                      <w:szCs w:val="28"/>
                      <w:lang w:val="en-US" w:eastAsia="zh-CN"/>
                    </w:rPr>
                    <w:t>9.9828</w:t>
                  </w:r>
                </w:p>
              </w:tc>
              <w:tc>
                <w:tcPr>
                  <w:tcW w:w="2738" w:type="dxa"/>
                  <w:tcBorders>
                    <w:top w:val="single" w:color="auto" w:sz="4" w:space="0"/>
                    <w:left w:val="nil"/>
                    <w:bottom w:val="single" w:color="auto" w:sz="4" w:space="0"/>
                    <w:right w:val="single" w:color="auto" w:sz="4" w:space="0"/>
                  </w:tcBorders>
                  <w:noWrap/>
                  <w:tcMar>
                    <w:top w:w="15" w:type="dxa"/>
                    <w:left w:w="15" w:type="dxa"/>
                    <w:right w:w="15" w:type="dxa"/>
                  </w:tcMar>
                  <w:vAlign w:val="center"/>
                </w:tcPr>
                <w:p>
                  <w:pPr>
                    <w:jc w:val="center"/>
                    <w:rPr>
                      <w:rFonts w:hint="eastAsia" w:ascii="宋体" w:hAnsi="宋体" w:cs="宋体"/>
                      <w:i w:val="0"/>
                      <w:color w:val="auto"/>
                      <w:sz w:val="24"/>
                      <w:szCs w:val="24"/>
                      <w:u w:val="none"/>
                      <w:lang w:val="en-US" w:eastAsia="zh-CN"/>
                    </w:rPr>
                  </w:pPr>
                  <w:r>
                    <w:rPr>
                      <w:rFonts w:hint="eastAsia" w:ascii="仿宋_GB2312" w:hAnsi="仿宋_GB2312" w:eastAsia="仿宋_GB2312" w:cs="仿宋_GB2312"/>
                      <w:b w:val="0"/>
                      <w:bCs/>
                      <w:sz w:val="28"/>
                      <w:szCs w:val="28"/>
                      <w:lang w:val="en-US" w:eastAsia="zh-CN"/>
                    </w:rPr>
                    <w:t>9.9828</w:t>
                  </w:r>
                </w:p>
              </w:tc>
            </w:tr>
            <w:tr>
              <w:tblPrEx>
                <w:tblCellMar>
                  <w:top w:w="0" w:type="dxa"/>
                  <w:left w:w="0" w:type="dxa"/>
                  <w:bottom w:w="0" w:type="dxa"/>
                  <w:right w:w="0" w:type="dxa"/>
                </w:tblCellMar>
              </w:tblPrEx>
              <w:trPr>
                <w:trHeight w:val="285" w:hRule="atLeast"/>
              </w:trPr>
              <w:tc>
                <w:tcPr>
                  <w:tcW w:w="3271"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仿宋_GB2312" w:hAnsi="仿宋_GB2312" w:eastAsia="仿宋_GB2312" w:cs="仿宋_GB2312"/>
                      <w:b w:val="0"/>
                      <w:bCs/>
                      <w:sz w:val="28"/>
                      <w:szCs w:val="28"/>
                      <w:lang w:val="en-US" w:eastAsia="zh-CN"/>
                    </w:rPr>
                    <w:t>特种设备安全监管经费</w:t>
                  </w:r>
                </w:p>
              </w:tc>
              <w:tc>
                <w:tcPr>
                  <w:tcW w:w="2626" w:type="dxa"/>
                  <w:tcBorders>
                    <w:top w:val="single" w:color="auto" w:sz="4" w:space="0"/>
                    <w:left w:val="nil"/>
                    <w:bottom w:val="single" w:color="auto" w:sz="4" w:space="0"/>
                    <w:right w:val="single" w:color="auto" w:sz="4" w:space="0"/>
                  </w:tcBorders>
                  <w:noWrap/>
                  <w:tcMar>
                    <w:top w:w="15" w:type="dxa"/>
                    <w:left w:w="15" w:type="dxa"/>
                    <w:right w:w="15" w:type="dxa"/>
                  </w:tcMar>
                  <w:vAlign w:val="center"/>
                </w:tcPr>
                <w:p>
                  <w:pPr>
                    <w:jc w:val="center"/>
                    <w:rPr>
                      <w:rFonts w:hint="default"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4</w:t>
                  </w:r>
                </w:p>
              </w:tc>
              <w:tc>
                <w:tcPr>
                  <w:tcW w:w="2738" w:type="dxa"/>
                  <w:tcBorders>
                    <w:top w:val="single" w:color="auto" w:sz="4" w:space="0"/>
                    <w:left w:val="nil"/>
                    <w:bottom w:val="single" w:color="auto" w:sz="4" w:space="0"/>
                    <w:right w:val="single" w:color="auto" w:sz="4" w:space="0"/>
                  </w:tcBorders>
                  <w:noWrap/>
                  <w:tcMar>
                    <w:top w:w="15" w:type="dxa"/>
                    <w:left w:w="15" w:type="dxa"/>
                    <w:right w:w="15" w:type="dxa"/>
                  </w:tcMar>
                  <w:vAlign w:val="center"/>
                </w:tcPr>
                <w:p>
                  <w:pPr>
                    <w:jc w:val="center"/>
                    <w:rPr>
                      <w:rFonts w:hint="default"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4</w:t>
                  </w:r>
                </w:p>
              </w:tc>
            </w:tr>
            <w:tr>
              <w:tblPrEx>
                <w:tblCellMar>
                  <w:top w:w="0" w:type="dxa"/>
                  <w:left w:w="0" w:type="dxa"/>
                  <w:bottom w:w="0" w:type="dxa"/>
                  <w:right w:w="0" w:type="dxa"/>
                </w:tblCellMar>
              </w:tblPrEx>
              <w:trPr>
                <w:trHeight w:val="285" w:hRule="atLeast"/>
              </w:trPr>
              <w:tc>
                <w:tcPr>
                  <w:tcW w:w="3271"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仿宋_GB2312" w:hAnsi="仿宋_GB2312" w:eastAsia="仿宋_GB2312" w:cs="仿宋_GB2312"/>
                      <w:b w:val="0"/>
                      <w:bCs/>
                      <w:sz w:val="28"/>
                      <w:szCs w:val="28"/>
                      <w:lang w:val="en-US" w:eastAsia="zh-CN"/>
                    </w:rPr>
                    <w:t>食品安全监管专项资金</w:t>
                  </w:r>
                </w:p>
              </w:tc>
              <w:tc>
                <w:tcPr>
                  <w:tcW w:w="2626" w:type="dxa"/>
                  <w:tcBorders>
                    <w:top w:val="single" w:color="auto" w:sz="4" w:space="0"/>
                    <w:left w:val="nil"/>
                    <w:bottom w:val="single" w:color="auto" w:sz="4" w:space="0"/>
                    <w:right w:val="single" w:color="auto" w:sz="4" w:space="0"/>
                  </w:tcBorders>
                  <w:noWrap/>
                  <w:tcMar>
                    <w:top w:w="15" w:type="dxa"/>
                    <w:left w:w="15" w:type="dxa"/>
                    <w:right w:w="15" w:type="dxa"/>
                  </w:tcMar>
                  <w:vAlign w:val="center"/>
                </w:tcPr>
                <w:p>
                  <w:pPr>
                    <w:jc w:val="center"/>
                    <w:rPr>
                      <w:rFonts w:hint="default"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8</w:t>
                  </w:r>
                </w:p>
              </w:tc>
              <w:tc>
                <w:tcPr>
                  <w:tcW w:w="2738" w:type="dxa"/>
                  <w:tcBorders>
                    <w:top w:val="single" w:color="auto" w:sz="4" w:space="0"/>
                    <w:left w:val="nil"/>
                    <w:bottom w:val="single" w:color="auto" w:sz="4" w:space="0"/>
                    <w:right w:val="single" w:color="auto" w:sz="4" w:space="0"/>
                  </w:tcBorders>
                  <w:noWrap/>
                  <w:tcMar>
                    <w:top w:w="15" w:type="dxa"/>
                    <w:left w:w="15" w:type="dxa"/>
                    <w:right w:w="15" w:type="dxa"/>
                  </w:tcMar>
                  <w:vAlign w:val="center"/>
                </w:tcPr>
                <w:p>
                  <w:pPr>
                    <w:jc w:val="center"/>
                    <w:rPr>
                      <w:rFonts w:hint="default"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8</w:t>
                  </w:r>
                </w:p>
              </w:tc>
            </w:tr>
            <w:tr>
              <w:tblPrEx>
                <w:tblCellMar>
                  <w:top w:w="0" w:type="dxa"/>
                  <w:left w:w="0" w:type="dxa"/>
                  <w:bottom w:w="0" w:type="dxa"/>
                  <w:right w:w="0" w:type="dxa"/>
                </w:tblCellMar>
              </w:tblPrEx>
              <w:trPr>
                <w:trHeight w:val="285" w:hRule="atLeast"/>
              </w:trPr>
              <w:tc>
                <w:tcPr>
                  <w:tcW w:w="3271"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仿宋_GB2312" w:hAnsi="仿宋_GB2312" w:eastAsia="仿宋_GB2312" w:cs="仿宋_GB2312"/>
                      <w:b w:val="0"/>
                      <w:bCs/>
                      <w:sz w:val="21"/>
                      <w:szCs w:val="21"/>
                      <w:lang w:val="en-US" w:eastAsia="zh-CN"/>
                    </w:rPr>
                    <w:t>企业知识产权专利资助奖励资金</w:t>
                  </w:r>
                </w:p>
              </w:tc>
              <w:tc>
                <w:tcPr>
                  <w:tcW w:w="2626" w:type="dxa"/>
                  <w:tcBorders>
                    <w:top w:val="single" w:color="auto" w:sz="4" w:space="0"/>
                    <w:left w:val="nil"/>
                    <w:bottom w:val="single" w:color="auto" w:sz="4" w:space="0"/>
                    <w:right w:val="single" w:color="auto" w:sz="4" w:space="0"/>
                  </w:tcBorders>
                  <w:noWrap/>
                  <w:tcMar>
                    <w:top w:w="15" w:type="dxa"/>
                    <w:left w:w="15" w:type="dxa"/>
                    <w:right w:w="15" w:type="dxa"/>
                  </w:tcMar>
                  <w:vAlign w:val="center"/>
                </w:tcPr>
                <w:p>
                  <w:pPr>
                    <w:jc w:val="center"/>
                    <w:rPr>
                      <w:rFonts w:hint="eastAsia" w:ascii="宋体" w:hAnsi="宋体" w:cs="宋体"/>
                      <w:i w:val="0"/>
                      <w:color w:val="auto"/>
                      <w:sz w:val="24"/>
                      <w:szCs w:val="24"/>
                      <w:u w:val="none"/>
                      <w:lang w:val="en-US" w:eastAsia="zh-CN"/>
                    </w:rPr>
                  </w:pPr>
                  <w:r>
                    <w:rPr>
                      <w:rFonts w:hint="eastAsia" w:ascii="仿宋_GB2312" w:hAnsi="仿宋_GB2312" w:eastAsia="仿宋_GB2312" w:cs="仿宋_GB2312"/>
                      <w:b w:val="0"/>
                      <w:bCs/>
                      <w:sz w:val="28"/>
                      <w:szCs w:val="28"/>
                      <w:lang w:val="en-US" w:eastAsia="zh-CN"/>
                    </w:rPr>
                    <w:t>67.1</w:t>
                  </w:r>
                </w:p>
              </w:tc>
              <w:tc>
                <w:tcPr>
                  <w:tcW w:w="2738" w:type="dxa"/>
                  <w:tcBorders>
                    <w:top w:val="single" w:color="auto" w:sz="4" w:space="0"/>
                    <w:left w:val="nil"/>
                    <w:bottom w:val="single" w:color="auto" w:sz="4" w:space="0"/>
                    <w:right w:val="single" w:color="auto" w:sz="4" w:space="0"/>
                  </w:tcBorders>
                  <w:noWrap/>
                  <w:tcMar>
                    <w:top w:w="15" w:type="dxa"/>
                    <w:left w:w="15" w:type="dxa"/>
                    <w:right w:w="15" w:type="dxa"/>
                  </w:tcMar>
                  <w:vAlign w:val="center"/>
                </w:tcPr>
                <w:p>
                  <w:pPr>
                    <w:jc w:val="center"/>
                    <w:rPr>
                      <w:rFonts w:hint="eastAsia" w:ascii="宋体" w:hAnsi="宋体" w:cs="宋体"/>
                      <w:i w:val="0"/>
                      <w:color w:val="auto"/>
                      <w:sz w:val="24"/>
                      <w:szCs w:val="24"/>
                      <w:u w:val="none"/>
                      <w:lang w:val="en-US" w:eastAsia="zh-CN"/>
                    </w:rPr>
                  </w:pPr>
                  <w:r>
                    <w:rPr>
                      <w:rFonts w:hint="eastAsia" w:ascii="仿宋_GB2312" w:hAnsi="仿宋_GB2312" w:eastAsia="仿宋_GB2312" w:cs="仿宋_GB2312"/>
                      <w:b w:val="0"/>
                      <w:bCs/>
                      <w:sz w:val="28"/>
                      <w:szCs w:val="28"/>
                      <w:lang w:val="en-US" w:eastAsia="zh-CN"/>
                    </w:rPr>
                    <w:t>67.1</w:t>
                  </w:r>
                </w:p>
              </w:tc>
            </w:tr>
            <w:tr>
              <w:tblPrEx>
                <w:tblCellMar>
                  <w:top w:w="0" w:type="dxa"/>
                  <w:left w:w="0" w:type="dxa"/>
                  <w:bottom w:w="0" w:type="dxa"/>
                  <w:right w:w="0" w:type="dxa"/>
                </w:tblCellMar>
              </w:tblPrEx>
              <w:trPr>
                <w:trHeight w:val="285" w:hRule="atLeast"/>
              </w:trPr>
              <w:tc>
                <w:tcPr>
                  <w:tcW w:w="3271"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4"/>
                      <w:szCs w:val="24"/>
                      <w:u w:val="none"/>
                      <w:lang w:val="en-US" w:eastAsia="zh-CN" w:bidi="ar"/>
                    </w:rPr>
                  </w:pPr>
                  <w:r>
                    <w:rPr>
                      <w:rFonts w:hint="eastAsia" w:ascii="仿宋_GB2312" w:hAnsi="仿宋_GB2312" w:eastAsia="仿宋_GB2312" w:cs="仿宋_GB2312"/>
                      <w:b w:val="0"/>
                      <w:bCs/>
                      <w:sz w:val="28"/>
                      <w:szCs w:val="28"/>
                      <w:lang w:val="en-US" w:eastAsia="zh-CN"/>
                    </w:rPr>
                    <w:t>合计</w:t>
                  </w:r>
                </w:p>
              </w:tc>
              <w:tc>
                <w:tcPr>
                  <w:tcW w:w="2626" w:type="dxa"/>
                  <w:tcBorders>
                    <w:top w:val="single" w:color="auto" w:sz="4" w:space="0"/>
                    <w:left w:val="nil"/>
                    <w:bottom w:val="single" w:color="auto" w:sz="4" w:space="0"/>
                    <w:right w:val="single" w:color="auto" w:sz="4" w:space="0"/>
                  </w:tcBorders>
                  <w:noWrap/>
                  <w:tcMar>
                    <w:top w:w="15" w:type="dxa"/>
                    <w:left w:w="15" w:type="dxa"/>
                    <w:right w:w="15" w:type="dxa"/>
                  </w:tcMar>
                  <w:vAlign w:val="center"/>
                </w:tcPr>
                <w:p>
                  <w:pPr>
                    <w:jc w:val="center"/>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195.985</w:t>
                  </w:r>
                </w:p>
              </w:tc>
              <w:tc>
                <w:tcPr>
                  <w:tcW w:w="2738" w:type="dxa"/>
                  <w:tcBorders>
                    <w:top w:val="single" w:color="auto" w:sz="4" w:space="0"/>
                    <w:left w:val="nil"/>
                    <w:bottom w:val="single" w:color="auto" w:sz="4" w:space="0"/>
                    <w:right w:val="single" w:color="auto" w:sz="4" w:space="0"/>
                  </w:tcBorders>
                  <w:noWrap/>
                  <w:tcMar>
                    <w:top w:w="15" w:type="dxa"/>
                    <w:left w:w="15" w:type="dxa"/>
                    <w:right w:w="15" w:type="dxa"/>
                  </w:tcMar>
                  <w:vAlign w:val="center"/>
                </w:tcPr>
                <w:p>
                  <w:pPr>
                    <w:jc w:val="center"/>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195.985</w:t>
                  </w:r>
                </w:p>
              </w:tc>
            </w:tr>
          </w:tbl>
          <w:p>
            <w:pPr>
              <w:numPr>
                <w:ilvl w:val="0"/>
                <w:numId w:val="0"/>
              </w:num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eastAsia="zh-CN"/>
              </w:rPr>
              <w:t>从上表分析：</w:t>
            </w:r>
            <w:r>
              <w:rPr>
                <w:rFonts w:hint="eastAsia" w:ascii="仿宋_GB2312" w:hAnsi="仿宋_GB2312" w:eastAsia="仿宋_GB2312" w:cs="仿宋_GB2312"/>
                <w:bCs/>
                <w:sz w:val="28"/>
                <w:szCs w:val="28"/>
                <w:lang w:val="en-US" w:eastAsia="zh-CN"/>
              </w:rPr>
              <w:t>我局严格按预算控制资金使用。</w:t>
            </w:r>
          </w:p>
          <w:p>
            <w:pPr>
              <w:numPr>
                <w:ilvl w:val="0"/>
                <w:numId w:val="0"/>
              </w:numPr>
              <w:spacing w:line="560" w:lineRule="exact"/>
              <w:ind w:leftChars="0" w:firstLine="560" w:firstLineChars="200"/>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2、“三公经费”支出使用和管理情况</w:t>
            </w:r>
          </w:p>
          <w:p>
            <w:pPr>
              <w:spacing w:line="560" w:lineRule="exact"/>
              <w:ind w:firstLine="560" w:firstLineChars="200"/>
              <w:rPr>
                <w:rFonts w:hint="default"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我局“三公”经费使用情况如下：公务接待费0万元，公务用车运维费0元，公务用车购置费0元，因公出国费0元。</w:t>
            </w:r>
          </w:p>
          <w:p>
            <w:pPr>
              <w:keepNext w:val="0"/>
              <w:keepLines w:val="0"/>
              <w:widowControl/>
              <w:suppressLineNumbers w:val="0"/>
              <w:ind w:firstLine="560" w:firstLineChars="200"/>
              <w:jc w:val="left"/>
              <w:rPr>
                <w:rFonts w:hint="eastAsia" w:ascii="黑体" w:hAnsi="黑体" w:eastAsia="黑体" w:cs="黑体"/>
                <w:bCs/>
                <w:sz w:val="28"/>
                <w:szCs w:val="28"/>
              </w:rPr>
            </w:pPr>
            <w:r>
              <w:rPr>
                <w:rFonts w:hint="eastAsia" w:ascii="黑体" w:hAnsi="黑体" w:eastAsia="黑体" w:cs="黑体"/>
                <w:bCs/>
                <w:sz w:val="28"/>
                <w:szCs w:val="28"/>
                <w:lang w:val="en-US" w:eastAsia="zh-CN"/>
              </w:rPr>
              <w:t>三</w:t>
            </w:r>
            <w:r>
              <w:rPr>
                <w:rFonts w:hint="eastAsia" w:ascii="黑体" w:hAnsi="黑体" w:eastAsia="黑体" w:cs="黑体"/>
                <w:bCs/>
                <w:sz w:val="28"/>
                <w:szCs w:val="28"/>
              </w:rPr>
              <w:t>、部门（单位）整体支出绩效情况</w:t>
            </w:r>
          </w:p>
          <w:p>
            <w:pPr>
              <w:pStyle w:val="4"/>
              <w:shd w:val="clear" w:color="auto" w:fill="FFFFFF"/>
              <w:spacing w:before="0" w:beforeAutospacing="0" w:after="0" w:afterAutospacing="0"/>
              <w:ind w:firstLine="570"/>
              <w:rPr>
                <w:rFonts w:hint="eastAsia" w:ascii="仿宋_GB2312" w:hAnsi="仿宋_GB2312" w:eastAsia="仿宋_GB2312" w:cs="仿宋_GB2312"/>
                <w:color w:val="333333"/>
                <w:sz w:val="28"/>
                <w:szCs w:val="28"/>
                <w:lang w:val="en-US" w:eastAsia="zh-CN"/>
              </w:rPr>
            </w:pPr>
            <w:r>
              <w:rPr>
                <w:rFonts w:hint="eastAsia" w:ascii="仿宋_GB2312" w:hAnsi="仿宋_GB2312" w:eastAsia="仿宋_GB2312" w:cs="仿宋_GB2312"/>
                <w:color w:val="333333"/>
                <w:sz w:val="28"/>
                <w:szCs w:val="28"/>
                <w:lang w:val="en-US" w:eastAsia="zh-CN"/>
              </w:rPr>
              <w:t>2021年，在新港区管委会和市市场监管局的坚强领导和精准指导下，我局根据年初工作规划和重点性工作，通过加强预算收支管理，建立健全内部管理制度，梳理内部管理流程，部门整体支出管理情况得到了提升，部门整体支出绩效情况如下：</w:t>
            </w:r>
          </w:p>
          <w:p>
            <w:pPr>
              <w:pStyle w:val="4"/>
              <w:shd w:val="clear" w:color="auto" w:fill="FFFFFF"/>
              <w:spacing w:before="0" w:beforeAutospacing="0" w:after="0" w:afterAutospacing="0"/>
              <w:ind w:firstLine="570"/>
              <w:rPr>
                <w:rFonts w:hint="eastAsia" w:ascii="仿宋_GB2312" w:hAnsi="仿宋_GB2312" w:eastAsia="仿宋_GB2312" w:cs="仿宋_GB2312"/>
                <w:color w:val="333333"/>
                <w:sz w:val="28"/>
                <w:szCs w:val="28"/>
                <w:lang w:val="en-US" w:eastAsia="zh-CN"/>
              </w:rPr>
            </w:pPr>
            <w:r>
              <w:rPr>
                <w:rFonts w:hint="eastAsia" w:ascii="仿宋_GB2312" w:hAnsi="仿宋_GB2312" w:eastAsia="仿宋_GB2312" w:cs="仿宋_GB2312"/>
                <w:color w:val="333333"/>
                <w:sz w:val="28"/>
                <w:szCs w:val="28"/>
                <w:lang w:val="en-US" w:eastAsia="zh-CN"/>
              </w:rPr>
              <w:t>（一）经济性评价方面</w:t>
            </w:r>
          </w:p>
          <w:p>
            <w:pPr>
              <w:pStyle w:val="4"/>
              <w:shd w:val="clear" w:color="auto" w:fill="FFFFFF"/>
              <w:spacing w:before="0" w:beforeAutospacing="0" w:after="0" w:afterAutospacing="0"/>
              <w:ind w:firstLine="570"/>
              <w:rPr>
                <w:rFonts w:hint="default" w:ascii="仿宋_GB2312" w:hAnsi="仿宋_GB2312" w:eastAsia="仿宋_GB2312" w:cs="仿宋_GB2312"/>
                <w:color w:val="333333"/>
                <w:sz w:val="28"/>
                <w:szCs w:val="28"/>
                <w:lang w:val="en-US" w:eastAsia="zh-CN"/>
              </w:rPr>
            </w:pPr>
            <w:r>
              <w:rPr>
                <w:rFonts w:hint="eastAsia" w:ascii="仿宋_GB2312" w:hAnsi="仿宋_GB2312" w:eastAsia="仿宋_GB2312" w:cs="仿宋_GB2312"/>
                <w:color w:val="333333"/>
                <w:sz w:val="28"/>
                <w:szCs w:val="28"/>
                <w:lang w:val="en-US" w:eastAsia="zh-CN"/>
              </w:rPr>
              <w:t>1、本年预算配置控制较好，财政供养人员控制在预算编制以内，实有人数控制在人员编制数以内，“三公”经费保持较低水平。</w:t>
            </w:r>
          </w:p>
          <w:p>
            <w:pPr>
              <w:pStyle w:val="4"/>
              <w:shd w:val="clear" w:color="auto" w:fill="FFFFFF"/>
              <w:spacing w:before="0" w:beforeAutospacing="0" w:after="0" w:afterAutospacing="0"/>
              <w:ind w:firstLine="570"/>
              <w:rPr>
                <w:rFonts w:hint="eastAsia" w:ascii="仿宋_GB2312" w:hAnsi="仿宋_GB2312" w:eastAsia="仿宋_GB2312" w:cs="仿宋_GB2312"/>
                <w:color w:val="333333"/>
                <w:sz w:val="28"/>
                <w:szCs w:val="28"/>
                <w:lang w:val="en-US" w:eastAsia="zh-CN"/>
              </w:rPr>
            </w:pPr>
            <w:r>
              <w:rPr>
                <w:rFonts w:hint="eastAsia" w:ascii="仿宋_GB2312" w:hAnsi="仿宋_GB2312" w:eastAsia="仿宋_GB2312" w:cs="仿宋_GB2312"/>
                <w:color w:val="333333"/>
                <w:sz w:val="28"/>
                <w:szCs w:val="28"/>
                <w:lang w:val="en-US" w:eastAsia="zh-CN"/>
              </w:rPr>
              <w:t>2、预算执行方面，我局严格执行年初预算，严格控制资金的使用。</w:t>
            </w:r>
          </w:p>
          <w:p>
            <w:pPr>
              <w:pStyle w:val="4"/>
              <w:shd w:val="clear" w:color="auto" w:fill="FFFFFF"/>
              <w:spacing w:before="0" w:beforeAutospacing="0" w:after="0" w:afterAutospacing="0"/>
              <w:ind w:firstLine="570"/>
              <w:rPr>
                <w:rFonts w:hint="eastAsia" w:ascii="仿宋_GB2312" w:hAnsi="仿宋_GB2312" w:eastAsia="仿宋_GB2312" w:cs="仿宋_GB2312"/>
                <w:color w:val="333333"/>
                <w:sz w:val="28"/>
                <w:szCs w:val="28"/>
                <w:lang w:val="en-US" w:eastAsia="zh-CN"/>
              </w:rPr>
            </w:pPr>
            <w:r>
              <w:rPr>
                <w:rFonts w:hint="eastAsia" w:ascii="仿宋_GB2312" w:hAnsi="仿宋_GB2312" w:eastAsia="仿宋_GB2312" w:cs="仿宋_GB2312"/>
                <w:color w:val="333333"/>
                <w:sz w:val="28"/>
                <w:szCs w:val="28"/>
                <w:lang w:val="en-US" w:eastAsia="zh-CN"/>
              </w:rPr>
              <w:t>3、预算管理方面，制度执行总体较为有效，仍需进一步强化；资金使用管理需进一步加强。</w:t>
            </w:r>
          </w:p>
          <w:p>
            <w:pPr>
              <w:pStyle w:val="4"/>
              <w:shd w:val="clear" w:color="auto" w:fill="FFFFFF"/>
              <w:spacing w:before="0" w:beforeAutospacing="0" w:after="0" w:afterAutospacing="0"/>
              <w:ind w:firstLine="570"/>
              <w:rPr>
                <w:rFonts w:hint="eastAsia" w:ascii="仿宋_GB2312" w:hAnsi="仿宋_GB2312" w:eastAsia="仿宋_GB2312" w:cs="仿宋_GB2312"/>
                <w:color w:val="333333"/>
                <w:sz w:val="28"/>
                <w:szCs w:val="28"/>
                <w:lang w:val="en-US" w:eastAsia="zh-CN"/>
              </w:rPr>
            </w:pPr>
            <w:r>
              <w:rPr>
                <w:rFonts w:hint="eastAsia" w:ascii="仿宋_GB2312" w:hAnsi="仿宋_GB2312" w:eastAsia="仿宋_GB2312" w:cs="仿宋_GB2312"/>
                <w:color w:val="333333"/>
                <w:sz w:val="28"/>
                <w:szCs w:val="28"/>
                <w:lang w:val="en-US" w:eastAsia="zh-CN"/>
              </w:rPr>
              <w:t>根据部门整体支出绩效评价指标体系，本局2021年度评价得分99分。</w:t>
            </w:r>
          </w:p>
          <w:p>
            <w:pPr>
              <w:pStyle w:val="4"/>
              <w:shd w:val="clear" w:color="auto" w:fill="FFFFFF"/>
              <w:spacing w:before="0" w:beforeAutospacing="0" w:after="0" w:afterAutospacing="0"/>
              <w:ind w:firstLine="570"/>
              <w:rPr>
                <w:rFonts w:hint="eastAsia" w:ascii="仿宋_GB2312" w:hAnsi="仿宋_GB2312" w:eastAsia="仿宋_GB2312" w:cs="仿宋_GB2312"/>
                <w:color w:val="333333"/>
                <w:sz w:val="28"/>
                <w:szCs w:val="28"/>
                <w:lang w:val="en-US" w:eastAsia="zh-CN"/>
              </w:rPr>
            </w:pPr>
            <w:r>
              <w:rPr>
                <w:rFonts w:hint="eastAsia" w:ascii="仿宋_GB2312" w:hAnsi="仿宋_GB2312" w:eastAsia="仿宋_GB2312" w:cs="仿宋_GB2312"/>
                <w:color w:val="333333"/>
                <w:sz w:val="28"/>
                <w:szCs w:val="28"/>
                <w:lang w:val="en-US" w:eastAsia="zh-CN"/>
              </w:rPr>
              <w:t>（二）效率性评价和有效性评价</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今年来，在城陵矶新港区党工委的坚强领导和城陵矶新港区管委会各位领导的关心支持下，我局立足职能，积极进取，奋力作为，取得了较好的成绩。</w:t>
            </w:r>
            <w:bookmarkStart w:id="0" w:name="_GoBack"/>
            <w:bookmarkEnd w:id="0"/>
          </w:p>
          <w:p>
            <w:pPr>
              <w:keepNext w:val="0"/>
              <w:keepLines w:val="0"/>
              <w:pageBreakBefore w:val="0"/>
              <w:widowControl w:val="0"/>
              <w:numPr>
                <w:ilvl w:val="0"/>
                <w:numId w:val="3"/>
              </w:numPr>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先后完成了“食品经营（仅预包装）备案登记”“住所（经营场）自主申报承诺制”“一业一照”“市场主体登记确认制”等4项行政审批制度创新；争取了免予办理CCC认证的权限下放至岳阳；采取告知承诺方式对药食同源通关产品进行备案，形成药食同源产品监管新模式；</w:t>
            </w:r>
          </w:p>
          <w:p>
            <w:pPr>
              <w:keepNext w:val="0"/>
              <w:keepLines w:val="0"/>
              <w:pageBreakBefore w:val="0"/>
              <w:widowControl w:val="0"/>
              <w:numPr>
                <w:ilvl w:val="0"/>
                <w:numId w:val="3"/>
              </w:numPr>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sz w:val="28"/>
                <w:szCs w:val="28"/>
                <w:lang w:val="en-US" w:eastAsia="zh-CN"/>
              </w:rPr>
              <w:t>对辖区内80余户食品生产经营企业进行300余次日常监督检查，检查药品医疗器械10余户次，对60余批次食品、20余批次药品进行抽样检测，立案3起；对辖区内洗涤用品和钢材进行产品质量抽检20余批次，抽检建筑领域防水卷材工地3家，发现不合格产品并立案1起。</w:t>
            </w:r>
            <w:r>
              <w:rPr>
                <w:rFonts w:hint="eastAsia" w:ascii="仿宋_GB2312" w:hAnsi="仿宋_GB2312" w:eastAsia="仿宋_GB2312" w:cs="仿宋_GB2312"/>
                <w:color w:val="000000"/>
                <w:kern w:val="2"/>
                <w:sz w:val="28"/>
                <w:szCs w:val="28"/>
                <w:lang w:val="en-US" w:eastAsia="zh-CN" w:bidi="ar-SA"/>
              </w:rPr>
              <w:t>检查特种设备使用单位101家，排查安全隐患116条，已督促整改109条，港区特种设备定期检验率达100%；为消费者提供维权咨询600余次，开展各类消费维权500余次，发放各类维权手册资料3000余份，为消费者挽回损失400余万元，收到群众赠送的锦旗10余面，消费维权群众满意率达到100%。</w:t>
            </w:r>
          </w:p>
          <w:p>
            <w:pPr>
              <w:keepNext w:val="0"/>
              <w:keepLines w:val="0"/>
              <w:pageBreakBefore w:val="0"/>
              <w:widowControl w:val="0"/>
              <w:numPr>
                <w:ilvl w:val="0"/>
                <w:numId w:val="3"/>
              </w:numPr>
              <w:kinsoku/>
              <w:wordWrap/>
              <w:overflowPunct/>
              <w:topLinePunct w:val="0"/>
              <w:autoSpaceDE/>
              <w:autoSpaceDN/>
              <w:bidi w:val="0"/>
              <w:adjustRightInd/>
              <w:snapToGrid/>
              <w:spacing w:line="580" w:lineRule="exact"/>
              <w:ind w:firstLine="560" w:firstLineChars="200"/>
              <w:textAlignment w:val="auto"/>
              <w:rPr>
                <w:rFonts w:hint="eastAsia"/>
                <w:lang w:val="en-US" w:eastAsia="zh-CN"/>
              </w:rPr>
            </w:pPr>
            <w:r>
              <w:rPr>
                <w:rFonts w:hint="eastAsia" w:ascii="仿宋_GB2312" w:hAnsi="仿宋_GB2312" w:eastAsia="仿宋_GB2312" w:cs="仿宋_GB2312"/>
                <w:color w:val="000000"/>
                <w:kern w:val="2"/>
                <w:sz w:val="28"/>
                <w:szCs w:val="28"/>
                <w:lang w:val="en-US" w:eastAsia="zh-CN" w:bidi="ar-SA"/>
              </w:rPr>
              <w:t>引进了3家代理服务机构入驻分中心为企业“代办”，与100余家企业建立企业知识产权联络机制，同时坚持每月下沉企业不少于15次为企业“帮办”服务。</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color w:val="333333"/>
                <w:kern w:val="0"/>
                <w:sz w:val="28"/>
                <w:szCs w:val="28"/>
              </w:rPr>
            </w:pPr>
            <w:r>
              <w:rPr>
                <w:rFonts w:hint="eastAsia" w:ascii="黑体" w:hAnsi="黑体" w:eastAsia="黑体" w:cs="黑体"/>
                <w:bCs/>
                <w:sz w:val="28"/>
                <w:szCs w:val="28"/>
                <w:lang w:val="en-US" w:eastAsia="zh-CN"/>
              </w:rPr>
              <w:t>四</w:t>
            </w:r>
            <w:r>
              <w:rPr>
                <w:rFonts w:hint="eastAsia" w:ascii="黑体" w:hAnsi="黑体" w:eastAsia="黑体" w:cs="黑体"/>
                <w:bCs/>
                <w:sz w:val="28"/>
                <w:szCs w:val="28"/>
              </w:rPr>
              <w:t>、存在的主要问题</w:t>
            </w:r>
          </w:p>
          <w:p>
            <w:pPr>
              <w:pStyle w:val="4"/>
              <w:shd w:val="clear" w:color="auto" w:fill="FFFFFF"/>
              <w:spacing w:before="0" w:beforeAutospacing="0" w:after="0" w:afterAutospacing="0"/>
              <w:ind w:firstLine="570"/>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1、资金使用计划性不强，要加强规划管理。</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黑体" w:hAnsi="黑体" w:eastAsia="黑体" w:cs="黑体"/>
                <w:bCs/>
                <w:sz w:val="28"/>
                <w:szCs w:val="28"/>
              </w:rPr>
            </w:pPr>
            <w:r>
              <w:rPr>
                <w:rFonts w:hint="eastAsia" w:ascii="黑体" w:hAnsi="黑体" w:eastAsia="黑体" w:cs="黑体"/>
                <w:bCs/>
                <w:sz w:val="28"/>
                <w:szCs w:val="28"/>
                <w:lang w:val="en-US" w:eastAsia="zh-CN"/>
              </w:rPr>
              <w:t>五</w:t>
            </w:r>
            <w:r>
              <w:rPr>
                <w:rFonts w:hint="eastAsia" w:ascii="黑体" w:hAnsi="黑体" w:eastAsia="黑体" w:cs="黑体"/>
                <w:bCs/>
                <w:sz w:val="28"/>
                <w:szCs w:val="28"/>
                <w:lang w:eastAsia="zh-CN"/>
              </w:rPr>
              <w:t>、</w:t>
            </w:r>
            <w:r>
              <w:rPr>
                <w:rFonts w:hint="eastAsia" w:ascii="黑体" w:hAnsi="黑体" w:eastAsia="黑体" w:cs="黑体"/>
                <w:bCs/>
                <w:sz w:val="28"/>
                <w:szCs w:val="28"/>
              </w:rPr>
              <w:t>改进措施和建议</w:t>
            </w:r>
          </w:p>
          <w:p>
            <w:pPr>
              <w:pStyle w:val="4"/>
              <w:shd w:val="clear" w:color="auto" w:fill="FFFFFF"/>
              <w:spacing w:before="0" w:beforeAutospacing="0" w:after="0" w:afterAutospacing="0"/>
              <w:ind w:firstLine="570"/>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针对上述存在的问题及我局整体支出管理工作的需要，拟实施的改进措施如下：</w:t>
            </w:r>
          </w:p>
          <w:p>
            <w:pPr>
              <w:pStyle w:val="4"/>
              <w:shd w:val="clear" w:color="auto" w:fill="FFFFFF"/>
              <w:spacing w:before="0" w:beforeAutospacing="0" w:after="0" w:afterAutospacing="0"/>
              <w:ind w:firstLine="570"/>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1、细化预算编制工作，认真做好预算的编制。</w:t>
            </w:r>
          </w:p>
          <w:p>
            <w:pPr>
              <w:pStyle w:val="4"/>
              <w:shd w:val="clear" w:color="auto" w:fill="FFFFFF"/>
              <w:spacing w:before="0" w:beforeAutospacing="0" w:after="0" w:afterAutospacing="0"/>
              <w:ind w:firstLine="570"/>
              <w:rPr>
                <w:rFonts w:hint="default"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2、严格项目支出管理，细化分解项目到月，确保按时按质完成绩效目标。</w:t>
            </w:r>
          </w:p>
          <w:p>
            <w:pPr>
              <w:spacing w:line="560" w:lineRule="exact"/>
              <w:ind w:firstLine="5880" w:firstLineChars="2100"/>
              <w:rPr>
                <w:rFonts w:hint="eastAsia" w:ascii="仿宋_GB2312" w:hAnsi="仿宋_GB2312" w:eastAsia="仿宋_GB2312" w:cs="仿宋_GB2312"/>
                <w:color w:val="000000"/>
                <w:kern w:val="2"/>
                <w:sz w:val="28"/>
                <w:szCs w:val="28"/>
                <w:lang w:val="en-US" w:eastAsia="zh-CN" w:bidi="ar-SA"/>
              </w:rPr>
            </w:pPr>
          </w:p>
          <w:p>
            <w:pPr>
              <w:spacing w:line="560" w:lineRule="exact"/>
              <w:ind w:firstLine="5880" w:firstLineChars="2100"/>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二0二二年六月二十二日</w:t>
            </w:r>
          </w:p>
          <w:p>
            <w:pPr>
              <w:spacing w:line="560" w:lineRule="exact"/>
              <w:ind w:firstLine="560" w:firstLineChars="200"/>
              <w:rPr>
                <w:rFonts w:ascii="黑体" w:hAnsi="黑体" w:eastAsia="黑体" w:cs="黑体"/>
                <w:bCs/>
                <w:sz w:val="28"/>
                <w:szCs w:val="28"/>
              </w:rPr>
            </w:pPr>
          </w:p>
          <w:p>
            <w:pPr>
              <w:rPr>
                <w:rFonts w:eastAsia="楷体_GB2312"/>
                <w:bCs/>
                <w:sz w:val="28"/>
                <w:szCs w:val="28"/>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431C72"/>
    <w:multiLevelType w:val="singleLevel"/>
    <w:tmpl w:val="B4431C72"/>
    <w:lvl w:ilvl="0" w:tentative="0">
      <w:start w:val="1"/>
      <w:numFmt w:val="decimal"/>
      <w:suff w:val="nothing"/>
      <w:lvlText w:val="%1、"/>
      <w:lvlJc w:val="left"/>
    </w:lvl>
  </w:abstractNum>
  <w:abstractNum w:abstractNumId="1">
    <w:nsid w:val="0D09B894"/>
    <w:multiLevelType w:val="singleLevel"/>
    <w:tmpl w:val="0D09B894"/>
    <w:lvl w:ilvl="0" w:tentative="0">
      <w:start w:val="3"/>
      <w:numFmt w:val="chineseCounting"/>
      <w:suff w:val="nothing"/>
      <w:lvlText w:val="（%1）"/>
      <w:lvlJc w:val="left"/>
      <w:rPr>
        <w:rFonts w:hint="eastAsia"/>
      </w:rPr>
    </w:lvl>
  </w:abstractNum>
  <w:abstractNum w:abstractNumId="2">
    <w:nsid w:val="65584361"/>
    <w:multiLevelType w:val="singleLevel"/>
    <w:tmpl w:val="65584361"/>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FiNzJjNzcyYjEwZjJmYjFiNjdjZjY1ZDk1MTNhZDAifQ=="/>
  </w:docVars>
  <w:rsids>
    <w:rsidRoot w:val="299057FF"/>
    <w:rsid w:val="06936FD0"/>
    <w:rsid w:val="22596EC8"/>
    <w:rsid w:val="299057FF"/>
    <w:rsid w:val="40373E51"/>
    <w:rsid w:val="463F2AAC"/>
    <w:rsid w:val="51C708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1"/>
    <w:pPr>
      <w:ind w:left="279"/>
    </w:pPr>
    <w:rPr>
      <w:rFonts w:ascii="宋体" w:hAnsi="宋体" w:eastAsia="宋体" w:cs="宋体"/>
      <w:sz w:val="32"/>
      <w:szCs w:val="32"/>
      <w:lang w:val="zh-CN" w:eastAsia="zh-CN" w:bidi="zh-CN"/>
    </w:rPr>
  </w:style>
  <w:style w:type="paragraph" w:styleId="3">
    <w:name w:val="Body Text First Indent"/>
    <w:basedOn w:val="2"/>
    <w:unhideWhenUsed/>
    <w:qFormat/>
    <w:uiPriority w:val="99"/>
    <w:pPr>
      <w:ind w:firstLine="420" w:firstLineChars="100"/>
    </w:p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6689</Words>
  <Characters>7075</Characters>
  <Lines>0</Lines>
  <Paragraphs>0</Paragraphs>
  <TotalTime>20</TotalTime>
  <ScaleCrop>false</ScaleCrop>
  <LinksUpToDate>false</LinksUpToDate>
  <CharactersWithSpaces>7416</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2022-06-23T08:48:00Z</dcterms:created>
  <dc:creator>给我一个和弦</dc:creator>
  <cp:lastModifiedBy>给我一个和弦</cp:lastModifiedBy>
  <cp:lastPrinted>2022-06-27T07:37:40Z</cp:lastPrinted>
  <dcterms:modified xsi:type="dcterms:W3CDTF">2022-06-27T07:40:44Z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85F4E0630B044DE3ADFA16D743476D70</vt:lpwstr>
  </property>
</Properties>
</file>