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36"/>
                <w:szCs w:val="36"/>
                <w:u w:val="none"/>
              </w:rPr>
            </w:pPr>
            <w:r>
              <w:rPr>
                <w:rFonts w:hint="eastAsia" w:ascii="方正小标宋简体" w:hAnsi="方正小标宋简体" w:eastAsia="方正小标宋简体" w:cs="方正小标宋简体"/>
                <w:i w:val="0"/>
                <w:iCs w:val="0"/>
                <w:color w:val="auto"/>
                <w:kern w:val="0"/>
                <w:sz w:val="36"/>
                <w:szCs w:val="36"/>
                <w:u w:val="none"/>
                <w:lang w:val="en-US" w:eastAsia="zh-CN" w:bidi="ar"/>
              </w:rPr>
              <w:t>岳阳市建设工程质量安全监督管理站2021年度单位预算公开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5000" w:type="pct"/>
            <w:tcBorders>
              <w:top w:val="nil"/>
              <w:left w:val="nil"/>
              <w:bottom w:val="nil"/>
              <w:right w:val="nil"/>
            </w:tcBorders>
            <w:shd w:val="clear" w:color="auto" w:fill="auto"/>
            <w:vAlign w:val="center"/>
          </w:tcPr>
          <w:p>
            <w:pPr>
              <w:keepNext w:val="0"/>
              <w:keepLines w:val="0"/>
              <w:widowControl/>
              <w:numPr>
                <w:ilvl w:val="0"/>
                <w:numId w:val="1"/>
              </w:numPr>
              <w:suppressLineNumbers w:val="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eastAsia="仿宋_GB2312" w:cs="仿宋_GB2312"/>
                <w:i w:val="0"/>
                <w:iCs w:val="0"/>
                <w:color w:val="auto"/>
                <w:kern w:val="0"/>
                <w:sz w:val="28"/>
                <w:szCs w:val="28"/>
                <w:u w:val="none"/>
                <w:lang w:val="en-US" w:eastAsia="zh-CN" w:bidi="ar"/>
              </w:rPr>
              <w:t xml:space="preserve"> 2021年单位预算说明</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第二部分  单位预算公开表格</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一、收支总表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二、收入总表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三、支出总表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六、财政拨款收支总表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七、一般公共预算支出表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十四、一般公共预算“三公”经费支出表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十五、政府性基金预算支出表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十八、国有资产经营预算支出表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二十一、支出预算项目明细表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二十三、部门(单位)整体支出预算绩效目标申报表</w:t>
            </w:r>
          </w:p>
          <w:p>
            <w:pPr>
              <w:keepNext w:val="0"/>
              <w:keepLines w:val="0"/>
              <w:widowControl/>
              <w:numPr>
                <w:ilvl w:val="0"/>
                <w:numId w:val="0"/>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二十四、一般公共预算基本支出总表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注：以上单位预算公开报表中，空表表示本单位无相关收支情况。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第一部分    2021年单位预算说明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一、单位基本概况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（一）职能职责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ind w:firstLine="0" w:firstLineChars="0"/>
              <w:rPr>
                <w:rFonts w:hint="eastAsia"/>
                <w:color w:val="auto"/>
                <w:lang w:eastAsia="zh-CN"/>
              </w:rPr>
            </w:pPr>
            <w:r>
              <w:rPr>
                <w:rFonts w:hint="eastAsia" w:ascii="仿宋_GB2312" w:hAnsi="宋体" w:eastAsia="仿宋_GB2312" w:cs="仿宋_GB2312"/>
                <w:i w:val="0"/>
                <w:iCs w:val="0"/>
                <w:color w:val="auto"/>
                <w:kern w:val="0"/>
                <w:sz w:val="28"/>
                <w:szCs w:val="28"/>
                <w:u w:val="none"/>
                <w:lang w:val="en-US" w:eastAsia="zh-CN" w:bidi="ar"/>
              </w:rPr>
              <w:t xml:space="preserve">    </w:t>
            </w:r>
            <w:r>
              <w:rPr>
                <w:rFonts w:hint="eastAsia"/>
                <w:color w:val="auto"/>
                <w:lang w:eastAsia="zh-CN"/>
              </w:rPr>
              <w:t>（1）宣传贯彻执行国家、省、市有关建设工程质量和安全生产监督管理、房屋安全管理、装饰装修管理的法律、法规、规章、标准规范及政策性规定。</w:t>
            </w:r>
          </w:p>
          <w:p>
            <w:pPr>
              <w:ind w:firstLine="0" w:firstLineChars="0"/>
              <w:rPr>
                <w:rFonts w:hint="eastAsia"/>
                <w:color w:val="auto"/>
                <w:lang w:eastAsia="zh-CN"/>
              </w:rPr>
            </w:pPr>
            <w:r>
              <w:rPr>
                <w:rFonts w:hint="eastAsia"/>
                <w:color w:val="auto"/>
                <w:lang w:eastAsia="zh-CN"/>
              </w:rPr>
              <w:t>　　（2）承担城区范围内已取得施工许可证或办理拆除工程备案的建设工程项目工程质量、施工安全、文明施工监督管理的事务性工作。</w:t>
            </w:r>
          </w:p>
          <w:p>
            <w:pPr>
              <w:ind w:firstLine="0" w:firstLineChars="0"/>
              <w:rPr>
                <w:rFonts w:hint="eastAsia"/>
                <w:color w:val="auto"/>
                <w:lang w:eastAsia="zh-CN"/>
              </w:rPr>
            </w:pPr>
            <w:r>
              <w:rPr>
                <w:rFonts w:hint="eastAsia"/>
                <w:color w:val="auto"/>
                <w:lang w:eastAsia="zh-CN"/>
              </w:rPr>
              <w:t>　　(3）承担房屋安全鉴定管理和房屋安全监督管理的事务性工作。</w:t>
            </w:r>
          </w:p>
          <w:p>
            <w:pPr>
              <w:ind w:firstLine="0" w:firstLineChars="0"/>
              <w:rPr>
                <w:rFonts w:hint="eastAsia"/>
                <w:color w:val="auto"/>
                <w:lang w:eastAsia="zh-CN"/>
              </w:rPr>
            </w:pPr>
            <w:r>
              <w:rPr>
                <w:rFonts w:hint="eastAsia"/>
                <w:color w:val="auto"/>
                <w:lang w:eastAsia="zh-CN"/>
              </w:rPr>
              <w:t>　　（4）承担混凝土预制构件、预拌混凝土、预拌砂浆质量监督管理的事务性工作。</w:t>
            </w:r>
          </w:p>
          <w:p>
            <w:pPr>
              <w:ind w:firstLine="0" w:firstLineChars="0"/>
              <w:rPr>
                <w:rFonts w:hint="eastAsia"/>
                <w:color w:val="auto"/>
                <w:lang w:eastAsia="zh-CN"/>
              </w:rPr>
            </w:pPr>
            <w:r>
              <w:rPr>
                <w:rFonts w:hint="eastAsia"/>
                <w:color w:val="auto"/>
                <w:lang w:eastAsia="zh-CN"/>
              </w:rPr>
              <w:t>　　（5）承担施工现场安全防护用具及机械设备使用监督管理的事务性工作。</w:t>
            </w:r>
          </w:p>
          <w:p>
            <w:pPr>
              <w:ind w:firstLine="0" w:firstLineChars="0"/>
              <w:rPr>
                <w:rFonts w:hint="eastAsia"/>
                <w:color w:val="auto"/>
                <w:lang w:eastAsia="zh-CN"/>
              </w:rPr>
            </w:pPr>
            <w:r>
              <w:rPr>
                <w:rFonts w:hint="eastAsia"/>
                <w:color w:val="auto"/>
                <w:lang w:eastAsia="zh-CN"/>
              </w:rPr>
              <w:t>　　（6）承担建设工程项目规划、土地、消防、人防、档案等竣工联合验收有关的综合协调工作；承担办理建设工程质量安全监督手续、拆除工程备案手续、工程竣工验收备案手续等事务性工作；对建设工程竣工验收进行监督并出具质量监督报告；负责所辖工程项目民用建筑节能和绿色建筑的日常监督以及竣工验收中有关建筑节能与绿色建筑内容的监督。</w:t>
            </w:r>
          </w:p>
          <w:p>
            <w:pPr>
              <w:ind w:firstLine="0" w:firstLineChars="0"/>
              <w:rPr>
                <w:rFonts w:hint="eastAsia"/>
                <w:color w:val="auto"/>
                <w:lang w:eastAsia="zh-CN"/>
              </w:rPr>
            </w:pPr>
            <w:r>
              <w:rPr>
                <w:rFonts w:hint="eastAsia"/>
                <w:color w:val="auto"/>
                <w:lang w:eastAsia="zh-CN"/>
              </w:rPr>
              <w:t>　　（7）实施建筑施工项目质量和安全生产标准化考评，并抽查全市建筑施工项目质量和安全生产标准化考评开展情况;评定市级建筑施工项目质量和安全生产标准化优良工地，对省级建筑施工项目质量和安全生产标准化优良工地进行初评。</w:t>
            </w:r>
          </w:p>
          <w:p>
            <w:pPr>
              <w:ind w:firstLine="0" w:firstLineChars="0"/>
              <w:rPr>
                <w:rFonts w:hint="eastAsia"/>
                <w:color w:val="auto"/>
                <w:lang w:eastAsia="zh-CN"/>
              </w:rPr>
            </w:pPr>
            <w:r>
              <w:rPr>
                <w:rFonts w:hint="eastAsia"/>
                <w:color w:val="auto"/>
                <w:lang w:eastAsia="zh-CN"/>
              </w:rPr>
              <w:t>　　（8）依法处理工程质量安全投诉、举报；受理房屋安全鉴定的咨询及处理既有房屋安全相关的投诉、举报；参与工程质量安全事故的调查处理；定期对本地区建设工程质量状况进行统计分析；监督相关企业按规定购买工伤保险、安全生产责任险等必须购买的保险。</w:t>
            </w:r>
          </w:p>
          <w:p>
            <w:pPr>
              <w:ind w:firstLine="0" w:firstLineChars="0"/>
              <w:rPr>
                <w:rFonts w:hint="eastAsia"/>
                <w:color w:val="auto"/>
                <w:lang w:eastAsia="zh-CN"/>
              </w:rPr>
            </w:pPr>
            <w:r>
              <w:rPr>
                <w:rFonts w:hint="eastAsia"/>
                <w:color w:val="auto"/>
                <w:lang w:eastAsia="zh-CN"/>
              </w:rPr>
              <w:t>　　（9）承担建设工程消防验收和备案抽查的辅助性、事务性工作;协助市住房和城乡建设局对监理企业、检测机构进行专项检查；协助有关部门进行建设工程质量、安全技术服务和建设工程新设备、新材料、新技术、新工艺的鉴定、评审和推广应用。</w:t>
            </w:r>
          </w:p>
          <w:p>
            <w:pPr>
              <w:ind w:firstLine="0" w:firstLineChars="0"/>
              <w:rPr>
                <w:rFonts w:hint="eastAsia"/>
                <w:color w:val="auto"/>
                <w:lang w:eastAsia="zh-CN"/>
              </w:rPr>
            </w:pPr>
            <w:r>
              <w:rPr>
                <w:rFonts w:hint="eastAsia"/>
                <w:color w:val="auto"/>
                <w:lang w:eastAsia="zh-CN"/>
              </w:rPr>
              <w:t>　　（10）城区范围内单独报建的房屋装饰装修工程、既有住房加装电梯工程质量安全监督管理。抽查所辖工程项目涉及工程主体结构安全和主要使用功能的工程实体质量及主要建筑材料、建筑构配件的质量；对所辖工程项目的建筑责任主体和质量安全监测等单位履行安全生产职责和法定质量责任和义务，执行法律、法规、规章、制度及工程建设性标准等情况实施监督，对违法违规行为提出处罚建议并参与调查取证和核实。</w:t>
            </w:r>
          </w:p>
          <w:p>
            <w:pPr>
              <w:ind w:firstLine="0" w:firstLineChars="0"/>
              <w:rPr>
                <w:rFonts w:hint="eastAsia" w:ascii="仿宋_GB2312" w:hAnsi="宋体" w:eastAsia="仿宋_GB2312" w:cs="仿宋_GB2312"/>
                <w:i w:val="0"/>
                <w:iCs w:val="0"/>
                <w:color w:val="auto"/>
                <w:sz w:val="28"/>
                <w:szCs w:val="28"/>
                <w:u w:val="none"/>
              </w:rPr>
            </w:pPr>
            <w:r>
              <w:rPr>
                <w:rFonts w:hint="eastAsia"/>
                <w:color w:val="auto"/>
                <w:lang w:eastAsia="zh-CN"/>
              </w:rPr>
              <w:t>　　（11）对县市区建设工程质量和安全监督机构进行业务指导。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（二）机构设置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ind w:firstLine="0" w:firstLineChars="0"/>
              <w:rPr>
                <w:rFonts w:hint="eastAsia"/>
                <w:color w:val="auto"/>
                <w:lang w:eastAsia="zh-CN"/>
              </w:rPr>
            </w:pPr>
            <w:r>
              <w:rPr>
                <w:rFonts w:hint="eastAsia" w:ascii="仿宋_GB2312" w:hAnsi="宋体" w:eastAsia="仿宋_GB2312" w:cs="仿宋_GB2312"/>
                <w:i w:val="0"/>
                <w:iCs w:val="0"/>
                <w:color w:val="auto"/>
                <w:kern w:val="0"/>
                <w:sz w:val="28"/>
                <w:szCs w:val="28"/>
                <w:u w:val="none"/>
                <w:lang w:val="en-US" w:eastAsia="zh-CN" w:bidi="ar"/>
              </w:rPr>
              <w:t xml:space="preserve">    </w:t>
            </w:r>
            <w:r>
              <w:rPr>
                <w:rFonts w:hint="eastAsia"/>
                <w:color w:val="auto"/>
                <w:lang w:eastAsia="zh-CN"/>
              </w:rPr>
              <w:t>（1）站机关内设机构名称</w:t>
            </w:r>
          </w:p>
          <w:p>
            <w:pPr>
              <w:ind w:firstLine="0" w:firstLineChars="0"/>
              <w:rPr>
                <w:rFonts w:hint="eastAsia"/>
                <w:color w:val="auto"/>
                <w:lang w:eastAsia="zh-CN"/>
              </w:rPr>
            </w:pPr>
            <w:r>
              <w:rPr>
                <w:rFonts w:hint="eastAsia"/>
                <w:color w:val="auto"/>
                <w:lang w:eastAsia="zh-CN"/>
              </w:rPr>
              <w:t>　　市质安站设内设科室7个，分别是：办公室、财务科、信息技术科、质量监督科、安全监督科、重点工程监督科、房屋安全和装饰装修科。</w:t>
            </w:r>
          </w:p>
          <w:p>
            <w:pPr>
              <w:ind w:firstLine="0" w:firstLineChars="0"/>
              <w:rPr>
                <w:rFonts w:hint="eastAsia"/>
                <w:color w:val="auto"/>
                <w:lang w:eastAsia="zh-CN"/>
              </w:rPr>
            </w:pPr>
            <w:r>
              <w:rPr>
                <w:rFonts w:hint="eastAsia"/>
                <w:color w:val="auto"/>
                <w:lang w:eastAsia="zh-CN"/>
              </w:rPr>
              <w:t>　　（2）人员编制和领导职数</w:t>
            </w:r>
          </w:p>
          <w:p>
            <w:pPr>
              <w:ind w:firstLine="0" w:firstLineChars="0"/>
              <w:rPr>
                <w:rFonts w:hint="eastAsia"/>
                <w:color w:val="auto"/>
                <w:lang w:eastAsia="zh-CN"/>
              </w:rPr>
            </w:pPr>
            <w:r>
              <w:rPr>
                <w:rFonts w:hint="eastAsia"/>
                <w:color w:val="auto"/>
                <w:lang w:eastAsia="zh-CN"/>
              </w:rPr>
              <w:t>　　核定市质安站全额拨款事业编制32名，其中站长1名，副站长3名，副科级领导职数7名。</w:t>
            </w:r>
          </w:p>
          <w:p>
            <w:pPr>
              <w:ind w:firstLine="0" w:firstLineChars="0"/>
              <w:rPr>
                <w:rFonts w:hint="eastAsia"/>
                <w:color w:val="auto"/>
                <w:lang w:eastAsia="zh-CN"/>
              </w:rPr>
            </w:pPr>
            <w:r>
              <w:rPr>
                <w:rFonts w:hint="eastAsia"/>
                <w:color w:val="auto"/>
                <w:lang w:eastAsia="zh-CN"/>
              </w:rPr>
              <w:t>　　（3）分支机构</w:t>
            </w:r>
          </w:p>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color w:val="auto"/>
                <w:lang w:eastAsia="zh-CN"/>
              </w:rPr>
              <w:t>　　市质安站下设正科级分支机构4个，分别为:岳阳楼区分站、岳阳经济技术开发区分站、城陵矶新港区分站、房屋安全和装饰装修分站，共核定全额拨款事业编制25名，经费自理编制27名，其中正科级领导职数4名，副科级领导职数12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二、单位收支总体情况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5000" w:type="pct"/>
            <w:tcBorders>
              <w:top w:val="nil"/>
              <w:left w:val="nil"/>
              <w:bottom w:val="nil"/>
              <w:right w:val="nil"/>
            </w:tcBorders>
            <w:shd w:val="clear" w:color="auto" w:fill="auto"/>
            <w:vAlign w:val="center"/>
          </w:tcPr>
          <w:p>
            <w:pPr>
              <w:keepNext w:val="0"/>
              <w:keepLines w:val="0"/>
              <w:widowControl/>
              <w:suppressLineNumbers w:val="0"/>
              <w:ind w:firstLine="56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eastAsia="仿宋_GB2312" w:cs="仿宋_GB2312"/>
                <w:i w:val="0"/>
                <w:iCs w:val="0"/>
                <w:color w:val="auto"/>
                <w:kern w:val="0"/>
                <w:sz w:val="28"/>
                <w:szCs w:val="28"/>
                <w:u w:val="none"/>
                <w:lang w:val="en-US" w:eastAsia="zh-CN" w:bidi="ar"/>
              </w:rPr>
              <w:t xml:space="preserve">   </w:t>
            </w:r>
            <w:r>
              <w:rPr>
                <w:rFonts w:hint="eastAsia" w:ascii="仿宋_GB2312" w:hAnsi="宋体" w:cs="仿宋_GB2312"/>
                <w:i w:val="0"/>
                <w:iCs w:val="0"/>
                <w:color w:val="auto"/>
                <w:kern w:val="0"/>
                <w:sz w:val="28"/>
                <w:szCs w:val="28"/>
                <w:u w:val="none"/>
                <w:lang w:val="en-US" w:eastAsia="zh-CN" w:bidi="ar"/>
              </w:rPr>
              <w:t>本单位为二级预算单位，没有预算独立、财务独立核算的下属预算单位，因此纳入2021年部门预算公开范围的为本单位本级预算。</w:t>
            </w:r>
            <w:r>
              <w:rPr>
                <w:rFonts w:hint="eastAsia" w:ascii="仿宋_GB2312" w:hAnsi="宋体" w:eastAsia="仿宋_GB2312" w:cs="仿宋_GB2312"/>
                <w:i w:val="0"/>
                <w:iCs w:val="0"/>
                <w:color w:val="auto"/>
                <w:kern w:val="0"/>
                <w:sz w:val="28"/>
                <w:szCs w:val="28"/>
                <w:u w:val="none"/>
                <w:lang w:val="en-US" w:eastAsia="zh-CN" w:bidi="ar"/>
              </w:rPr>
              <w:t xml:space="preserve"> </w:t>
            </w:r>
          </w:p>
          <w:p>
            <w:pPr>
              <w:keepNext w:val="0"/>
              <w:keepLines w:val="0"/>
              <w:widowControl/>
              <w:suppressLineNumbers w:val="0"/>
              <w:ind w:firstLine="560" w:firstLineChars="20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（一）收入预算</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包括一般公共预算、政府性基金、国有资本经营预算等财政拨款收入，以及经营收入、事业收入等单位资金。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本单位收入预算706.41万元，其中，一般公共预算拨款706.41万元，政府性基金预算拨款0.00万元（所以公开的附件15-17为空表），国有资本经营预算拨款0.00万元（所以公开的附件18为空表），财政专户管理资金0.00万元（所以公开的附件19-20为空表），上级补助收入0.00万元，事业单位经营收入0.00万元，其他收入0.00万元，上年结转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收入较去年增加50.03万元，增幅7.6%，原因是</w:t>
            </w:r>
            <w:r>
              <w:rPr>
                <w:rFonts w:hint="eastAsia"/>
                <w:color w:val="auto"/>
                <w:lang w:eastAsia="zh-CN"/>
              </w:rPr>
              <w:t>机构合并人员增加。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2021年本单位支出预算706.41万元，其中，社会保障和就业支出69.95万元，卫生健康支出29.81万元，城乡社区支出57.00万元，资源勘探信息等支出501.34万元，住房保障支出48.31万元。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支出较去年增加50.03万元，其中基本支出较去年增加74.03万元，原因是</w:t>
            </w:r>
            <w:r>
              <w:rPr>
                <w:rFonts w:hint="eastAsia"/>
                <w:color w:val="auto"/>
                <w:lang w:eastAsia="zh-CN"/>
              </w:rPr>
              <w:t>机构合并人员增加</w:t>
            </w:r>
            <w:r>
              <w:rPr>
                <w:rFonts w:hint="eastAsia" w:ascii="仿宋_GB2312" w:hAnsi="宋体" w:eastAsia="仿宋_GB2312" w:cs="仿宋_GB2312"/>
                <w:i w:val="0"/>
                <w:iCs w:val="0"/>
                <w:color w:val="auto"/>
                <w:kern w:val="0"/>
                <w:sz w:val="28"/>
                <w:szCs w:val="28"/>
                <w:u w:val="none"/>
                <w:lang w:val="en-US" w:eastAsia="zh-CN" w:bidi="ar"/>
              </w:rPr>
              <w:t>；项目支出较去年减少24万元，原因是</w:t>
            </w:r>
            <w:r>
              <w:rPr>
                <w:rFonts w:hint="eastAsia"/>
                <w:color w:val="auto"/>
                <w:lang w:eastAsia="zh-CN"/>
              </w:rPr>
              <w:t>根据政策要求，取消室内装饰装修的非税征收，取消征收成本。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三、一般公共预算拨款支出预算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一般公共预算拨款支出预算706.41万元，其中，社会保障和就业支出69.95万元，占9.9%，卫生健康支出29.81万元，占4.2%，城乡社区支出57.00万元，占8.1%，资源勘探工业信息等支出501.34万元，占71.0%，住房保障支出48.31万元，占6.8%。具体安排情况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基本支出：2021年基本支出年初预算数为619.41万元，是指为保障单位机构正常运转、完成日常工作任务而发生的各项支出，包括用于基本工资、津贴补贴等人员经费以及办公费、印刷费、水电费、差旅费等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2"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项目支出：2021年项目支出年初预算数为87.00万元，是指单位为完成特定行政工作任务或事业发展目标而发生的支出，包括有关业务工作经费、运行维护经费等。其中包括：房屋安全状况检查专项经费支出12万元，主要用于房屋安全状况检查等方面；建筑安全监督监察执法检查经费45万元，主要用于建筑安全监察执法检查等方面；办案费30万元，主要用于建筑质量安全监督执法过程中对违法违规行为案件的处理等方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四、政府性基金预算支出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2021年度本单位无政府性基金安排的支出，所以公开的附件15-17为空。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五、其他重要事项的情况说明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（一）机关运行经费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本单位2021年机关运行经费当年一般公共预算拨款65.50万元。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ind w:firstLine="0" w:firstLineChars="0"/>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较去年增加5.8万元，增幅9.7%，原因是</w:t>
            </w:r>
            <w:r>
              <w:rPr>
                <w:rFonts w:hint="eastAsia"/>
                <w:color w:val="auto"/>
                <w:lang w:eastAsia="zh-CN"/>
              </w:rPr>
              <w:t>机构合并人员增加。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（二）“三公”经费预算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本单位2021年“三公”经费预算数60.25万元，其中公务接待费33.25万元，因公出国（境）费0.00万元，公务用车购置及运行费27.00万元（其中公务用车购置费0.00万元，公务用车运行费27.00万元）。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w:t>
            </w:r>
            <w:r>
              <w:rPr>
                <w:rFonts w:hint="eastAsia" w:ascii="仿宋_GB2312" w:hAnsi="宋体" w:cs="仿宋_GB2312"/>
                <w:i w:val="0"/>
                <w:iCs w:val="0"/>
                <w:color w:val="auto"/>
                <w:kern w:val="0"/>
                <w:sz w:val="28"/>
                <w:szCs w:val="28"/>
                <w:u w:val="none"/>
                <w:lang w:val="en-US" w:eastAsia="zh-CN" w:bidi="ar"/>
              </w:rPr>
              <w:t>与上年相比“三公”经费预算持平</w:t>
            </w:r>
            <w:bookmarkStart w:id="0" w:name="_GoBack"/>
            <w:bookmarkEnd w:id="0"/>
            <w:r>
              <w:rPr>
                <w:rFonts w:hint="eastAsia" w:ascii="仿宋_GB2312" w:hAnsi="宋体" w:cs="仿宋_GB2312"/>
                <w:i w:val="0"/>
                <w:iCs w:val="0"/>
                <w:color w:val="auto"/>
                <w:kern w:val="0"/>
                <w:sz w:val="28"/>
                <w:szCs w:val="2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（三）一般性支出情况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2021年度本单位未计划召开会议；2021年度本单位未计划组织培训。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2021年度本单位未计划举办节庆、晚会、论坛、赛事活动。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（四）政府采购情况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2021年度本单位未安排政府采购预算。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（五）国有资产占有使用及新增资产配置情况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截至上一年12月底，本单位共有车辆</w:t>
            </w:r>
            <w:r>
              <w:rPr>
                <w:rFonts w:hint="eastAsia" w:ascii="仿宋_GB2312" w:hAnsi="宋体" w:cs="仿宋_GB2312"/>
                <w:i w:val="0"/>
                <w:iCs w:val="0"/>
                <w:color w:val="auto"/>
                <w:kern w:val="0"/>
                <w:sz w:val="28"/>
                <w:szCs w:val="28"/>
                <w:u w:val="none"/>
                <w:lang w:val="en-US" w:eastAsia="zh-CN" w:bidi="ar"/>
              </w:rPr>
              <w:t>2</w:t>
            </w:r>
            <w:r>
              <w:rPr>
                <w:rFonts w:hint="eastAsia" w:ascii="仿宋_GB2312" w:hAnsi="宋体" w:eastAsia="仿宋_GB2312" w:cs="仿宋_GB2312"/>
                <w:i w:val="0"/>
                <w:iCs w:val="0"/>
                <w:color w:val="auto"/>
                <w:kern w:val="0"/>
                <w:sz w:val="28"/>
                <w:szCs w:val="28"/>
                <w:u w:val="none"/>
                <w:lang w:val="en-US" w:eastAsia="zh-CN" w:bidi="ar"/>
              </w:rPr>
              <w:t>辆，其中领导干部用车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辆，一般公务用车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辆，其他用车</w:t>
            </w:r>
            <w:r>
              <w:rPr>
                <w:rFonts w:hint="eastAsia" w:ascii="仿宋_GB2312" w:hAnsi="宋体" w:cs="仿宋_GB2312"/>
                <w:i w:val="0"/>
                <w:iCs w:val="0"/>
                <w:color w:val="auto"/>
                <w:kern w:val="0"/>
                <w:sz w:val="28"/>
                <w:szCs w:val="28"/>
                <w:u w:val="none"/>
                <w:lang w:val="en-US" w:eastAsia="zh-CN" w:bidi="ar"/>
              </w:rPr>
              <w:t>2</w:t>
            </w:r>
            <w:r>
              <w:rPr>
                <w:rFonts w:hint="eastAsia" w:ascii="仿宋_GB2312" w:hAnsi="宋体" w:eastAsia="仿宋_GB2312" w:cs="仿宋_GB2312"/>
                <w:i w:val="0"/>
                <w:iCs w:val="0"/>
                <w:color w:val="auto"/>
                <w:kern w:val="0"/>
                <w:sz w:val="28"/>
                <w:szCs w:val="28"/>
                <w:u w:val="none"/>
                <w:lang w:val="en-US" w:eastAsia="zh-CN" w:bidi="ar"/>
              </w:rPr>
              <w:t>辆。单位价值50万元以上通用设备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台，单位价值100万元以上专用设备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2021年度本单位未计划处置或新增车辆、设备等。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（六）预算绩效目标说明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本单位所有支出实行绩效目标管理。纳入2021年单位整体支出绩效目标的金额为706.41万元，其中，基本支出619.41万元，项目支出87.00万元，绩效目标详见文尾附表中预算公开表格的表22-23。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六、名词解释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6"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5000" w:type="pct"/>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50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第二部分  单位预算公开表格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5000" w:type="pct"/>
            <w:tcBorders>
              <w:top w:val="nil"/>
              <w:left w:val="nil"/>
              <w:bottom w:val="nil"/>
              <w:right w:val="nil"/>
            </w:tcBorders>
            <w:shd w:val="clear" w:color="auto" w:fill="auto"/>
            <w:vAlign w:val="center"/>
          </w:tcPr>
          <w:p>
            <w:pPr>
              <w:keepNext w:val="0"/>
              <w:keepLines w:val="0"/>
              <w:widowControl/>
              <w:numPr>
                <w:ilvl w:val="0"/>
                <w:numId w:val="2"/>
              </w:numPr>
              <w:suppressLineNumbers w:val="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eastAsia="仿宋_GB2312" w:cs="仿宋_GB2312"/>
                <w:i w:val="0"/>
                <w:iCs w:val="0"/>
                <w:color w:val="auto"/>
                <w:kern w:val="0"/>
                <w:sz w:val="28"/>
                <w:szCs w:val="28"/>
                <w:u w:val="none"/>
                <w:lang w:val="en-US" w:eastAsia="zh-CN" w:bidi="ar"/>
              </w:rPr>
              <w:t>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二、收入总表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三、支出总表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六、财政拨款收支总表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七、一般公共预算支出表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十四、一般公共预算“三公”经费支出表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十五、政府性基金预算支出表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十八、国有资产经营预算支出表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二十一、支出预算项目明细表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二十三、部门(单位)整体支出预算绩效目标申报表</w:t>
            </w:r>
          </w:p>
          <w:p>
            <w:pPr>
              <w:keepNext w:val="0"/>
              <w:keepLines w:val="0"/>
              <w:widowControl/>
              <w:numPr>
                <w:ilvl w:val="0"/>
                <w:numId w:val="0"/>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二十四、一般公共预算基本支出总表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注：以上单位预算公开报表中，空表表示本单位无相关收支情况。</w:t>
            </w:r>
          </w:p>
        </w:tc>
      </w:tr>
    </w:tbl>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69CBA"/>
    <w:multiLevelType w:val="singleLevel"/>
    <w:tmpl w:val="56569CBA"/>
    <w:lvl w:ilvl="0" w:tentative="0">
      <w:start w:val="1"/>
      <w:numFmt w:val="chineseCounting"/>
      <w:suff w:val="space"/>
      <w:lvlText w:val="第%1部分"/>
      <w:lvlJc w:val="left"/>
      <w:rPr>
        <w:rFonts w:hint="eastAsia"/>
      </w:rPr>
    </w:lvl>
  </w:abstractNum>
  <w:abstractNum w:abstractNumId="1">
    <w:nsid w:val="592D2ECF"/>
    <w:multiLevelType w:val="singleLevel"/>
    <w:tmpl w:val="592D2EC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xZDBmYTZjOGMyZGE1YzhmMmZhNmU2MWE1ZWE1ZGQifQ=="/>
  </w:docVars>
  <w:rsids>
    <w:rsidRoot w:val="48885009"/>
    <w:rsid w:val="060F4036"/>
    <w:rsid w:val="0D1D35FE"/>
    <w:rsid w:val="24091E96"/>
    <w:rsid w:val="24341525"/>
    <w:rsid w:val="27FB5231"/>
    <w:rsid w:val="2AB00E6E"/>
    <w:rsid w:val="30184E20"/>
    <w:rsid w:val="312E36D8"/>
    <w:rsid w:val="31D420C7"/>
    <w:rsid w:val="354E3064"/>
    <w:rsid w:val="3B51265F"/>
    <w:rsid w:val="48885009"/>
    <w:rsid w:val="4E542F0D"/>
    <w:rsid w:val="5676675C"/>
    <w:rsid w:val="5BA259F8"/>
    <w:rsid w:val="5E1852DF"/>
    <w:rsid w:val="67E728E0"/>
    <w:rsid w:val="707F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0" w:lineRule="exact"/>
      <w:ind w:firstLine="0" w:firstLineChars="0"/>
      <w:jc w:val="both"/>
    </w:pPr>
    <w:rPr>
      <w:rFonts w:ascii="Times New Roman" w:hAnsi="Times New Roman" w:eastAsia="仿宋_GB2312" w:cstheme="minorBidi"/>
      <w:kern w:val="2"/>
      <w:sz w:val="28"/>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ind w:firstLine="643" w:firstLineChars="200"/>
      <w:outlineLvl w:val="1"/>
    </w:pPr>
    <w:rPr>
      <w:rFonts w:ascii="Arial" w:hAnsi="Arial" w:eastAsia="黑体" w:cs="Times New Roman"/>
      <w:b/>
      <w:sz w:val="32"/>
    </w:rPr>
  </w:style>
  <w:style w:type="paragraph" w:styleId="3">
    <w:name w:val="heading 3"/>
    <w:basedOn w:val="1"/>
    <w:next w:val="1"/>
    <w:link w:val="6"/>
    <w:semiHidden/>
    <w:unhideWhenUsed/>
    <w:qFormat/>
    <w:uiPriority w:val="0"/>
    <w:pPr>
      <w:keepNext/>
      <w:keepLines/>
      <w:spacing w:before="260" w:beforeLines="0" w:beforeAutospacing="0" w:after="260" w:afterLines="0" w:afterAutospacing="0" w:line="413" w:lineRule="auto"/>
      <w:outlineLvl w:val="2"/>
    </w:pPr>
    <w:rPr>
      <w:rFonts w:ascii="Calibri" w:hAnsi="Calibri" w:eastAsia="楷体_GB2312" w:cs="Arial"/>
      <w:b/>
      <w:sz w:val="32"/>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3 Char"/>
    <w:link w:val="3"/>
    <w:qFormat/>
    <w:uiPriority w:val="0"/>
    <w:rPr>
      <w:rFonts w:ascii="Calibri" w:hAnsi="Calibri" w:eastAsia="楷体_GB2312" w:cs="Arial"/>
      <w:b/>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4051</Words>
  <Characters>4328</Characters>
  <Lines>0</Lines>
  <Paragraphs>0</Paragraphs>
  <TotalTime>0</TotalTime>
  <ScaleCrop>false</ScaleCrop>
  <LinksUpToDate>false</LinksUpToDate>
  <CharactersWithSpaces>4523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2022-06-06T11:01:00Z</dcterms:created>
  <dc:creator>German Phillip</dc:creator>
  <cp:lastModifiedBy>三月芳菲</cp:lastModifiedBy>
  <dcterms:modified xsi:type="dcterms:W3CDTF">2022-09-05T08:40:57Z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30444624D5314FBC8E48E03C166C2E8E</vt:lpwstr>
  </property>
</Properties>
</file>