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center"/>
              <w:textAlignment w:val="center"/>
              <w:rPr>
                <w:rFonts w:ascii="方正小标宋简体" w:hAnsi="方正小标宋简体" w:eastAsia="方正小标宋简体" w:cs="方正小标宋简体"/>
                <w:b w:val="0"/>
                <w:i w:val="0"/>
                <w:iCs w:val="0"/>
                <w:caps w:val="0"/>
                <w:color w:val="000000"/>
                <w:spacing w:val="0"/>
                <w:w w:val="100"/>
                <w:sz w:val="36"/>
                <w:szCs w:val="36"/>
              </w:rPr>
            </w:pPr>
            <w:r>
              <w:rPr>
                <w:rFonts w:hint="eastAsia" w:ascii="方正小标宋简体" w:hAnsi="方正小标宋简体" w:eastAsia="方正小标宋简体" w:cs="方正小标宋简体"/>
                <w:b w:val="0"/>
                <w:i w:val="0"/>
                <w:iCs w:val="0"/>
                <w:caps w:val="0"/>
                <w:color w:val="000000"/>
                <w:spacing w:val="0"/>
                <w:w w:val="100"/>
                <w:kern w:val="0"/>
                <w:sz w:val="36"/>
                <w:szCs w:val="36"/>
                <w:lang w:val="en-US" w:eastAsia="zh-CN" w:bidi="ar"/>
              </w:rPr>
              <w:t>铁路管理处2021年度单位预算公开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snapToGrid/>
              <w:spacing w:before="0" w:beforeAutospacing="0" w:after="0" w:afterAutospacing="0" w:line="580" w:lineRule="exact"/>
              <w:ind w:firstLine="0" w:firstLineChars="0"/>
              <w:jc w:val="both"/>
              <w:textAlignment w:val="baseline"/>
              <w:rPr>
                <w:rFonts w:hint="eastAsia" w:ascii="仿宋_GB2312" w:hAnsi="宋体" w:eastAsia="仿宋_GB2312" w:cs="仿宋_GB2312"/>
                <w:b w:val="0"/>
                <w:i w:val="0"/>
                <w:iCs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center"/>
              <w:textAlignment w:val="center"/>
              <w:rPr>
                <w:rFonts w:ascii="黑体" w:hAnsi="宋体" w:eastAsia="黑体" w:cs="黑体"/>
                <w:b w:val="0"/>
                <w:i w:val="0"/>
                <w:iCs w:val="0"/>
                <w:caps w:val="0"/>
                <w:color w:val="000000"/>
                <w:spacing w:val="0"/>
                <w:w w:val="100"/>
                <w:sz w:val="36"/>
                <w:szCs w:val="36"/>
              </w:rPr>
            </w:pPr>
            <w:r>
              <w:rPr>
                <w:rFonts w:hint="eastAsia" w:ascii="黑体" w:hAnsi="宋体" w:eastAsia="黑体" w:cs="黑体"/>
                <w:b w:val="0"/>
                <w:i w:val="0"/>
                <w:iCs w:val="0"/>
                <w:caps w:val="0"/>
                <w:color w:val="000000"/>
                <w:spacing w:val="0"/>
                <w:w w:val="100"/>
                <w:kern w:val="0"/>
                <w:sz w:val="36"/>
                <w:szCs w:val="36"/>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kern w:val="0"/>
                <w:sz w:val="28"/>
                <w:szCs w:val="28"/>
                <w:lang w:val="en-US" w:eastAsia="zh-CN" w:bidi="ar"/>
              </w:rPr>
            </w:pPr>
            <w:r>
              <w:rPr>
                <w:rFonts w:hint="eastAsia" w:ascii="仿宋_GB2312" w:hAnsi="宋体" w:eastAsia="仿宋_GB2312" w:cs="仿宋_GB2312"/>
                <w:b w:val="0"/>
                <w:i w:val="0"/>
                <w:iCs w:val="0"/>
                <w:caps w:val="0"/>
                <w:color w:val="000000"/>
                <w:spacing w:val="0"/>
                <w:w w:val="100"/>
                <w:kern w:val="0"/>
                <w:sz w:val="28"/>
                <w:szCs w:val="28"/>
                <w:lang w:val="en-US" w:eastAsia="zh-CN" w:bidi="ar"/>
              </w:rPr>
              <w:t>第一部分  2021年单位预算说明</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第二部分  单位预算公开表格</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一、收支总表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二、收入总表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三、支出总表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四、支出预算分类汇总表（按政府预算经济分类）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五、支出预算分类汇总表（按部门预算经济分类）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六、财政拨款收支总表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七、一般公共预算支出表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八、一般公共预算基本支出表--人员经费(工资福利支出)(按政府预算经济分类)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九、一般公共预算基本支出表--人员经费(工资福利支出)(按部门预算经济分类)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十、一般公共预算基本支出表--人员经费(对个人和家庭的补助)(按政府预算经济分类)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十一、一般公共预算基本支出表--人员经费(对个人和家庭的补助)（按部门预算经济分类）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十二、一般公共预算基本支出表--公用经费(商品和服务支出)（按政府预算经济分类）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十三、一般公共预算基本支出表--公用经费(商品和服务支出)(按部门预算经济分类)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十四、一般公共预算“三公”经费支出表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十五、政府性基金预算支出表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十六、政府性基金预算支出分类汇总表（按政府预算经济分类）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十七、政府性基金预算支出分类汇总表（按部门预算经济分类）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十八、国有资产经营预算支出表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十九、纳入专户管理的非税收入拨款支出预算表(按政府预算经济分类)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二十、纳入专户管理的非税收入拨款支出预算表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二十一、支出预算项目明细表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二十二、财政支出项目预算绩效目标申报表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二十三、部门(单位)整体支出预算绩效目标申报表</w:t>
            </w:r>
          </w:p>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二十四、一般公共预算基本支出总表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snapToGrid/>
              <w:spacing w:before="0" w:beforeAutospacing="0" w:after="0" w:afterAutospacing="0" w:line="580" w:lineRule="exact"/>
              <w:ind w:firstLine="0" w:firstLineChars="0"/>
              <w:jc w:val="both"/>
              <w:textAlignment w:val="baseline"/>
              <w:rPr>
                <w:rFonts w:hint="eastAsia" w:ascii="仿宋_GB2312" w:hAnsi="宋体" w:eastAsia="仿宋_GB2312" w:cs="仿宋_GB2312"/>
                <w:b w:val="0"/>
                <w:i w:val="0"/>
                <w:iCs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snapToGrid/>
              <w:spacing w:before="0" w:beforeAutospacing="0" w:after="0" w:afterAutospacing="0" w:line="580" w:lineRule="exact"/>
              <w:ind w:firstLine="0" w:firstLineChars="0"/>
              <w:jc w:val="both"/>
              <w:textAlignment w:val="baseline"/>
              <w:rPr>
                <w:rFonts w:hint="eastAsia" w:ascii="仿宋_GB2312" w:hAnsi="宋体" w:eastAsia="仿宋_GB2312" w:cs="仿宋_GB2312"/>
                <w:b w:val="0"/>
                <w:i w:val="0"/>
                <w:iCs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center"/>
              <w:textAlignment w:val="center"/>
              <w:rPr>
                <w:rFonts w:hint="eastAsia" w:ascii="黑体" w:hAnsi="宋体" w:eastAsia="黑体" w:cs="黑体"/>
                <w:b w:val="0"/>
                <w:i w:val="0"/>
                <w:iCs w:val="0"/>
                <w:caps w:val="0"/>
                <w:color w:val="000000"/>
                <w:spacing w:val="0"/>
                <w:w w:val="100"/>
                <w:sz w:val="36"/>
                <w:szCs w:val="36"/>
              </w:rPr>
            </w:pPr>
            <w:r>
              <w:rPr>
                <w:rFonts w:hint="eastAsia" w:ascii="黑体" w:hAnsi="宋体" w:eastAsia="黑体" w:cs="黑体"/>
                <w:b w:val="0"/>
                <w:i w:val="0"/>
                <w:iCs w:val="0"/>
                <w:caps w:val="0"/>
                <w:color w:val="000000"/>
                <w:spacing w:val="0"/>
                <w:w w:val="100"/>
                <w:kern w:val="0"/>
                <w:sz w:val="36"/>
                <w:szCs w:val="36"/>
                <w:lang w:val="en-US" w:eastAsia="zh-CN" w:bidi="ar"/>
              </w:rPr>
              <w:t>第一部分    2021年单位预算说明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黑体" w:hAnsi="宋体" w:eastAsia="黑体" w:cs="黑体"/>
                <w:b w:val="0"/>
                <w:i w:val="0"/>
                <w:iCs w:val="0"/>
                <w:caps w:val="0"/>
                <w:color w:val="000000"/>
                <w:spacing w:val="0"/>
                <w:w w:val="100"/>
                <w:sz w:val="28"/>
                <w:szCs w:val="28"/>
              </w:rPr>
            </w:pPr>
            <w:r>
              <w:rPr>
                <w:rFonts w:hint="eastAsia" w:ascii="黑体" w:hAnsi="宋体" w:eastAsia="黑体" w:cs="黑体"/>
                <w:b w:val="0"/>
                <w:i w:val="0"/>
                <w:iCs w:val="0"/>
                <w:caps w:val="0"/>
                <w:color w:val="000000"/>
                <w:spacing w:val="0"/>
                <w:w w:val="100"/>
                <w:kern w:val="0"/>
                <w:sz w:val="28"/>
                <w:szCs w:val="28"/>
                <w:lang w:val="en-US" w:eastAsia="zh-CN" w:bidi="ar"/>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snapToGrid/>
              <w:spacing w:before="0" w:beforeAutospacing="0" w:after="0" w:afterAutospacing="0" w:line="580" w:lineRule="exact"/>
              <w:ind w:firstLine="0" w:firstLineChars="0"/>
              <w:jc w:val="both"/>
              <w:textAlignment w:val="baseline"/>
              <w:rPr>
                <w:rFonts w:hint="eastAsia"/>
                <w:b w:val="0"/>
                <w:i w:val="0"/>
                <w:caps w:val="0"/>
                <w:color w:val="000000"/>
                <w:spacing w:val="0"/>
                <w:w w:val="100"/>
                <w:sz w:val="20"/>
                <w:lang w:eastAsia="zh-CN"/>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w:t>
            </w:r>
            <w:r>
              <w:rPr>
                <w:rFonts w:hint="eastAsia"/>
                <w:b w:val="0"/>
                <w:i w:val="0"/>
                <w:caps w:val="0"/>
                <w:color w:val="000000"/>
                <w:spacing w:val="0"/>
                <w:w w:val="100"/>
                <w:sz w:val="28"/>
                <w:lang w:eastAsia="zh-CN"/>
              </w:rPr>
              <w:t>1、负责贯彻执行国家铁路运输的法律法规和各项政策，制订地方性铁路运输管理实施细则和相关制度，管理全市地方性铁路运输工作。</w:t>
            </w:r>
          </w:p>
          <w:p>
            <w:pPr>
              <w:snapToGrid/>
              <w:spacing w:before="0" w:beforeAutospacing="0" w:after="0" w:afterAutospacing="0" w:line="580" w:lineRule="exact"/>
              <w:ind w:firstLine="0" w:firstLineChars="0"/>
              <w:jc w:val="both"/>
              <w:textAlignment w:val="baseline"/>
              <w:rPr>
                <w:rFonts w:hint="eastAsia"/>
                <w:b w:val="0"/>
                <w:i w:val="0"/>
                <w:caps w:val="0"/>
                <w:color w:val="000000"/>
                <w:spacing w:val="0"/>
                <w:w w:val="100"/>
                <w:sz w:val="20"/>
                <w:lang w:eastAsia="zh-CN"/>
              </w:rPr>
            </w:pPr>
            <w:r>
              <w:rPr>
                <w:rFonts w:hint="eastAsia"/>
                <w:b w:val="0"/>
                <w:i w:val="0"/>
                <w:caps w:val="0"/>
                <w:color w:val="000000"/>
                <w:spacing w:val="0"/>
                <w:w w:val="100"/>
                <w:sz w:val="28"/>
                <w:lang w:eastAsia="zh-CN"/>
              </w:rPr>
              <w:t>　　2、负责境内专用铁路、铁路专用线、地方铁路(含城际铁路)、合资铁路的行业管理及护路联防工作。</w:t>
            </w:r>
          </w:p>
          <w:p>
            <w:pPr>
              <w:snapToGrid/>
              <w:spacing w:before="0" w:beforeAutospacing="0" w:after="0" w:afterAutospacing="0" w:line="580" w:lineRule="exact"/>
              <w:ind w:firstLine="0" w:firstLineChars="0"/>
              <w:jc w:val="both"/>
              <w:textAlignment w:val="baseline"/>
              <w:rPr>
                <w:rFonts w:hint="eastAsia"/>
                <w:b w:val="0"/>
                <w:i w:val="0"/>
                <w:caps w:val="0"/>
                <w:color w:val="000000"/>
                <w:spacing w:val="0"/>
                <w:w w:val="100"/>
                <w:sz w:val="20"/>
                <w:lang w:eastAsia="zh-CN"/>
              </w:rPr>
            </w:pPr>
            <w:r>
              <w:rPr>
                <w:rFonts w:hint="eastAsia"/>
                <w:b w:val="0"/>
                <w:i w:val="0"/>
                <w:caps w:val="0"/>
                <w:color w:val="000000"/>
                <w:spacing w:val="0"/>
                <w:w w:val="100"/>
                <w:sz w:val="28"/>
                <w:lang w:eastAsia="zh-CN"/>
              </w:rPr>
              <w:t>　　3、负责辖区内铁路道口安全管理工作；组织、协调各主管部门对铁路道口进行综合治理，并承担地方铁路应急管理工作</w:t>
            </w:r>
          </w:p>
          <w:p>
            <w:pPr>
              <w:snapToGrid/>
              <w:spacing w:before="0" w:beforeAutospacing="0" w:after="0" w:afterAutospacing="0" w:line="580" w:lineRule="exact"/>
              <w:ind w:firstLine="0" w:firstLineChars="0"/>
              <w:jc w:val="both"/>
              <w:textAlignment w:val="baseline"/>
              <w:rPr>
                <w:rFonts w:hint="eastAsia"/>
                <w:b w:val="0"/>
                <w:i w:val="0"/>
                <w:caps w:val="0"/>
                <w:color w:val="000000"/>
                <w:spacing w:val="0"/>
                <w:w w:val="100"/>
                <w:sz w:val="20"/>
                <w:lang w:eastAsia="zh-CN"/>
              </w:rPr>
            </w:pPr>
            <w:r>
              <w:rPr>
                <w:rFonts w:hint="eastAsia"/>
                <w:b w:val="0"/>
                <w:i w:val="0"/>
                <w:caps w:val="0"/>
                <w:color w:val="000000"/>
                <w:spacing w:val="0"/>
                <w:w w:val="100"/>
                <w:sz w:val="28"/>
                <w:lang w:eastAsia="zh-CN"/>
              </w:rPr>
              <w:t>　　4、 负责宣传贯彻铁路安全管理法律法规和政策。协同国家铁路主管部门及铁路管理机构，调查处理或根据授权主持调查处理辖区内发生的铁路安全事故。</w:t>
            </w:r>
          </w:p>
          <w:p>
            <w:pPr>
              <w:snapToGrid/>
              <w:spacing w:before="0" w:beforeAutospacing="0" w:after="0" w:afterAutospacing="0" w:line="580" w:lineRule="exact"/>
              <w:ind w:firstLine="0" w:firstLineChars="0"/>
              <w:jc w:val="both"/>
              <w:textAlignment w:val="baseline"/>
              <w:rPr>
                <w:rFonts w:hint="eastAsia"/>
                <w:b w:val="0"/>
                <w:i w:val="0"/>
                <w:caps w:val="0"/>
                <w:color w:val="000000"/>
                <w:spacing w:val="0"/>
                <w:w w:val="100"/>
                <w:sz w:val="20"/>
                <w:lang w:eastAsia="zh-CN"/>
              </w:rPr>
            </w:pPr>
            <w:r>
              <w:rPr>
                <w:rFonts w:hint="eastAsia"/>
                <w:b w:val="0"/>
                <w:i w:val="0"/>
                <w:caps w:val="0"/>
                <w:color w:val="000000"/>
                <w:spacing w:val="0"/>
                <w:w w:val="100"/>
                <w:sz w:val="28"/>
                <w:lang w:eastAsia="zh-CN"/>
              </w:rPr>
              <w:t>　　5、配合物价部门制定铁路经营、服务、管理等方面的收费项目和收费标准，检查监督行业收费行为。</w:t>
            </w:r>
          </w:p>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b w:val="0"/>
                <w:i w:val="0"/>
                <w:caps w:val="0"/>
                <w:color w:val="000000"/>
                <w:spacing w:val="0"/>
                <w:w w:val="100"/>
                <w:sz w:val="28"/>
                <w:lang w:eastAsia="zh-CN"/>
              </w:rPr>
              <w:t>　　6、承办市委、市政府和上级主管部门交办的其他工作。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w:t>
            </w:r>
            <w:r>
              <w:rPr>
                <w:rFonts w:hint="eastAsia"/>
                <w:b w:val="0"/>
                <w:i w:val="0"/>
                <w:caps w:val="0"/>
                <w:color w:val="000000"/>
                <w:spacing w:val="0"/>
                <w:w w:val="100"/>
                <w:sz w:val="28"/>
                <w:lang w:eastAsia="zh-CN"/>
              </w:rPr>
              <w:t>岳阳市铁路管理处隶属于岳阳市交通运输局的全额拨款正科级事业单位，领导岗位一正三副，在编正式员工19人，内设办公室、运输安全室、安全道口管理室、财务室。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黑体" w:hAnsi="宋体" w:eastAsia="黑体" w:cs="黑体"/>
                <w:b w:val="0"/>
                <w:i w:val="0"/>
                <w:iCs w:val="0"/>
                <w:caps w:val="0"/>
                <w:color w:val="000000"/>
                <w:spacing w:val="0"/>
                <w:w w:val="100"/>
                <w:sz w:val="28"/>
                <w:szCs w:val="28"/>
              </w:rPr>
            </w:pPr>
            <w:r>
              <w:rPr>
                <w:rFonts w:hint="eastAsia" w:ascii="黑体" w:hAnsi="宋体" w:eastAsia="黑体" w:cs="黑体"/>
                <w:b w:val="0"/>
                <w:i w:val="0"/>
                <w:iCs w:val="0"/>
                <w:caps w:val="0"/>
                <w:color w:val="000000"/>
                <w:spacing w:val="0"/>
                <w:w w:val="100"/>
                <w:kern w:val="0"/>
                <w:sz w:val="28"/>
                <w:szCs w:val="28"/>
                <w:lang w:val="en-US" w:eastAsia="zh-CN" w:bidi="ar"/>
              </w:rPr>
              <w:t xml:space="preserve">    二、单位收支总体情况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560" w:firstLineChars="0"/>
              <w:jc w:val="left"/>
              <w:textAlignment w:val="center"/>
              <w:rPr>
                <w:rFonts w:hint="eastAsia" w:ascii="仿宋_GB2312" w:hAnsi="宋体" w:eastAsia="仿宋_GB2312" w:cs="仿宋_GB2312"/>
                <w:b w:val="0"/>
                <w:i w:val="0"/>
                <w:iCs w:val="0"/>
                <w:caps w:val="0"/>
                <w:color w:val="000000"/>
                <w:spacing w:val="0"/>
                <w:w w:val="100"/>
                <w:kern w:val="0"/>
                <w:sz w:val="28"/>
                <w:szCs w:val="28"/>
                <w:lang w:val="en-US" w:eastAsia="zh-CN" w:bidi="ar"/>
              </w:rPr>
            </w:pPr>
            <w:r>
              <w:rPr>
                <w:rFonts w:hint="eastAsia" w:ascii="仿宋_GB2312" w:hAnsi="宋体" w:eastAsia="仿宋_GB2312" w:cs="仿宋_GB2312"/>
                <w:b w:val="0"/>
                <w:i w:val="0"/>
                <w:iCs w:val="0"/>
                <w:caps w:val="0"/>
                <w:color w:val="000000"/>
                <w:spacing w:val="0"/>
                <w:w w:val="100"/>
                <w:kern w:val="0"/>
                <w:sz w:val="28"/>
                <w:szCs w:val="28"/>
                <w:lang w:val="en-US" w:eastAsia="zh-CN" w:bidi="ar"/>
              </w:rPr>
              <w:t>本单位为二级预算单位，没有预算独立、财务独立核算的下属预算单位，因此纳入2021年部门预算公开范围的为本单位本级预算。</w:t>
            </w:r>
          </w:p>
          <w:p>
            <w:pPr>
              <w:keepLines w:val="0"/>
              <w:widowControl/>
              <w:suppressLineNumbers w:val="0"/>
              <w:snapToGrid/>
              <w:spacing w:before="0" w:beforeAutospacing="0" w:after="0" w:afterAutospacing="0" w:line="580" w:lineRule="exact"/>
              <w:ind w:firstLine="56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（一）收入预算</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本单位收入预算217.22万元，其中，一般公共预算拨款217.22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收入较去年减少4.25万元，降幅-1.9%，原因是</w:t>
            </w:r>
            <w:r>
              <w:rPr>
                <w:rFonts w:hint="eastAsia"/>
                <w:b w:val="0"/>
                <w:i w:val="0"/>
                <w:caps w:val="0"/>
                <w:color w:val="000000"/>
                <w:spacing w:val="0"/>
                <w:w w:val="100"/>
                <w:sz w:val="28"/>
                <w:lang w:eastAsia="zh-CN"/>
              </w:rPr>
              <w:t>在编人员减少2名。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2021年本单位支出预算217.22万元，其中，社会保障和就业支出21.61万元，卫生健康支出10.16万元，交通运输支出170.63万元，住房保障支出14.82万元。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支出较去年减少4.25万元，其中基本支出较去年减少1.25万元，原因是</w:t>
            </w:r>
            <w:r>
              <w:rPr>
                <w:rFonts w:hint="eastAsia"/>
                <w:b w:val="0"/>
                <w:i w:val="0"/>
                <w:caps w:val="0"/>
                <w:color w:val="000000"/>
                <w:spacing w:val="0"/>
                <w:w w:val="100"/>
                <w:sz w:val="28"/>
                <w:lang w:eastAsia="zh-CN"/>
              </w:rPr>
              <w:t>在编人员减少2名、三公经费控制到位</w:t>
            </w:r>
            <w:r>
              <w:rPr>
                <w:rFonts w:hint="eastAsia" w:ascii="仿宋_GB2312" w:hAnsi="宋体" w:eastAsia="仿宋_GB2312" w:cs="仿宋_GB2312"/>
                <w:b w:val="0"/>
                <w:i w:val="0"/>
                <w:iCs w:val="0"/>
                <w:caps w:val="0"/>
                <w:color w:val="000000"/>
                <w:spacing w:val="0"/>
                <w:w w:val="100"/>
                <w:kern w:val="0"/>
                <w:sz w:val="28"/>
                <w:szCs w:val="28"/>
                <w:lang w:val="en-US" w:eastAsia="zh-CN" w:bidi="ar"/>
              </w:rPr>
              <w:t>；项目支出较去年减少3万元，原因是</w:t>
            </w:r>
            <w:r>
              <w:rPr>
                <w:rFonts w:hint="eastAsia" w:ascii="仿宋_GB2312" w:hAnsi="宋体" w:cs="仿宋_GB2312"/>
                <w:b w:val="0"/>
                <w:i w:val="0"/>
                <w:iCs w:val="0"/>
                <w:caps w:val="0"/>
                <w:color w:val="000000"/>
                <w:spacing w:val="0"/>
                <w:w w:val="100"/>
                <w:kern w:val="0"/>
                <w:sz w:val="28"/>
                <w:szCs w:val="28"/>
                <w:lang w:val="en-US" w:eastAsia="zh-CN" w:bidi="ar"/>
              </w:rPr>
              <w:t>压减工作经费10%</w:t>
            </w:r>
            <w:r>
              <w:rPr>
                <w:rFonts w:hint="eastAsia" w:ascii="仿宋_GB2312" w:hAnsi="宋体" w:eastAsia="仿宋_GB2312" w:cs="仿宋_GB2312"/>
                <w:b w:val="0"/>
                <w:i w:val="0"/>
                <w:iCs w:val="0"/>
                <w:caps w:val="0"/>
                <w:color w:val="000000"/>
                <w:spacing w:val="0"/>
                <w:w w:val="100"/>
                <w:kern w:val="0"/>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黑体" w:hAnsi="宋体" w:eastAsia="黑体" w:cs="黑体"/>
                <w:b w:val="0"/>
                <w:i w:val="0"/>
                <w:iCs w:val="0"/>
                <w:caps w:val="0"/>
                <w:color w:val="000000"/>
                <w:spacing w:val="0"/>
                <w:w w:val="100"/>
                <w:sz w:val="28"/>
                <w:szCs w:val="28"/>
              </w:rPr>
            </w:pPr>
            <w:r>
              <w:rPr>
                <w:rFonts w:hint="eastAsia" w:ascii="黑体" w:hAnsi="宋体" w:eastAsia="黑体" w:cs="黑体"/>
                <w:b w:val="0"/>
                <w:i w:val="0"/>
                <w:iCs w:val="0"/>
                <w:caps w:val="0"/>
                <w:color w:val="000000"/>
                <w:spacing w:val="0"/>
                <w:w w:val="100"/>
                <w:kern w:val="0"/>
                <w:sz w:val="28"/>
                <w:szCs w:val="28"/>
                <w:lang w:val="en-US" w:eastAsia="zh-CN" w:bidi="ar"/>
              </w:rPr>
              <w:t xml:space="preserve">    三、一般公共预算拨款支出预算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2021年一般公共预算拨款支出预算217.22万元，其中，社会保障和就业支出21.61万元，占9.9%，卫生健康支出10.16万元，占4.7%，交通运输支出170.63万元，占78.6%，住房保障支出14.82万元，占6.8%。具体安排情况如下：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一）基本支出：2021年基本支出年初预算数为190.22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二）项目支出：2021年项目支出年初预算数为27.00万元，是指单位为完成特定行政工作任务或事业发展目标而发生的支出，包括有关业务工作经费、运行维护经费等。其中包括铁路道口安全工作经费9.00万元、社会道口及专项整治管理经费9.00万元、铁路专线运输管理9.00万元，主要用于地方铁路，社会道口管理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黑体" w:hAnsi="宋体" w:eastAsia="黑体" w:cs="黑体"/>
                <w:b w:val="0"/>
                <w:i w:val="0"/>
                <w:iCs w:val="0"/>
                <w:caps w:val="0"/>
                <w:color w:val="000000"/>
                <w:spacing w:val="0"/>
                <w:w w:val="100"/>
                <w:sz w:val="28"/>
                <w:szCs w:val="28"/>
              </w:rPr>
            </w:pPr>
            <w:r>
              <w:rPr>
                <w:rFonts w:hint="eastAsia" w:ascii="黑体" w:hAnsi="宋体" w:eastAsia="黑体" w:cs="黑体"/>
                <w:b w:val="0"/>
                <w:i w:val="0"/>
                <w:iCs w:val="0"/>
                <w:caps w:val="0"/>
                <w:color w:val="000000"/>
                <w:spacing w:val="0"/>
                <w:w w:val="100"/>
                <w:kern w:val="0"/>
                <w:sz w:val="28"/>
                <w:szCs w:val="28"/>
                <w:lang w:val="en-US" w:eastAsia="zh-CN" w:bidi="ar"/>
              </w:rPr>
              <w:t xml:space="preserve">    四、政府性基金预算支出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2021年度本单位无政府性基金安排的支出，所以公开的附件15-17为空。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黑体" w:hAnsi="宋体" w:eastAsia="黑体" w:cs="黑体"/>
                <w:b w:val="0"/>
                <w:i w:val="0"/>
                <w:iCs w:val="0"/>
                <w:caps w:val="0"/>
                <w:color w:val="000000"/>
                <w:spacing w:val="0"/>
                <w:w w:val="100"/>
                <w:sz w:val="28"/>
                <w:szCs w:val="28"/>
              </w:rPr>
            </w:pPr>
            <w:r>
              <w:rPr>
                <w:rFonts w:hint="eastAsia" w:ascii="黑体" w:hAnsi="宋体" w:eastAsia="黑体" w:cs="黑体"/>
                <w:b w:val="0"/>
                <w:i w:val="0"/>
                <w:iCs w:val="0"/>
                <w:caps w:val="0"/>
                <w:color w:val="000000"/>
                <w:spacing w:val="0"/>
                <w:w w:val="100"/>
                <w:kern w:val="0"/>
                <w:sz w:val="28"/>
                <w:szCs w:val="28"/>
                <w:lang w:val="en-US" w:eastAsia="zh-CN" w:bidi="ar"/>
              </w:rPr>
              <w:t xml:space="preserve">    五、其他重要事项的情况说明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ascii="楷体_GB2312" w:hAnsi="宋体" w:eastAsia="楷体_GB2312" w:cs="楷体_GB2312"/>
                <w:b/>
                <w:bCs/>
                <w:i w:val="0"/>
                <w:iCs w:val="0"/>
                <w:caps w:val="0"/>
                <w:color w:val="000000"/>
                <w:spacing w:val="0"/>
                <w:w w:val="100"/>
                <w:sz w:val="28"/>
                <w:szCs w:val="28"/>
              </w:rPr>
            </w:pPr>
            <w:r>
              <w:rPr>
                <w:rFonts w:hint="eastAsia" w:ascii="楷体_GB2312" w:hAnsi="宋体" w:eastAsia="楷体_GB2312" w:cs="楷体_GB2312"/>
                <w:b/>
                <w:bCs/>
                <w:i w:val="0"/>
                <w:iCs w:val="0"/>
                <w:caps w:val="0"/>
                <w:color w:val="000000"/>
                <w:spacing w:val="0"/>
                <w:w w:val="100"/>
                <w:kern w:val="0"/>
                <w:sz w:val="28"/>
                <w:szCs w:val="28"/>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本单位2021年机关运行经费当年一般公共预算拨款20.15万元。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较去年减少3.14万元，降幅-13.5%，原因是</w:t>
            </w:r>
            <w:r>
              <w:rPr>
                <w:rFonts w:hint="eastAsia"/>
                <w:b w:val="0"/>
                <w:i w:val="0"/>
                <w:caps w:val="0"/>
                <w:color w:val="000000"/>
                <w:spacing w:val="0"/>
                <w:w w:val="100"/>
                <w:sz w:val="28"/>
                <w:lang w:eastAsia="zh-CN"/>
              </w:rPr>
              <w:t>在编人员减少2名、三公经费控制到位。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楷体_GB2312" w:hAnsi="宋体" w:eastAsia="楷体_GB2312" w:cs="楷体_GB2312"/>
                <w:b/>
                <w:bCs/>
                <w:i w:val="0"/>
                <w:iCs w:val="0"/>
                <w:caps w:val="0"/>
                <w:color w:val="000000"/>
                <w:spacing w:val="0"/>
                <w:w w:val="100"/>
                <w:sz w:val="28"/>
                <w:szCs w:val="28"/>
              </w:rPr>
            </w:pPr>
            <w:r>
              <w:rPr>
                <w:rFonts w:hint="eastAsia" w:ascii="楷体_GB2312" w:hAnsi="宋体" w:eastAsia="楷体_GB2312" w:cs="楷体_GB2312"/>
                <w:b/>
                <w:bCs/>
                <w:i w:val="0"/>
                <w:iCs w:val="0"/>
                <w:caps w:val="0"/>
                <w:color w:val="000000"/>
                <w:spacing w:val="0"/>
                <w:w w:val="100"/>
                <w:kern w:val="0"/>
                <w:sz w:val="28"/>
                <w:szCs w:val="28"/>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本单位2021年“三公”经费预算数27.00万元，其中公务接待费17.00万元，因公出国（境）费0.00万元，公务用车购置及运行费等10.00万元（其中公务用车购置费0.00万元，公务用车运行费9.00万元）。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default" w:ascii="仿宋_GB2312" w:hAnsi="宋体" w:eastAsia="仿宋_GB2312" w:cs="仿宋_GB2312"/>
                <w:b w:val="0"/>
                <w:i w:val="0"/>
                <w:iCs w:val="0"/>
                <w:caps w:val="0"/>
                <w:color w:val="000000"/>
                <w:spacing w:val="0"/>
                <w:w w:val="100"/>
                <w:sz w:val="28"/>
                <w:szCs w:val="28"/>
                <w:lang w:val="en-US"/>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w:t>
            </w:r>
            <w:r>
              <w:rPr>
                <w:rFonts w:hint="eastAsia" w:ascii="仿宋_GB2312" w:hAnsi="宋体" w:cs="仿宋_GB2312"/>
                <w:b w:val="0"/>
                <w:i w:val="0"/>
                <w:iCs w:val="0"/>
                <w:caps w:val="0"/>
                <w:color w:val="000000"/>
                <w:spacing w:val="0"/>
                <w:w w:val="100"/>
                <w:kern w:val="0"/>
                <w:sz w:val="28"/>
                <w:szCs w:val="28"/>
                <w:lang w:val="en-US" w:eastAsia="zh-CN" w:bidi="ar"/>
              </w:rPr>
              <w:t>与</w:t>
            </w:r>
            <w:r>
              <w:rPr>
                <w:rFonts w:hint="eastAsia" w:ascii="仿宋_GB2312" w:hAnsi="宋体" w:eastAsia="仿宋_GB2312" w:cs="仿宋_GB2312"/>
                <w:b w:val="0"/>
                <w:i w:val="0"/>
                <w:iCs w:val="0"/>
                <w:caps w:val="0"/>
                <w:color w:val="000000"/>
                <w:spacing w:val="0"/>
                <w:w w:val="100"/>
                <w:kern w:val="0"/>
                <w:sz w:val="28"/>
                <w:szCs w:val="28"/>
                <w:lang w:val="en-US" w:eastAsia="zh-CN" w:bidi="ar"/>
              </w:rPr>
              <w:t>上一年</w:t>
            </w:r>
            <w:r>
              <w:rPr>
                <w:rFonts w:hint="eastAsia" w:ascii="仿宋_GB2312" w:hAnsi="宋体" w:cs="仿宋_GB2312"/>
                <w:b w:val="0"/>
                <w:i w:val="0"/>
                <w:iCs w:val="0"/>
                <w:caps w:val="0"/>
                <w:color w:val="000000"/>
                <w:spacing w:val="0"/>
                <w:w w:val="100"/>
                <w:kern w:val="0"/>
                <w:sz w:val="28"/>
                <w:szCs w:val="28"/>
                <w:lang w:val="en-US" w:eastAsia="zh-CN" w:bidi="ar"/>
              </w:rPr>
              <w:t>基本持平。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楷体_GB2312" w:hAnsi="宋体" w:eastAsia="楷体_GB2312" w:cs="楷体_GB2312"/>
                <w:b/>
                <w:bCs/>
                <w:i w:val="0"/>
                <w:iCs w:val="0"/>
                <w:caps w:val="0"/>
                <w:color w:val="000000"/>
                <w:spacing w:val="0"/>
                <w:w w:val="100"/>
                <w:sz w:val="28"/>
                <w:szCs w:val="28"/>
              </w:rPr>
            </w:pPr>
            <w:r>
              <w:rPr>
                <w:rFonts w:hint="eastAsia" w:ascii="楷体_GB2312" w:hAnsi="宋体" w:eastAsia="楷体_GB2312" w:cs="楷体_GB2312"/>
                <w:b/>
                <w:bCs/>
                <w:i w:val="0"/>
                <w:iCs w:val="0"/>
                <w:caps w:val="0"/>
                <w:color w:val="000000"/>
                <w:spacing w:val="0"/>
                <w:w w:val="100"/>
                <w:kern w:val="0"/>
                <w:sz w:val="28"/>
                <w:szCs w:val="28"/>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2021年度本单位未计划召开会议；</w:t>
            </w:r>
            <w:r>
              <w:rPr>
                <w:rFonts w:hint="eastAsia" w:ascii="仿宋_GB2312" w:hAnsi="宋体" w:eastAsia="仿宋_GB2312" w:cs="仿宋_GB2312"/>
                <w:b w:val="0"/>
                <w:i w:val="0"/>
                <w:caps w:val="0"/>
                <w:color w:val="000000"/>
                <w:spacing w:val="0"/>
                <w:w w:val="100"/>
                <w:sz w:val="28"/>
                <w:highlight w:val="white"/>
              </w:rPr>
              <w:t>培训费预算0.40万元，拟开展2次培训，人数60人，内容为党员干部党性教育培训以及铁路运输安全知识、铁路沿线安全隐患整理等相关业务工作培训。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2021年度本单位未计划举办节庆、晚会、论坛、赛事活动。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楷体_GB2312" w:hAnsi="宋体" w:eastAsia="楷体_GB2312" w:cs="楷体_GB2312"/>
                <w:b/>
                <w:bCs/>
                <w:i w:val="0"/>
                <w:iCs w:val="0"/>
                <w:caps w:val="0"/>
                <w:color w:val="000000"/>
                <w:spacing w:val="0"/>
                <w:w w:val="100"/>
                <w:sz w:val="28"/>
                <w:szCs w:val="28"/>
              </w:rPr>
            </w:pPr>
            <w:r>
              <w:rPr>
                <w:rFonts w:hint="eastAsia" w:ascii="楷体_GB2312" w:hAnsi="宋体" w:eastAsia="楷体_GB2312" w:cs="楷体_GB2312"/>
                <w:b/>
                <w:bCs/>
                <w:i w:val="0"/>
                <w:iCs w:val="0"/>
                <w:caps w:val="0"/>
                <w:color w:val="000000"/>
                <w:spacing w:val="0"/>
                <w:w w:val="100"/>
                <w:kern w:val="0"/>
                <w:sz w:val="28"/>
                <w:szCs w:val="28"/>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2021年度本单位未安排政府采购预算。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楷体_GB2312" w:hAnsi="宋体" w:eastAsia="楷体_GB2312" w:cs="楷体_GB2312"/>
                <w:b/>
                <w:bCs/>
                <w:i w:val="0"/>
                <w:iCs w:val="0"/>
                <w:caps w:val="0"/>
                <w:color w:val="000000"/>
                <w:spacing w:val="0"/>
                <w:w w:val="100"/>
                <w:sz w:val="28"/>
                <w:szCs w:val="28"/>
              </w:rPr>
            </w:pPr>
            <w:r>
              <w:rPr>
                <w:rFonts w:hint="eastAsia" w:ascii="楷体_GB2312" w:hAnsi="宋体" w:eastAsia="楷体_GB2312" w:cs="楷体_GB2312"/>
                <w:b/>
                <w:bCs/>
                <w:i w:val="0"/>
                <w:iCs w:val="0"/>
                <w:caps w:val="0"/>
                <w:color w:val="000000"/>
                <w:spacing w:val="0"/>
                <w:w w:val="100"/>
                <w:kern w:val="0"/>
                <w:sz w:val="28"/>
                <w:szCs w:val="28"/>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截至上一年12月底，本单位共有车辆</w:t>
            </w:r>
            <w:r>
              <w:rPr>
                <w:rFonts w:hint="eastAsia" w:ascii="仿宋_GB2312" w:hAnsi="宋体" w:cs="仿宋_GB2312"/>
                <w:b w:val="0"/>
                <w:i w:val="0"/>
                <w:iCs w:val="0"/>
                <w:caps w:val="0"/>
                <w:color w:val="000000"/>
                <w:spacing w:val="0"/>
                <w:w w:val="100"/>
                <w:kern w:val="0"/>
                <w:sz w:val="28"/>
                <w:szCs w:val="28"/>
                <w:lang w:val="en-US" w:eastAsia="zh-CN" w:bidi="ar"/>
              </w:rPr>
              <w:t>2</w:t>
            </w:r>
            <w:r>
              <w:rPr>
                <w:rFonts w:hint="eastAsia" w:ascii="仿宋_GB2312" w:hAnsi="宋体" w:eastAsia="仿宋_GB2312" w:cs="仿宋_GB2312"/>
                <w:b w:val="0"/>
                <w:i w:val="0"/>
                <w:iCs w:val="0"/>
                <w:caps w:val="0"/>
                <w:color w:val="000000"/>
                <w:spacing w:val="0"/>
                <w:w w:val="100"/>
                <w:kern w:val="0"/>
                <w:sz w:val="28"/>
                <w:szCs w:val="28"/>
                <w:lang w:val="en-US" w:eastAsia="zh-CN" w:bidi="ar"/>
              </w:rPr>
              <w:t>辆，其中领导干部用车</w:t>
            </w:r>
            <w:r>
              <w:rPr>
                <w:rFonts w:hint="eastAsia" w:ascii="仿宋_GB2312" w:hAnsi="宋体" w:cs="仿宋_GB2312"/>
                <w:b w:val="0"/>
                <w:i w:val="0"/>
                <w:iCs w:val="0"/>
                <w:caps w:val="0"/>
                <w:color w:val="000000"/>
                <w:spacing w:val="0"/>
                <w:w w:val="100"/>
                <w:kern w:val="0"/>
                <w:sz w:val="28"/>
                <w:szCs w:val="28"/>
                <w:lang w:val="en-US" w:eastAsia="zh-CN" w:bidi="ar"/>
              </w:rPr>
              <w:t>0</w:t>
            </w:r>
            <w:r>
              <w:rPr>
                <w:rFonts w:hint="eastAsia" w:ascii="仿宋_GB2312" w:hAnsi="宋体" w:eastAsia="仿宋_GB2312" w:cs="仿宋_GB2312"/>
                <w:b w:val="0"/>
                <w:i w:val="0"/>
                <w:iCs w:val="0"/>
                <w:caps w:val="0"/>
                <w:color w:val="000000"/>
                <w:spacing w:val="0"/>
                <w:w w:val="100"/>
                <w:kern w:val="0"/>
                <w:sz w:val="28"/>
                <w:szCs w:val="28"/>
                <w:lang w:val="en-US" w:eastAsia="zh-CN" w:bidi="ar"/>
              </w:rPr>
              <w:t>辆，一般公务用车</w:t>
            </w:r>
            <w:r>
              <w:rPr>
                <w:rFonts w:hint="eastAsia" w:ascii="仿宋_GB2312" w:hAnsi="宋体" w:cs="仿宋_GB2312"/>
                <w:b w:val="0"/>
                <w:i w:val="0"/>
                <w:iCs w:val="0"/>
                <w:caps w:val="0"/>
                <w:color w:val="000000"/>
                <w:spacing w:val="0"/>
                <w:w w:val="100"/>
                <w:kern w:val="0"/>
                <w:sz w:val="28"/>
                <w:szCs w:val="28"/>
                <w:lang w:val="en-US" w:eastAsia="zh-CN" w:bidi="ar"/>
              </w:rPr>
              <w:t>0</w:t>
            </w:r>
            <w:r>
              <w:rPr>
                <w:rFonts w:hint="eastAsia" w:ascii="仿宋_GB2312" w:hAnsi="宋体" w:eastAsia="仿宋_GB2312" w:cs="仿宋_GB2312"/>
                <w:b w:val="0"/>
                <w:i w:val="0"/>
                <w:iCs w:val="0"/>
                <w:caps w:val="0"/>
                <w:color w:val="000000"/>
                <w:spacing w:val="0"/>
                <w:w w:val="100"/>
                <w:kern w:val="0"/>
                <w:sz w:val="28"/>
                <w:szCs w:val="28"/>
                <w:lang w:val="en-US" w:eastAsia="zh-CN" w:bidi="ar"/>
              </w:rPr>
              <w:t>辆，其他用车</w:t>
            </w:r>
            <w:r>
              <w:rPr>
                <w:rFonts w:hint="eastAsia" w:ascii="仿宋_GB2312" w:hAnsi="宋体" w:cs="仿宋_GB2312"/>
                <w:b w:val="0"/>
                <w:i w:val="0"/>
                <w:iCs w:val="0"/>
                <w:caps w:val="0"/>
                <w:color w:val="000000"/>
                <w:spacing w:val="0"/>
                <w:w w:val="100"/>
                <w:kern w:val="0"/>
                <w:sz w:val="28"/>
                <w:szCs w:val="28"/>
                <w:lang w:val="en-US" w:eastAsia="zh-CN" w:bidi="ar"/>
              </w:rPr>
              <w:t>2</w:t>
            </w:r>
            <w:r>
              <w:rPr>
                <w:rFonts w:hint="eastAsia" w:ascii="仿宋_GB2312" w:hAnsi="宋体" w:eastAsia="仿宋_GB2312" w:cs="仿宋_GB2312"/>
                <w:b w:val="0"/>
                <w:i w:val="0"/>
                <w:iCs w:val="0"/>
                <w:caps w:val="0"/>
                <w:color w:val="000000"/>
                <w:spacing w:val="0"/>
                <w:w w:val="100"/>
                <w:kern w:val="0"/>
                <w:sz w:val="28"/>
                <w:szCs w:val="28"/>
                <w:lang w:val="en-US" w:eastAsia="zh-CN" w:bidi="ar"/>
              </w:rPr>
              <w:t>辆。单位价值50万元以上通用设备</w:t>
            </w:r>
            <w:r>
              <w:rPr>
                <w:rFonts w:hint="eastAsia" w:ascii="仿宋_GB2312" w:hAnsi="宋体" w:cs="仿宋_GB2312"/>
                <w:b w:val="0"/>
                <w:i w:val="0"/>
                <w:iCs w:val="0"/>
                <w:caps w:val="0"/>
                <w:color w:val="000000"/>
                <w:spacing w:val="0"/>
                <w:w w:val="100"/>
                <w:kern w:val="0"/>
                <w:sz w:val="28"/>
                <w:szCs w:val="28"/>
                <w:lang w:val="en-US" w:eastAsia="zh-CN" w:bidi="ar"/>
              </w:rPr>
              <w:t>0</w:t>
            </w:r>
            <w:r>
              <w:rPr>
                <w:rFonts w:hint="eastAsia" w:ascii="仿宋_GB2312" w:hAnsi="宋体" w:eastAsia="仿宋_GB2312" w:cs="仿宋_GB2312"/>
                <w:b w:val="0"/>
                <w:i w:val="0"/>
                <w:iCs w:val="0"/>
                <w:caps w:val="0"/>
                <w:color w:val="000000"/>
                <w:spacing w:val="0"/>
                <w:w w:val="100"/>
                <w:kern w:val="0"/>
                <w:sz w:val="28"/>
                <w:szCs w:val="28"/>
                <w:lang w:val="en-US" w:eastAsia="zh-CN" w:bidi="ar"/>
              </w:rPr>
              <w:t>台，单位价值100万元以上专用设备</w:t>
            </w:r>
            <w:r>
              <w:rPr>
                <w:rFonts w:hint="eastAsia" w:ascii="仿宋_GB2312" w:hAnsi="宋体" w:cs="仿宋_GB2312"/>
                <w:b w:val="0"/>
                <w:i w:val="0"/>
                <w:iCs w:val="0"/>
                <w:caps w:val="0"/>
                <w:color w:val="000000"/>
                <w:spacing w:val="0"/>
                <w:w w:val="100"/>
                <w:kern w:val="0"/>
                <w:sz w:val="28"/>
                <w:szCs w:val="28"/>
                <w:lang w:val="en-US" w:eastAsia="zh-CN" w:bidi="ar"/>
              </w:rPr>
              <w:t>0</w:t>
            </w:r>
            <w:r>
              <w:rPr>
                <w:rFonts w:hint="eastAsia" w:ascii="仿宋_GB2312" w:hAnsi="宋体" w:eastAsia="仿宋_GB2312" w:cs="仿宋_GB2312"/>
                <w:b w:val="0"/>
                <w:i w:val="0"/>
                <w:iCs w:val="0"/>
                <w:caps w:val="0"/>
                <w:color w:val="000000"/>
                <w:spacing w:val="0"/>
                <w:w w:val="100"/>
                <w:kern w:val="0"/>
                <w:sz w:val="28"/>
                <w:szCs w:val="2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2021年度本单位未计划处置或新增车辆、设备等。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楷体_GB2312" w:hAnsi="宋体" w:eastAsia="楷体_GB2312" w:cs="楷体_GB2312"/>
                <w:b/>
                <w:bCs/>
                <w:i w:val="0"/>
                <w:iCs w:val="0"/>
                <w:caps w:val="0"/>
                <w:color w:val="000000"/>
                <w:spacing w:val="0"/>
                <w:w w:val="100"/>
                <w:sz w:val="28"/>
                <w:szCs w:val="28"/>
              </w:rPr>
            </w:pPr>
            <w:r>
              <w:rPr>
                <w:rFonts w:hint="eastAsia" w:ascii="楷体_GB2312" w:hAnsi="宋体" w:eastAsia="楷体_GB2312" w:cs="楷体_GB2312"/>
                <w:b/>
                <w:bCs/>
                <w:i w:val="0"/>
                <w:iCs w:val="0"/>
                <w:caps w:val="0"/>
                <w:color w:val="000000"/>
                <w:spacing w:val="0"/>
                <w:w w:val="100"/>
                <w:kern w:val="0"/>
                <w:sz w:val="28"/>
                <w:szCs w:val="28"/>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本单位所有支出实行绩效目标管理。纳入2021年单位整体支出绩效目标的金额为217.22万元，其中，基本支出190.22万元，项目支出27.00万元，绩效目标详见文尾附表中预算公开表格的表22-23。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黑体" w:hAnsi="宋体" w:eastAsia="黑体" w:cs="黑体"/>
                <w:b w:val="0"/>
                <w:i w:val="0"/>
                <w:iCs w:val="0"/>
                <w:caps w:val="0"/>
                <w:color w:val="000000"/>
                <w:spacing w:val="0"/>
                <w:w w:val="100"/>
                <w:sz w:val="28"/>
                <w:szCs w:val="28"/>
              </w:rPr>
            </w:pPr>
            <w:r>
              <w:rPr>
                <w:rFonts w:hint="eastAsia" w:ascii="黑体" w:hAnsi="宋体" w:eastAsia="黑体" w:cs="黑体"/>
                <w:b w:val="0"/>
                <w:i w:val="0"/>
                <w:iCs w:val="0"/>
                <w:caps w:val="0"/>
                <w:color w:val="000000"/>
                <w:spacing w:val="0"/>
                <w:w w:val="100"/>
                <w:kern w:val="0"/>
                <w:sz w:val="28"/>
                <w:szCs w:val="28"/>
                <w:lang w:val="en-US" w:eastAsia="zh-CN" w:bidi="ar"/>
              </w:rPr>
              <w:t xml:space="preserve">    六、名词解释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snapToGrid/>
              <w:spacing w:before="0" w:beforeAutospacing="0" w:after="0" w:afterAutospacing="0" w:line="580" w:lineRule="exact"/>
              <w:ind w:firstLine="0" w:firstLineChars="0"/>
              <w:jc w:val="both"/>
              <w:textAlignment w:val="baseline"/>
              <w:rPr>
                <w:rFonts w:hint="eastAsia" w:ascii="仿宋_GB2312" w:hAnsi="宋体" w:eastAsia="仿宋_GB2312" w:cs="仿宋_GB2312"/>
                <w:b w:val="0"/>
                <w:i w:val="0"/>
                <w:iCs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snapToGrid/>
              <w:spacing w:before="0" w:beforeAutospacing="0" w:after="0" w:afterAutospacing="0" w:line="580" w:lineRule="exact"/>
              <w:ind w:firstLine="0" w:firstLineChars="0"/>
              <w:jc w:val="both"/>
              <w:textAlignment w:val="baseline"/>
              <w:rPr>
                <w:rFonts w:hint="eastAsia" w:ascii="仿宋_GB2312" w:hAnsi="宋体" w:eastAsia="仿宋_GB2312" w:cs="仿宋_GB2312"/>
                <w:b w:val="0"/>
                <w:i w:val="0"/>
                <w:iCs w:val="0"/>
                <w:caps w:val="0"/>
                <w:color w:val="000000"/>
                <w:spacing w:val="0"/>
                <w:w w:val="1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Lines w:val="0"/>
              <w:widowControl/>
              <w:suppressLineNumbers w:val="0"/>
              <w:snapToGrid/>
              <w:spacing w:before="0" w:beforeAutospacing="0" w:after="0" w:afterAutospacing="0" w:line="580" w:lineRule="exact"/>
              <w:ind w:firstLine="0" w:firstLineChars="0"/>
              <w:jc w:val="center"/>
              <w:textAlignment w:val="center"/>
              <w:rPr>
                <w:rFonts w:hint="eastAsia" w:ascii="黑体" w:hAnsi="宋体" w:eastAsia="黑体" w:cs="黑体"/>
                <w:b w:val="0"/>
                <w:i w:val="0"/>
                <w:iCs w:val="0"/>
                <w:caps w:val="0"/>
                <w:color w:val="000000"/>
                <w:spacing w:val="0"/>
                <w:w w:val="100"/>
                <w:sz w:val="36"/>
                <w:szCs w:val="36"/>
              </w:rPr>
            </w:pPr>
            <w:r>
              <w:rPr>
                <w:rFonts w:hint="eastAsia" w:ascii="黑体" w:hAnsi="宋体" w:eastAsia="黑体" w:cs="黑体"/>
                <w:b w:val="0"/>
                <w:i w:val="0"/>
                <w:iCs w:val="0"/>
                <w:caps w:val="0"/>
                <w:color w:val="000000"/>
                <w:spacing w:val="0"/>
                <w:w w:val="100"/>
                <w:kern w:val="0"/>
                <w:sz w:val="36"/>
                <w:szCs w:val="36"/>
                <w:lang w:val="en-US" w:eastAsia="zh-CN" w:bidi="ar"/>
              </w:rPr>
              <w:t>第二部分  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000" w:type="pct"/>
            <w:tcBorders>
              <w:top w:val="nil"/>
              <w:left w:val="nil"/>
              <w:bottom w:val="nil"/>
              <w:right w:val="nil"/>
            </w:tcBorders>
            <w:shd w:val="clear" w:color="auto" w:fill="auto"/>
            <w:vAlign w:val="center"/>
          </w:tcPr>
          <w:p>
            <w:pPr>
              <w:keepLines w:val="0"/>
              <w:widowControl/>
              <w:numPr>
                <w:ilvl w:val="0"/>
                <w:numId w:val="1"/>
              </w:numPr>
              <w:suppressLineNumbers w:val="0"/>
              <w:snapToGrid/>
              <w:spacing w:before="0" w:beforeAutospacing="0" w:after="0" w:afterAutospacing="0" w:line="580" w:lineRule="exact"/>
              <w:ind w:firstLine="0" w:firstLineChars="0"/>
              <w:jc w:val="left"/>
              <w:textAlignment w:val="center"/>
              <w:rPr>
                <w:rFonts w:hint="eastAsia" w:ascii="仿宋_GB2312" w:hAnsi="宋体" w:eastAsia="仿宋_GB2312" w:cs="仿宋_GB2312"/>
                <w:b w:val="0"/>
                <w:i w:val="0"/>
                <w:iCs w:val="0"/>
                <w:caps w:val="0"/>
                <w:color w:val="000000"/>
                <w:spacing w:val="0"/>
                <w:w w:val="100"/>
                <w:kern w:val="0"/>
                <w:sz w:val="28"/>
                <w:szCs w:val="28"/>
                <w:lang w:val="en-US" w:eastAsia="zh-CN" w:bidi="ar"/>
              </w:rPr>
            </w:pPr>
            <w:r>
              <w:rPr>
                <w:rFonts w:hint="eastAsia" w:ascii="仿宋_GB2312" w:hAnsi="宋体" w:eastAsia="仿宋_GB2312" w:cs="仿宋_GB2312"/>
                <w:b w:val="0"/>
                <w:i w:val="0"/>
                <w:iCs w:val="0"/>
                <w:caps w:val="0"/>
                <w:color w:val="000000"/>
                <w:spacing w:val="0"/>
                <w:w w:val="100"/>
                <w:kern w:val="0"/>
                <w:sz w:val="28"/>
                <w:szCs w:val="28"/>
                <w:lang w:val="en-US" w:eastAsia="zh-CN" w:bidi="ar"/>
              </w:rPr>
              <w:t>收支总表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二、收入总表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三、支出总表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四、支出预算分类汇总表（按政府预算经济分类）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五、支出预算分类汇总表（按部门预算经济分类）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六、财政拨款收支总表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七、一般公共预算支出表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八、一般公共预算基本支出表--人员经费(工资福利支出)(按政府预算经济分类)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九、一般公共预算基本支出表--人员经费(工资福利支出)(按部门预算经济分类)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十、一般公共预算基本支出表--人员经费(对个人和家庭的补助)(按政府预算经济分类)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十一、一般公共预算基本支出表--人员经费(对个人和家庭的补助)（按部门预算经济分类）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十二、一般公共预算基本支出表--公用经费(商品和服务支出)（按政府预算经济分类）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十三、一般公共预算基本支出表--公用经费(商品和服务支出)(按部门预算经济分类)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十四、一般公共预算“三公”经费支出表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十五、政府性基金预算支出表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十六、政府性基金预算支出分类汇总表（按政府预算经济分类）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十七、政府性基金预算支出分类汇总表（按部门预算经济分类）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十八、国有资产经营预算支出表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十九、纳入专户管理的非税收入拨款支出预算表(按政府预算经济分类)</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二十、纳入专户管理的非税收入拨款支出预算表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二十一、支出预算项目明细表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二十二、财政支出项目预算绩效目标申报表</w:t>
            </w:r>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二十三、部门(单位)整体支出预算绩效目标申报表</w:t>
            </w:r>
          </w:p>
          <w:p>
            <w:pPr>
              <w:keepLines w:val="0"/>
              <w:widowControl/>
              <w:numPr>
                <w:numId w:val="0"/>
              </w:numPr>
              <w:suppressLineNumbers w:val="0"/>
              <w:snapToGrid/>
              <w:spacing w:before="0" w:beforeAutospacing="0" w:after="0" w:afterAutospacing="0" w:line="580" w:lineRule="exact"/>
              <w:jc w:val="left"/>
              <w:textAlignment w:val="center"/>
              <w:rPr>
                <w:rFonts w:hint="eastAsia" w:ascii="仿宋_GB2312" w:hAnsi="宋体" w:eastAsia="仿宋_GB2312" w:cs="仿宋_GB2312"/>
                <w:b w:val="0"/>
                <w:i w:val="0"/>
                <w:iCs w:val="0"/>
                <w:caps w:val="0"/>
                <w:color w:val="000000"/>
                <w:spacing w:val="0"/>
                <w:w w:val="100"/>
                <w:sz w:val="28"/>
                <w:szCs w:val="28"/>
              </w:rPr>
            </w:pPr>
            <w:r>
              <w:rPr>
                <w:rFonts w:hint="eastAsia" w:ascii="仿宋_GB2312" w:hAnsi="宋体" w:eastAsia="仿宋_GB2312" w:cs="仿宋_GB2312"/>
                <w:b w:val="0"/>
                <w:i w:val="0"/>
                <w:iCs w:val="0"/>
                <w:caps w:val="0"/>
                <w:color w:val="000000"/>
                <w:spacing w:val="0"/>
                <w:w w:val="100"/>
                <w:kern w:val="0"/>
                <w:sz w:val="28"/>
                <w:szCs w:val="28"/>
                <w:lang w:val="en-US" w:eastAsia="zh-CN" w:bidi="ar"/>
              </w:rPr>
              <w:t>二十四、一般公共预算基本支出总表</w:t>
            </w:r>
            <w:bookmarkStart w:id="0" w:name="_GoBack"/>
            <w:bookmarkEnd w:id="0"/>
            <w:r>
              <w:rPr>
                <w:rFonts w:hint="eastAsia" w:ascii="仿宋_GB2312" w:hAnsi="宋体" w:eastAsia="仿宋_GB2312" w:cs="仿宋_GB2312"/>
                <w:b w:val="0"/>
                <w:i w:val="0"/>
                <w:iCs w:val="0"/>
                <w:caps w:val="0"/>
                <w:color w:val="000000"/>
                <w:spacing w:val="0"/>
                <w:w w:val="100"/>
                <w:kern w:val="0"/>
                <w:sz w:val="28"/>
                <w:szCs w:val="28"/>
                <w:lang w:val="en-US" w:eastAsia="zh-CN" w:bidi="ar"/>
              </w:rPr>
              <w:br w:type="textWrapping"/>
            </w:r>
            <w:r>
              <w:rPr>
                <w:rFonts w:hint="eastAsia" w:ascii="仿宋_GB2312" w:hAnsi="宋体" w:eastAsia="仿宋_GB2312" w:cs="仿宋_GB2312"/>
                <w:b w:val="0"/>
                <w:i w:val="0"/>
                <w:iCs w:val="0"/>
                <w:caps w:val="0"/>
                <w:color w:val="000000"/>
                <w:spacing w:val="0"/>
                <w:w w:val="100"/>
                <w:kern w:val="0"/>
                <w:sz w:val="28"/>
                <w:szCs w:val="28"/>
                <w:lang w:val="en-US" w:eastAsia="zh-CN" w:bidi="ar"/>
              </w:rPr>
              <w:t>注：以上单位预算公开报表中，空表表示本单位无相关收支情况。</w:t>
            </w:r>
          </w:p>
        </w:tc>
      </w:tr>
    </w:tbl>
    <w:p>
      <w:pPr>
        <w:snapToGrid/>
        <w:spacing w:before="0" w:beforeAutospacing="0" w:after="0" w:afterAutospacing="0" w:line="580" w:lineRule="exact"/>
        <w:ind w:firstLine="0" w:firstLineChars="0"/>
        <w:jc w:val="both"/>
        <w:textAlignment w:val="baseline"/>
        <w:rPr>
          <w:b w:val="0"/>
          <w:i w:val="0"/>
          <w:caps w:val="0"/>
          <w:spacing w:val="0"/>
          <w:w w:val="100"/>
          <w:sz w:val="20"/>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0DD9B"/>
    <w:multiLevelType w:val="singleLevel"/>
    <w:tmpl w:val="EDB0DD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NGFkMDMyYjJlMTAzMmJlNzRlMjFjYzM1ZGE5YWUifQ=="/>
  </w:docVars>
  <w:rsids>
    <w:rsidRoot w:val="48885009"/>
    <w:rsid w:val="01C21610"/>
    <w:rsid w:val="060F4036"/>
    <w:rsid w:val="07453DF4"/>
    <w:rsid w:val="11A7135B"/>
    <w:rsid w:val="191A1955"/>
    <w:rsid w:val="1E7B16E2"/>
    <w:rsid w:val="1FBE609F"/>
    <w:rsid w:val="2213306B"/>
    <w:rsid w:val="276852AC"/>
    <w:rsid w:val="2B036667"/>
    <w:rsid w:val="2BB313F7"/>
    <w:rsid w:val="312E36D8"/>
    <w:rsid w:val="3B1C2AEC"/>
    <w:rsid w:val="3B51265F"/>
    <w:rsid w:val="47422AD1"/>
    <w:rsid w:val="48885009"/>
    <w:rsid w:val="4E542F0D"/>
    <w:rsid w:val="536C2083"/>
    <w:rsid w:val="55FC0B81"/>
    <w:rsid w:val="631870C9"/>
    <w:rsid w:val="69647061"/>
    <w:rsid w:val="6A161E4A"/>
    <w:rsid w:val="6E2C05BA"/>
    <w:rsid w:val="707F6E1E"/>
    <w:rsid w:val="796D41E4"/>
    <w:rsid w:val="7B181F7D"/>
    <w:rsid w:val="7DDE2FF4"/>
    <w:rsid w:val="7E15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3204</Words>
  <Characters>3469</Characters>
  <Lines>0</Lines>
  <Paragraphs>0</Paragraphs>
  <TotalTime>0</TotalTime>
  <ScaleCrop>false</ScaleCrop>
  <LinksUpToDate>false</LinksUpToDate>
  <CharactersWithSpaces>3642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戴 岑 </cp:lastModifiedBy>
  <dcterms:modified xsi:type="dcterms:W3CDTF">2022-09-06T01:37:03Z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7B77559ADF8746D09E2C27DE07A7B442</vt:lpwstr>
  </property>
</Properties>
</file>