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9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96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8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iCs w:val="0"/>
                <w:color w:val="auto"/>
                <w:sz w:val="36"/>
                <w:szCs w:val="36"/>
                <w:u w:val="none"/>
              </w:rPr>
            </w:pPr>
            <w:r>
              <w:rPr>
                <w:rFonts w:hint="eastAsia" w:ascii="方正小标宋简体" w:hAnsi="方正小标宋简体" w:eastAsia="方正小标宋简体" w:cs="方正小标宋简体"/>
                <w:i w:val="0"/>
                <w:iCs w:val="0"/>
                <w:color w:val="auto"/>
                <w:kern w:val="0"/>
                <w:sz w:val="36"/>
                <w:szCs w:val="36"/>
                <w:u w:val="none"/>
                <w:lang w:val="en-US" w:eastAsia="zh-CN" w:bidi="ar"/>
              </w:rPr>
              <w:t>动物疫病预防控制中心2021年度单位预算公开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黑体" w:hAnsi="宋体" w:eastAsia="黑体" w:cs="黑体"/>
                <w:i w:val="0"/>
                <w:iCs w:val="0"/>
                <w:color w:val="auto"/>
                <w:sz w:val="36"/>
                <w:szCs w:val="36"/>
                <w:u w:val="none"/>
              </w:rPr>
            </w:pPr>
            <w:r>
              <w:rPr>
                <w:rFonts w:hint="eastAsia" w:ascii="黑体" w:hAnsi="宋体" w:eastAsia="黑体" w:cs="黑体"/>
                <w:i w:val="0"/>
                <w:iCs w:val="0"/>
                <w:color w:val="auto"/>
                <w:kern w:val="0"/>
                <w:sz w:val="36"/>
                <w:szCs w:val="36"/>
                <w:u w:val="none"/>
                <w:lang w:val="en-US" w:eastAsia="zh-CN" w:bidi="ar"/>
              </w:rPr>
              <w:t>目录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190" w:hRule="atLeast"/>
        </w:trPr>
        <w:tc>
          <w:tcPr>
            <w:tcW w:w="9962" w:type="dxa"/>
            <w:tcBorders>
              <w:top w:val="nil"/>
              <w:left w:val="nil"/>
              <w:bottom w:val="nil"/>
              <w:right w:val="nil"/>
            </w:tcBorders>
            <w:shd w:val="clear" w:color="auto" w:fill="auto"/>
            <w:vAlign w:val="center"/>
          </w:tcPr>
          <w:p>
            <w:pPr>
              <w:keepNext w:val="0"/>
              <w:keepLines w:val="0"/>
              <w:widowControl/>
              <w:numPr>
                <w:ilvl w:val="0"/>
                <w:numId w:val="1"/>
              </w:numPr>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2021年单位预算说明</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第二部分  单位预算公开表格</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一、收支总表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二、收入总表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三、支出总表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四、支出预算分类汇总表（按政府预算经济分类）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五、支出预算分类汇总表（按部门预算经济分类）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六、财政拨款收支总表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七、一般公共预算支出表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八、一般公共预算基本支出表--人员经费(工资福利支出)(按政府预算经济分类)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九、一般公共预算基本支出表--人员经费(工资福利支出)(按部门预算经济分类)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十、一般公共预算基本支出表--人员经费(对个人和家庭的补助)(按政府预算经济分类)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十一、一般公共预算基本支出表--人员经费(对个人和家庭的补助)（按部门预算经济分类）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十二、一般公共预算基本支出表--公用经费(商品和服务支出)（按政府预算经济分类）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十三、一般公共预算基本支出表--公用经费(商品和服务支出)(按部门预算经济分类)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十四、一般公共预算“三公”经费支出表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十五、政府性基金预算支出表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十六、政府性基金预算支出分类汇总表（按政府预算经济分类）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十七、政府性基金预算支出分类汇总表（按部门预算经济分类）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十八、国有资产经营预算支出表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十九、纳入专户管理的非税收入拨款支出预算表(按政府预算经济分类)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二十、纳入专户管理的非税收入拨款支出预算表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二十一、支出预算项目明细表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二十二、财政支出项目预算绩效目标申报表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二十三、部门(单位)整体支出预算绩效目标申报表</w:t>
            </w:r>
          </w:p>
          <w:p>
            <w:pPr>
              <w:keepNext w:val="0"/>
              <w:keepLines w:val="0"/>
              <w:widowControl/>
              <w:numPr>
                <w:ilvl w:val="0"/>
                <w:numId w:val="0"/>
              </w:numPr>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cs="仿宋_GB2312"/>
                <w:i w:val="0"/>
                <w:iCs w:val="0"/>
                <w:color w:val="auto"/>
                <w:kern w:val="0"/>
                <w:sz w:val="28"/>
                <w:szCs w:val="28"/>
                <w:u w:val="none"/>
                <w:lang w:val="en-US" w:eastAsia="zh-CN" w:bidi="ar"/>
              </w:rPr>
              <w:t>二十四、一般公共预算基本支出总表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注：以上单位预算公开报表中，空表表示本单位无相关收支情况。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36"/>
                <w:szCs w:val="36"/>
                <w:u w:val="none"/>
              </w:rPr>
            </w:pPr>
            <w:r>
              <w:rPr>
                <w:rFonts w:hint="eastAsia" w:ascii="黑体" w:hAnsi="宋体" w:eastAsia="黑体" w:cs="黑体"/>
                <w:i w:val="0"/>
                <w:iCs w:val="0"/>
                <w:color w:val="auto"/>
                <w:kern w:val="0"/>
                <w:sz w:val="36"/>
                <w:szCs w:val="36"/>
                <w:u w:val="none"/>
                <w:lang w:val="en-US" w:eastAsia="zh-CN" w:bidi="ar"/>
              </w:rPr>
              <w:t>第一部分    2021年单位预算说明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一、单位基本概况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（一）职能职责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ind w:firstLine="0" w:firstLineChars="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cs="仿宋_GB2312"/>
                <w:i w:val="0"/>
                <w:iCs w:val="0"/>
                <w:color w:val="auto"/>
                <w:kern w:val="0"/>
                <w:sz w:val="28"/>
                <w:szCs w:val="28"/>
                <w:u w:val="none"/>
                <w:lang w:val="en-US" w:eastAsia="zh-CN" w:bidi="ar"/>
              </w:rPr>
              <w:t>　　</w:t>
            </w:r>
            <w:r>
              <w:rPr>
                <w:rFonts w:hint="eastAsia" w:ascii="仿宋_GB2312" w:hAnsi="宋体" w:eastAsia="仿宋_GB2312" w:cs="仿宋_GB2312"/>
                <w:i w:val="0"/>
                <w:iCs w:val="0"/>
                <w:color w:val="auto"/>
                <w:kern w:val="0"/>
                <w:sz w:val="28"/>
                <w:szCs w:val="28"/>
                <w:u w:val="none"/>
                <w:lang w:val="en-US" w:eastAsia="zh-CN" w:bidi="ar"/>
              </w:rPr>
              <w:t>岳阳市动物疫病预防控制中心(加挂“岳阳市动物血吸虫病防治工作站”牌子），为正科级公益一类事业单位，隶属岳阳市农业农村局。主要工作职责如下：</w:t>
            </w:r>
          </w:p>
          <w:p>
            <w:pPr>
              <w:keepNext w:val="0"/>
              <w:keepLines w:val="0"/>
              <w:widowControl/>
              <w:suppressLineNumbers w:val="0"/>
              <w:ind w:firstLine="0" w:firstLineChars="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cs="仿宋_GB2312"/>
                <w:i w:val="0"/>
                <w:iCs w:val="0"/>
                <w:color w:val="auto"/>
                <w:kern w:val="0"/>
                <w:sz w:val="28"/>
                <w:szCs w:val="28"/>
                <w:u w:val="none"/>
                <w:lang w:val="en-US" w:eastAsia="zh-CN" w:bidi="ar"/>
              </w:rPr>
              <w:t>　　</w:t>
            </w:r>
            <w:r>
              <w:rPr>
                <w:rFonts w:hint="eastAsia" w:ascii="仿宋_GB2312" w:hAnsi="宋体" w:eastAsia="仿宋_GB2312" w:cs="仿宋_GB2312"/>
                <w:i w:val="0"/>
                <w:iCs w:val="0"/>
                <w:color w:val="auto"/>
                <w:kern w:val="0"/>
                <w:sz w:val="28"/>
                <w:szCs w:val="28"/>
                <w:u w:val="none"/>
                <w:lang w:val="en-US" w:eastAsia="zh-CN" w:bidi="ar"/>
              </w:rPr>
              <w:t>1、动物疫病流行病学调查；</w:t>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p>
          <w:p>
            <w:pPr>
              <w:keepNext w:val="0"/>
              <w:keepLines w:val="0"/>
              <w:widowControl/>
              <w:suppressLineNumbers w:val="0"/>
              <w:ind w:firstLine="0" w:firstLineChars="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cs="仿宋_GB2312"/>
                <w:i w:val="0"/>
                <w:iCs w:val="0"/>
                <w:color w:val="auto"/>
                <w:kern w:val="0"/>
                <w:sz w:val="28"/>
                <w:szCs w:val="28"/>
                <w:u w:val="none"/>
                <w:lang w:val="en-US" w:eastAsia="zh-CN" w:bidi="ar"/>
              </w:rPr>
              <w:t>　　</w:t>
            </w:r>
            <w:r>
              <w:rPr>
                <w:rFonts w:hint="eastAsia" w:ascii="仿宋_GB2312" w:hAnsi="宋体" w:eastAsia="仿宋_GB2312" w:cs="仿宋_GB2312"/>
                <w:i w:val="0"/>
                <w:iCs w:val="0"/>
                <w:color w:val="auto"/>
                <w:kern w:val="0"/>
                <w:sz w:val="28"/>
                <w:szCs w:val="28"/>
                <w:u w:val="none"/>
                <w:lang w:val="en-US" w:eastAsia="zh-CN" w:bidi="ar"/>
              </w:rPr>
              <w:t>2、动物疫病的监测、检测、诊断、疫情报告及其他预防、控制等技术工作；</w:t>
            </w:r>
          </w:p>
          <w:p>
            <w:pPr>
              <w:keepNext w:val="0"/>
              <w:keepLines w:val="0"/>
              <w:widowControl/>
              <w:suppressLineNumbers w:val="0"/>
              <w:ind w:firstLine="0" w:firstLineChars="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cs="仿宋_GB2312"/>
                <w:i w:val="0"/>
                <w:iCs w:val="0"/>
                <w:color w:val="auto"/>
                <w:kern w:val="0"/>
                <w:sz w:val="28"/>
                <w:szCs w:val="28"/>
                <w:u w:val="none"/>
                <w:lang w:val="en-US" w:eastAsia="zh-CN" w:bidi="ar"/>
              </w:rPr>
              <w:t>　　</w:t>
            </w:r>
            <w:r>
              <w:rPr>
                <w:rFonts w:hint="eastAsia" w:ascii="仿宋_GB2312" w:hAnsi="宋体" w:eastAsia="仿宋_GB2312" w:cs="仿宋_GB2312"/>
                <w:i w:val="0"/>
                <w:iCs w:val="0"/>
                <w:color w:val="auto"/>
                <w:kern w:val="0"/>
                <w:sz w:val="28"/>
                <w:szCs w:val="28"/>
                <w:u w:val="none"/>
                <w:lang w:val="en-US" w:eastAsia="zh-CN" w:bidi="ar"/>
              </w:rPr>
              <w:t>3、动物血吸虫病防治；</w:t>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p>
          <w:p>
            <w:pPr>
              <w:keepNext w:val="0"/>
              <w:keepLines w:val="0"/>
              <w:widowControl/>
              <w:suppressLineNumbers w:val="0"/>
              <w:ind w:firstLine="0" w:firstLineChars="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cs="仿宋_GB2312"/>
                <w:i w:val="0"/>
                <w:iCs w:val="0"/>
                <w:color w:val="auto"/>
                <w:kern w:val="0"/>
                <w:sz w:val="28"/>
                <w:szCs w:val="28"/>
                <w:u w:val="none"/>
                <w:lang w:val="en-US" w:eastAsia="zh-CN" w:bidi="ar"/>
              </w:rPr>
              <w:t>　　</w:t>
            </w:r>
            <w:r>
              <w:rPr>
                <w:rFonts w:hint="eastAsia" w:ascii="仿宋_GB2312" w:hAnsi="宋体" w:eastAsia="仿宋_GB2312" w:cs="仿宋_GB2312"/>
                <w:i w:val="0"/>
                <w:iCs w:val="0"/>
                <w:color w:val="auto"/>
                <w:kern w:val="0"/>
                <w:sz w:val="28"/>
                <w:szCs w:val="28"/>
                <w:u w:val="none"/>
                <w:lang w:val="en-US" w:eastAsia="zh-CN" w:bidi="ar"/>
              </w:rPr>
              <w:t>4、负责应急动物防疫物资的计划供应；</w:t>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r>
              <w:rPr>
                <w:rFonts w:hint="eastAsia" w:ascii="仿宋_GB2312" w:hAnsi="宋体" w:eastAsia="仿宋_GB2312" w:cs="仿宋_GB2312"/>
                <w:i w:val="0"/>
                <w:iCs w:val="0"/>
                <w:color w:val="auto"/>
                <w:kern w:val="0"/>
                <w:sz w:val="28"/>
                <w:szCs w:val="28"/>
                <w:u w:val="none"/>
                <w:lang w:val="en-US" w:eastAsia="zh-CN" w:bidi="ar"/>
              </w:rPr>
              <w:tab/>
            </w:r>
          </w:p>
          <w:p>
            <w:pPr>
              <w:keepNext w:val="0"/>
              <w:keepLines w:val="0"/>
              <w:widowControl/>
              <w:suppressLineNumbers w:val="0"/>
              <w:ind w:firstLine="0" w:firstLineChars="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cs="仿宋_GB2312"/>
                <w:i w:val="0"/>
                <w:iCs w:val="0"/>
                <w:color w:val="auto"/>
                <w:kern w:val="0"/>
                <w:sz w:val="28"/>
                <w:szCs w:val="28"/>
                <w:u w:val="none"/>
                <w:lang w:val="en-US" w:eastAsia="zh-CN" w:bidi="ar"/>
              </w:rPr>
              <w:t>　　</w:t>
            </w:r>
            <w:r>
              <w:rPr>
                <w:rFonts w:hint="eastAsia" w:ascii="仿宋_GB2312" w:hAnsi="宋体" w:eastAsia="仿宋_GB2312" w:cs="仿宋_GB2312"/>
                <w:i w:val="0"/>
                <w:iCs w:val="0"/>
                <w:color w:val="auto"/>
                <w:kern w:val="0"/>
                <w:sz w:val="28"/>
                <w:szCs w:val="28"/>
                <w:u w:val="none"/>
                <w:lang w:val="en-US" w:eastAsia="zh-CN" w:bidi="ar"/>
              </w:rPr>
              <w:t>5、负责重大动物疫病防控技术方案制定；</w:t>
            </w:r>
          </w:p>
          <w:p>
            <w:pPr>
              <w:keepNext w:val="0"/>
              <w:keepLines w:val="0"/>
              <w:widowControl/>
              <w:suppressLineNumbers w:val="0"/>
              <w:ind w:firstLine="0" w:firstLineChars="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cs="仿宋_GB2312"/>
                <w:i w:val="0"/>
                <w:iCs w:val="0"/>
                <w:color w:val="auto"/>
                <w:kern w:val="0"/>
                <w:sz w:val="28"/>
                <w:szCs w:val="28"/>
                <w:u w:val="none"/>
                <w:lang w:val="en-US" w:eastAsia="zh-CN" w:bidi="ar"/>
              </w:rPr>
              <w:t>　　</w:t>
            </w:r>
            <w:r>
              <w:rPr>
                <w:rFonts w:hint="eastAsia" w:ascii="仿宋_GB2312" w:hAnsi="宋体" w:eastAsia="仿宋_GB2312" w:cs="仿宋_GB2312"/>
                <w:i w:val="0"/>
                <w:iCs w:val="0"/>
                <w:color w:val="auto"/>
                <w:kern w:val="0"/>
                <w:sz w:val="28"/>
                <w:szCs w:val="28"/>
                <w:u w:val="none"/>
                <w:lang w:val="en-US" w:eastAsia="zh-CN" w:bidi="ar"/>
              </w:rPr>
              <w:t>6、承担上级交办的其他事项。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（二）机构设置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独立编制、核算机构数1个，现有人员编制9名。内设3个职能股室：综合办公室、血清学检测室、病原学检测室。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numPr>
                <w:ilvl w:val="0"/>
                <w:numId w:val="2"/>
              </w:numPr>
              <w:suppressLineNumbers w:val="0"/>
              <w:ind w:left="560" w:leftChars="0" w:firstLine="0" w:firstLineChars="0"/>
              <w:jc w:val="left"/>
              <w:textAlignment w:val="center"/>
              <w:rPr>
                <w:rFonts w:hint="eastAsia" w:ascii="黑体" w:hAnsi="宋体" w:eastAsia="黑体" w:cs="黑体"/>
                <w:i w:val="0"/>
                <w:iCs w:val="0"/>
                <w:color w:val="auto"/>
                <w:kern w:val="0"/>
                <w:sz w:val="28"/>
                <w:szCs w:val="28"/>
                <w:u w:val="none"/>
                <w:lang w:val="en-US" w:eastAsia="zh-CN" w:bidi="ar"/>
              </w:rPr>
            </w:pPr>
            <w:r>
              <w:rPr>
                <w:rFonts w:hint="eastAsia" w:ascii="黑体" w:hAnsi="宋体" w:eastAsia="黑体" w:cs="黑体"/>
                <w:i w:val="0"/>
                <w:iCs w:val="0"/>
                <w:color w:val="auto"/>
                <w:kern w:val="0"/>
                <w:sz w:val="28"/>
                <w:szCs w:val="28"/>
                <w:u w:val="none"/>
                <w:lang w:val="en-US" w:eastAsia="zh-CN" w:bidi="ar"/>
              </w:rPr>
              <w:t>单位收支总体情况</w:t>
            </w:r>
          </w:p>
          <w:p>
            <w:pPr>
              <w:keepNext w:val="0"/>
              <w:keepLines w:val="0"/>
              <w:widowControl/>
              <w:numPr>
                <w:ilvl w:val="0"/>
                <w:numId w:val="0"/>
              </w:numPr>
              <w:suppressLineNumbers w:val="0"/>
              <w:jc w:val="left"/>
              <w:textAlignment w:val="center"/>
              <w:rPr>
                <w:rFonts w:hint="default" w:ascii="黑体" w:hAnsi="宋体" w:eastAsia="黑体" w:cs="黑体"/>
                <w:i w:val="0"/>
                <w:iCs w:val="0"/>
                <w:color w:val="auto"/>
                <w:kern w:val="0"/>
                <w:sz w:val="28"/>
                <w:szCs w:val="28"/>
                <w:u w:val="none"/>
                <w:lang w:val="en-US" w:eastAsia="zh-CN" w:bidi="ar"/>
              </w:rPr>
            </w:pPr>
            <w:r>
              <w:rPr>
                <w:rFonts w:hint="eastAsia" w:ascii="黑体" w:hAnsi="宋体" w:eastAsia="黑体" w:cs="黑体"/>
                <w:i w:val="0"/>
                <w:iCs w:val="0"/>
                <w:color w:val="auto"/>
                <w:kern w:val="0"/>
                <w:sz w:val="28"/>
                <w:szCs w:val="28"/>
                <w:u w:val="none"/>
                <w:lang w:val="en-US" w:eastAsia="zh-CN" w:bidi="ar"/>
              </w:rPr>
              <w:t xml:space="preserve">    </w:t>
            </w:r>
            <w:r>
              <w:rPr>
                <w:rFonts w:hint="eastAsia" w:ascii="仿宋_GB2312" w:hAnsi="宋体" w:eastAsia="仿宋_GB2312" w:cs="仿宋_GB2312"/>
                <w:i w:val="0"/>
                <w:iCs w:val="0"/>
                <w:color w:val="auto"/>
                <w:kern w:val="0"/>
                <w:sz w:val="28"/>
                <w:szCs w:val="28"/>
                <w:u w:val="none"/>
                <w:lang w:val="en-US" w:eastAsia="zh-CN" w:bidi="ar"/>
              </w:rPr>
              <w:t>本单位为二级预算单位</w:t>
            </w:r>
            <w:r>
              <w:rPr>
                <w:rFonts w:hint="eastAsia" w:ascii="仿宋_GB2312" w:hAnsi="宋体" w:cs="仿宋_GB2312"/>
                <w:i w:val="0"/>
                <w:iCs w:val="0"/>
                <w:color w:val="auto"/>
                <w:kern w:val="0"/>
                <w:sz w:val="28"/>
                <w:szCs w:val="28"/>
                <w:u w:val="none"/>
                <w:lang w:val="en-US" w:eastAsia="zh-CN" w:bidi="ar"/>
              </w:rPr>
              <w:t>，没有预算独立、财务独立核算的下属预算单位，因此纳入2021年部门预算公开范围的为本单位本级预算。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2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（一）收入预算</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 xml:space="preserve">    包括一般公共预算、政府性基金、国有资本经营预算等财政拨款收入，以及经营收入、事业收入等单位资金。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50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本单位收入预算119.05万元，其中，一般公共预算拨款119.05万元，政府性基金预算拨款0.00万元（所以公开的附件15-17为空表），国有资本经营预算拨款0.00万元（所以公开的附件18为空表），财政专户管理资金0.00万元（所以公开的附件19-20为空表），上级补助收入0.00万元，事业单位经营收入0.00万元，其他收入0.00万元，上年结转0.00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收入较去年增加3.25万元，增幅2.8%，原因是工资年度晋级和专技人员职称晋升使工资和福利支出有所增加。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（二）支出预算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2021年本单位支出预算119.05万元，其中，社会保障和就业支出10.48万元，卫生健康支出4.48万元，农林水支出96.81万元，住房保障支出7.28万元。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支出较去年增加3.25万元，其中基本支出较去年增加3.25万元，原因是工资年度晋级和专技人员职称晋升使工资和福利支出有所增加；项目支出与去年持平。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三、一般公共预算拨款支出预算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2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2021年一般公共预算拨款支出预算119.05万元，其中，社会保障和就业支出10.48万元，占8.8%，卫生健康支出4.48万元，占3.8%，农林水支出96.81万元，占81.3%，住房保障支出7.28万元，占6.1%。具体安排情况如下：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2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一）基本支出：2021年基本支出年初预算数为94.75万元，是指为保障单位机构正常运转、完成日常工作任务而发生的各项支出，包括用于基本工资、津贴补贴等人员经费以及办公费、印刷费、水电费、差旅费等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二）项目支出：2021年项目支出年初预算数为24.30万元，是指单位为完成特定行政工作任务或事业发展目标而发生的支出，包括有关业务工作经费、运行维护经费等。其中包括动物疫病检测及重大疫病防控24.30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四、政府性基金预算支出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2021年度本单位无政府性基金安排的支出，所以公开的附件15-17为空。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五、其他重要事项的情况说明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（一）机关运行经费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本单位2021年机关运行经费当年一般公共预算拨款11.42万元。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较去年减少0.03万元，降幅-0.3%，原因是厉行节约。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（二）“三公”经费预算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2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8"/>
                <w:szCs w:val="28"/>
                <w:u w:val="none"/>
                <w:lang w:val="en-US"/>
              </w:rPr>
            </w:pPr>
            <w:r>
              <w:rPr>
                <w:rFonts w:hint="eastAsia" w:ascii="仿宋_GB2312" w:hAnsi="宋体" w:eastAsia="仿宋_GB2312" w:cs="仿宋_GB2312"/>
                <w:i w:val="0"/>
                <w:iCs w:val="0"/>
                <w:color w:val="auto"/>
                <w:kern w:val="0"/>
                <w:sz w:val="28"/>
                <w:szCs w:val="28"/>
                <w:u w:val="none"/>
                <w:lang w:val="en-US" w:eastAsia="zh-CN" w:bidi="ar"/>
              </w:rPr>
              <w:t xml:space="preserve">    本单位2021年“三公”经费预算数</w:t>
            </w:r>
            <w:r>
              <w:rPr>
                <w:rFonts w:hint="eastAsia" w:ascii="仿宋_GB2312" w:hAnsi="宋体" w:cs="仿宋_GB2312"/>
                <w:i w:val="0"/>
                <w:iCs w:val="0"/>
                <w:color w:val="auto"/>
                <w:kern w:val="0"/>
                <w:sz w:val="28"/>
                <w:szCs w:val="28"/>
                <w:u w:val="none"/>
                <w:lang w:val="en-US" w:eastAsia="zh-CN" w:bidi="ar"/>
              </w:rPr>
              <w:t>9.04</w:t>
            </w:r>
            <w:r>
              <w:rPr>
                <w:rFonts w:hint="eastAsia" w:ascii="仿宋_GB2312" w:hAnsi="宋体" w:eastAsia="仿宋_GB2312" w:cs="仿宋_GB2312"/>
                <w:i w:val="0"/>
                <w:iCs w:val="0"/>
                <w:color w:val="auto"/>
                <w:kern w:val="0"/>
                <w:sz w:val="28"/>
                <w:szCs w:val="28"/>
                <w:u w:val="none"/>
                <w:lang w:val="en-US" w:eastAsia="zh-CN" w:bidi="ar"/>
              </w:rPr>
              <w:t>万元，其中公务接待费6.30万元，因公出国（境）费0.00万元，公务用车购置及运行费</w:t>
            </w:r>
            <w:r>
              <w:rPr>
                <w:rFonts w:hint="eastAsia" w:ascii="仿宋_GB2312" w:hAnsi="宋体" w:cs="仿宋_GB2312"/>
                <w:i w:val="0"/>
                <w:iCs w:val="0"/>
                <w:color w:val="auto"/>
                <w:kern w:val="0"/>
                <w:sz w:val="28"/>
                <w:szCs w:val="28"/>
                <w:u w:val="none"/>
                <w:lang w:val="en-US" w:eastAsia="zh-CN" w:bidi="ar"/>
              </w:rPr>
              <w:t>2.74</w:t>
            </w:r>
            <w:r>
              <w:rPr>
                <w:rFonts w:hint="eastAsia" w:ascii="仿宋_GB2312" w:hAnsi="宋体" w:eastAsia="仿宋_GB2312" w:cs="仿宋_GB2312"/>
                <w:i w:val="0"/>
                <w:iCs w:val="0"/>
                <w:color w:val="auto"/>
                <w:kern w:val="0"/>
                <w:sz w:val="28"/>
                <w:szCs w:val="28"/>
                <w:u w:val="none"/>
                <w:lang w:val="en-US" w:eastAsia="zh-CN" w:bidi="ar"/>
              </w:rPr>
              <w:t>万元（其中公务用车购置费0.00万元，公务用车运行费2.74万元</w:t>
            </w:r>
            <w:r>
              <w:rPr>
                <w:rFonts w:hint="eastAsia" w:ascii="仿宋_GB2312" w:hAnsi="宋体" w:cs="仿宋_GB2312"/>
                <w:i w:val="0"/>
                <w:iCs w:val="0"/>
                <w:color w:val="auto"/>
                <w:kern w:val="0"/>
                <w:sz w:val="28"/>
                <w:szCs w:val="28"/>
                <w:u w:val="none"/>
                <w:lang w:val="en-US" w:eastAsia="zh-CN" w:bidi="ar"/>
              </w:rPr>
              <w:t>）</w:t>
            </w:r>
            <w:r>
              <w:rPr>
                <w:rFonts w:hint="eastAsia" w:ascii="仿宋_GB2312" w:hAnsi="宋体" w:eastAsia="仿宋_GB2312" w:cs="仿宋_GB2312"/>
                <w:i w:val="0"/>
                <w:iCs w:val="0"/>
                <w:color w:val="auto"/>
                <w:kern w:val="0"/>
                <w:sz w:val="28"/>
                <w:szCs w:val="28"/>
                <w:u w:val="none"/>
                <w:lang w:val="en-US" w:eastAsia="zh-CN" w:bidi="ar"/>
              </w:rPr>
              <w:t>。</w:t>
            </w:r>
            <w:r>
              <w:rPr>
                <w:rFonts w:hint="eastAsia" w:ascii="仿宋_GB2312" w:hAnsi="宋体" w:cs="仿宋_GB2312"/>
                <w:i w:val="0"/>
                <w:iCs w:val="0"/>
                <w:color w:val="auto"/>
                <w:kern w:val="0"/>
                <w:sz w:val="28"/>
                <w:szCs w:val="28"/>
                <w:u w:val="none"/>
                <w:lang w:val="en-US" w:eastAsia="zh-CN" w:bidi="ar"/>
              </w:rPr>
              <w:t>比上年减少3.56万元，降低28%，主要原因是厉行节约。</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default" w:ascii="仿宋_GB2312" w:hAnsi="宋体" w:eastAsia="仿宋_GB2312" w:cs="仿宋_GB2312"/>
                <w:i w:val="0"/>
                <w:iCs w:val="0"/>
                <w:color w:val="auto"/>
                <w:sz w:val="28"/>
                <w:szCs w:val="28"/>
                <w:u w:val="none"/>
                <w:lang w:val="en-US"/>
              </w:rPr>
            </w:pPr>
            <w:r>
              <w:rPr>
                <w:rFonts w:hint="eastAsia" w:ascii="仿宋_GB2312" w:hAnsi="宋体" w:eastAsia="仿宋_GB2312" w:cs="仿宋_GB2312"/>
                <w:i w:val="0"/>
                <w:iCs w:val="0"/>
                <w:color w:val="auto"/>
                <w:kern w:val="0"/>
                <w:sz w:val="28"/>
                <w:szCs w:val="28"/>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（三）一般性支出情况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lang w:val="en-US" w:eastAsia="zh-CN"/>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2021年度本单位未计划召开会议；培训费预算0.20万元，拟开展</w:t>
            </w:r>
            <w:r>
              <w:rPr>
                <w:rFonts w:hint="eastAsia" w:ascii="仿宋_GB2312" w:hAnsi="宋体" w:cs="仿宋_GB2312"/>
                <w:i w:val="0"/>
                <w:iCs w:val="0"/>
                <w:color w:val="auto"/>
                <w:kern w:val="0"/>
                <w:sz w:val="28"/>
                <w:szCs w:val="28"/>
                <w:u w:val="none"/>
                <w:lang w:val="en-US" w:eastAsia="zh-CN" w:bidi="ar"/>
              </w:rPr>
              <w:t>1</w:t>
            </w:r>
            <w:r>
              <w:rPr>
                <w:rFonts w:hint="eastAsia" w:ascii="仿宋_GB2312" w:hAnsi="宋体" w:eastAsia="仿宋_GB2312" w:cs="仿宋_GB2312"/>
                <w:i w:val="0"/>
                <w:iCs w:val="0"/>
                <w:color w:val="auto"/>
                <w:kern w:val="0"/>
                <w:sz w:val="28"/>
                <w:szCs w:val="28"/>
                <w:u w:val="none"/>
                <w:lang w:val="en-US" w:eastAsia="zh-CN" w:bidi="ar"/>
              </w:rPr>
              <w:t>次培训，人数</w:t>
            </w:r>
            <w:r>
              <w:rPr>
                <w:rFonts w:hint="eastAsia" w:ascii="仿宋_GB2312" w:hAnsi="宋体" w:cs="仿宋_GB2312"/>
                <w:i w:val="0"/>
                <w:iCs w:val="0"/>
                <w:color w:val="auto"/>
                <w:kern w:val="0"/>
                <w:sz w:val="28"/>
                <w:szCs w:val="28"/>
                <w:u w:val="none"/>
                <w:lang w:val="en-US" w:eastAsia="zh-CN" w:bidi="ar"/>
              </w:rPr>
              <w:t>30</w:t>
            </w:r>
            <w:r>
              <w:rPr>
                <w:rFonts w:hint="eastAsia" w:ascii="仿宋_GB2312" w:hAnsi="宋体" w:eastAsia="仿宋_GB2312" w:cs="仿宋_GB2312"/>
                <w:i w:val="0"/>
                <w:iCs w:val="0"/>
                <w:color w:val="auto"/>
                <w:kern w:val="0"/>
                <w:sz w:val="28"/>
                <w:szCs w:val="28"/>
                <w:u w:val="none"/>
                <w:lang w:val="en-US" w:eastAsia="zh-CN" w:bidi="ar"/>
              </w:rPr>
              <w:t>人，内容</w:t>
            </w:r>
            <w:r>
              <w:rPr>
                <w:rFonts w:hint="eastAsia" w:ascii="仿宋_GB2312" w:hAnsi="宋体" w:cs="仿宋_GB2312"/>
                <w:i w:val="0"/>
                <w:iCs w:val="0"/>
                <w:color w:val="auto"/>
                <w:kern w:val="0"/>
                <w:sz w:val="28"/>
                <w:szCs w:val="28"/>
                <w:u w:val="none"/>
                <w:lang w:val="en-US" w:eastAsia="zh-CN" w:bidi="ar"/>
              </w:rPr>
              <w:t>为动物疫病监测和流行病学调查。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2021年度本单位未计划举办节庆、晚会、论坛、赛事活动。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（四）政府采购情况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2021年度本单位未安排政府采购预算。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（五）国有资产占有使用及新增资产配置情况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截至上年12月底，本单位共有车辆</w:t>
            </w:r>
            <w:r>
              <w:rPr>
                <w:rFonts w:hint="eastAsia" w:ascii="仿宋_GB2312" w:hAnsi="宋体" w:cs="仿宋_GB2312"/>
                <w:i w:val="0"/>
                <w:iCs w:val="0"/>
                <w:color w:val="auto"/>
                <w:kern w:val="0"/>
                <w:sz w:val="28"/>
                <w:szCs w:val="28"/>
                <w:u w:val="none"/>
                <w:lang w:val="en-US" w:eastAsia="zh-CN" w:bidi="ar"/>
              </w:rPr>
              <w:t>1</w:t>
            </w:r>
            <w:r>
              <w:rPr>
                <w:rFonts w:hint="eastAsia" w:ascii="仿宋_GB2312" w:hAnsi="宋体" w:eastAsia="仿宋_GB2312" w:cs="仿宋_GB2312"/>
                <w:i w:val="0"/>
                <w:iCs w:val="0"/>
                <w:color w:val="auto"/>
                <w:kern w:val="0"/>
                <w:sz w:val="28"/>
                <w:szCs w:val="28"/>
                <w:u w:val="none"/>
                <w:lang w:val="en-US" w:eastAsia="zh-CN" w:bidi="ar"/>
              </w:rPr>
              <w:t>辆，其中领导干部用车</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辆，一般公务用车</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辆，其他用车</w:t>
            </w:r>
            <w:r>
              <w:rPr>
                <w:rFonts w:hint="eastAsia" w:ascii="仿宋_GB2312" w:hAnsi="宋体" w:cs="仿宋_GB2312"/>
                <w:i w:val="0"/>
                <w:iCs w:val="0"/>
                <w:color w:val="auto"/>
                <w:kern w:val="0"/>
                <w:sz w:val="28"/>
                <w:szCs w:val="28"/>
                <w:u w:val="none"/>
                <w:lang w:val="en-US" w:eastAsia="zh-CN" w:bidi="ar"/>
              </w:rPr>
              <w:t>1</w:t>
            </w:r>
            <w:r>
              <w:rPr>
                <w:rFonts w:hint="eastAsia" w:ascii="仿宋_GB2312" w:hAnsi="宋体" w:eastAsia="仿宋_GB2312" w:cs="仿宋_GB2312"/>
                <w:i w:val="0"/>
                <w:iCs w:val="0"/>
                <w:color w:val="auto"/>
                <w:kern w:val="0"/>
                <w:sz w:val="28"/>
                <w:szCs w:val="28"/>
                <w:u w:val="none"/>
                <w:lang w:val="en-US" w:eastAsia="zh-CN" w:bidi="ar"/>
              </w:rPr>
              <w:t>辆</w:t>
            </w:r>
            <w:r>
              <w:rPr>
                <w:rFonts w:hint="eastAsia" w:ascii="仿宋_GB2312" w:hAnsi="宋体" w:cs="仿宋_GB2312"/>
                <w:i w:val="0"/>
                <w:iCs w:val="0"/>
                <w:color w:val="auto"/>
                <w:kern w:val="0"/>
                <w:sz w:val="28"/>
                <w:szCs w:val="28"/>
                <w:u w:val="none"/>
                <w:lang w:val="en-US" w:eastAsia="zh-CN" w:bidi="ar"/>
              </w:rPr>
              <w:t>（特种专业技术用车）</w:t>
            </w:r>
            <w:r>
              <w:rPr>
                <w:rFonts w:hint="eastAsia" w:ascii="仿宋_GB2312" w:hAnsi="宋体" w:eastAsia="仿宋_GB2312" w:cs="仿宋_GB2312"/>
                <w:i w:val="0"/>
                <w:iCs w:val="0"/>
                <w:color w:val="auto"/>
                <w:kern w:val="0"/>
                <w:sz w:val="28"/>
                <w:szCs w:val="28"/>
                <w:u w:val="none"/>
                <w:lang w:val="en-US" w:eastAsia="zh-CN" w:bidi="ar"/>
              </w:rPr>
              <w:t>。单位价值50万元以上通用设备</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台，单位价值100万元以上专用设备</w:t>
            </w:r>
            <w:r>
              <w:rPr>
                <w:rFonts w:hint="eastAsia" w:ascii="仿宋_GB2312" w:hAnsi="宋体" w:cs="仿宋_GB2312"/>
                <w:i w:val="0"/>
                <w:iCs w:val="0"/>
                <w:color w:val="auto"/>
                <w:kern w:val="0"/>
                <w:sz w:val="28"/>
                <w:szCs w:val="28"/>
                <w:u w:val="none"/>
                <w:lang w:val="en-US" w:eastAsia="zh-CN" w:bidi="ar"/>
              </w:rPr>
              <w:t>0</w:t>
            </w:r>
            <w:r>
              <w:rPr>
                <w:rFonts w:hint="eastAsia" w:ascii="仿宋_GB2312" w:hAnsi="宋体" w:eastAsia="仿宋_GB2312" w:cs="仿宋_GB2312"/>
                <w:i w:val="0"/>
                <w:iCs w:val="0"/>
                <w:color w:val="auto"/>
                <w:kern w:val="0"/>
                <w:sz w:val="28"/>
                <w:szCs w:val="28"/>
                <w:u w:val="none"/>
                <w:lang w:val="en-US" w:eastAsia="zh-CN" w:bidi="ar"/>
              </w:rPr>
              <w:t>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2021年度本单位未计划处置或新增车辆、设备等。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楷体_GB2312" w:hAnsi="宋体" w:eastAsia="楷体_GB2312" w:cs="楷体_GB2312"/>
                <w:b/>
                <w:bCs/>
                <w:i w:val="0"/>
                <w:iCs w:val="0"/>
                <w:color w:val="auto"/>
                <w:sz w:val="28"/>
                <w:szCs w:val="28"/>
                <w:u w:val="none"/>
              </w:rPr>
            </w:pPr>
            <w:r>
              <w:rPr>
                <w:rFonts w:hint="eastAsia" w:ascii="楷体_GB2312" w:hAnsi="宋体" w:eastAsia="楷体_GB2312" w:cs="楷体_GB2312"/>
                <w:b/>
                <w:bCs/>
                <w:i w:val="0"/>
                <w:iCs w:val="0"/>
                <w:color w:val="auto"/>
                <w:kern w:val="0"/>
                <w:sz w:val="28"/>
                <w:szCs w:val="28"/>
                <w:u w:val="none"/>
                <w:lang w:val="en-US" w:eastAsia="zh-CN" w:bidi="ar"/>
              </w:rPr>
              <w:t xml:space="preserve">    （六）预算绩效目标说明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7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本单位所有支出实行绩效目标管理。纳入2021年单位整体支出绩效目标的金额为119.05万元，其中，基本支出94.75万元，项目支出24.30万元，绩效目标详见文尾附表中预算公开表格的表22-23。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宋体" w:eastAsia="黑体" w:cs="黑体"/>
                <w:i w:val="0"/>
                <w:iCs w:val="0"/>
                <w:color w:val="auto"/>
                <w:sz w:val="28"/>
                <w:szCs w:val="28"/>
                <w:u w:val="none"/>
              </w:rPr>
            </w:pPr>
            <w:r>
              <w:rPr>
                <w:rFonts w:hint="eastAsia" w:ascii="黑体" w:hAnsi="宋体" w:eastAsia="黑体" w:cs="黑体"/>
                <w:i w:val="0"/>
                <w:iCs w:val="0"/>
                <w:color w:val="auto"/>
                <w:kern w:val="0"/>
                <w:sz w:val="28"/>
                <w:szCs w:val="28"/>
                <w:u w:val="none"/>
                <w:lang w:val="en-US" w:eastAsia="zh-CN" w:bidi="ar"/>
              </w:rPr>
              <w:t xml:space="preserve">    六、名词解释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00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eastAsia="仿宋_GB2312" w:cs="仿宋_GB2312"/>
                <w:i w:val="0"/>
                <w:iCs w:val="0"/>
                <w:color w:val="auto"/>
                <w:kern w:val="0"/>
                <w:sz w:val="28"/>
                <w:szCs w:val="28"/>
                <w:u w:val="none"/>
                <w:lang w:val="en-US" w:eastAsia="zh-CN" w:bidi="ar"/>
              </w:rPr>
              <w:t xml:space="preserve">    1、机关运行经费：是指各单位的公用经费，包括办公及印刷费、邮电费、差旅费、会议费、福利费、日常维修费、专用资料及一般设备购置费、办公用房水电费、办公用房取暖费、办公用房物业管理费、公务用车运行维护费以及其他费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 xml:space="preserve">    2、“三公”经费：纳入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375" w:hRule="atLeast"/>
        </w:trPr>
        <w:tc>
          <w:tcPr>
            <w:tcW w:w="9962" w:type="dxa"/>
            <w:tcBorders>
              <w:top w:val="nil"/>
              <w:left w:val="nil"/>
              <w:bottom w:val="nil"/>
              <w:right w:val="nil"/>
            </w:tcBorders>
            <w:shd w:val="clear" w:color="auto" w:fill="auto"/>
            <w:vAlign w:val="center"/>
          </w:tcPr>
          <w:p>
            <w:pPr>
              <w:rPr>
                <w:rFonts w:hint="eastAsia" w:ascii="仿宋_GB2312" w:hAnsi="宋体" w:eastAsia="仿宋_GB2312" w:cs="仿宋_GB2312"/>
                <w:i w:val="0"/>
                <w:iCs w:val="0"/>
                <w:color w:val="auto"/>
                <w:sz w:val="28"/>
                <w:szCs w:val="2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50" w:hRule="atLeast"/>
        </w:trPr>
        <w:tc>
          <w:tcPr>
            <w:tcW w:w="9962" w:type="dxa"/>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auto"/>
                <w:sz w:val="36"/>
                <w:szCs w:val="36"/>
                <w:u w:val="none"/>
              </w:rPr>
            </w:pPr>
            <w:r>
              <w:rPr>
                <w:rFonts w:hint="eastAsia" w:ascii="黑体" w:hAnsi="宋体" w:eastAsia="黑体" w:cs="黑体"/>
                <w:i w:val="0"/>
                <w:iCs w:val="0"/>
                <w:color w:val="auto"/>
                <w:kern w:val="0"/>
                <w:sz w:val="36"/>
                <w:szCs w:val="36"/>
                <w:u w:val="none"/>
                <w:lang w:val="en-US" w:eastAsia="zh-CN" w:bidi="ar"/>
              </w:rPr>
              <w:t>第二部分  单位预算公开表格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180" w:hRule="atLeast"/>
        </w:trPr>
        <w:tc>
          <w:tcPr>
            <w:tcW w:w="9962" w:type="dxa"/>
            <w:tcBorders>
              <w:top w:val="nil"/>
              <w:left w:val="nil"/>
              <w:bottom w:val="nil"/>
              <w:right w:val="nil"/>
            </w:tcBorders>
            <w:shd w:val="clear" w:color="auto" w:fill="auto"/>
            <w:vAlign w:val="center"/>
          </w:tcPr>
          <w:p>
            <w:pPr>
              <w:keepNext w:val="0"/>
              <w:keepLines w:val="0"/>
              <w:widowControl/>
              <w:numPr>
                <w:ilvl w:val="0"/>
                <w:numId w:val="3"/>
              </w:numPr>
              <w:suppressLineNumbers w:val="0"/>
              <w:jc w:val="left"/>
              <w:textAlignment w:val="center"/>
              <w:rPr>
                <w:rFonts w:hint="eastAsia" w:ascii="仿宋_GB2312" w:hAnsi="宋体" w:eastAsia="仿宋_GB2312" w:cs="仿宋_GB2312"/>
                <w:i w:val="0"/>
                <w:iCs w:val="0"/>
                <w:color w:val="auto"/>
                <w:kern w:val="0"/>
                <w:sz w:val="28"/>
                <w:szCs w:val="28"/>
                <w:u w:val="none"/>
                <w:lang w:val="en-US" w:eastAsia="zh-CN" w:bidi="ar"/>
              </w:rPr>
            </w:pPr>
            <w:r>
              <w:rPr>
                <w:rFonts w:hint="eastAsia" w:ascii="仿宋_GB2312" w:hAnsi="宋体" w:eastAsia="仿宋_GB2312" w:cs="仿宋_GB2312"/>
                <w:i w:val="0"/>
                <w:iCs w:val="0"/>
                <w:color w:val="auto"/>
                <w:kern w:val="0"/>
                <w:sz w:val="28"/>
                <w:szCs w:val="28"/>
                <w:u w:val="none"/>
                <w:lang w:val="en-US" w:eastAsia="zh-CN" w:bidi="ar"/>
              </w:rPr>
              <w:t>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二、收入总表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三、支出总表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四、支出预算分类汇总表（按政府预算经济分类）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五、支出预算分类汇总表（按部门预算经济分类）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六、财政拨款收支总表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七、一般公共预算支出表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八、一般公共预算基本支出表--人员经费(工资福利支出)(按政府预算经济分类)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九、一般公共预算基本支出表--人员经费(工资福利支出)(按部门预算经济分类)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十、一般公共预算基本支出表--人员经费(对个人和家庭的补助)(按政府预算经济分类)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十一、一般公共预算基本支出表--人员经费(对个人和家庭的补助)（按部门预算经济分类）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十二、一般公共预算基本支出表--公用经费(商品和服务支出)（按政府预算经济分类）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十三、一般公共预算基本支出表--公用经费(商品和服务支出)(按部门预算经济分类)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十四、一般公共预算“三公”经费支出表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十五、政府性基金预算支出表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十六、政府性基金预算支出分类汇总表（按政府预算经济分类）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十七、政府性基金预算支出分类汇总表（按部门预算经济分类）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十八、国有资产经营预算支出表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十九、纳入专户管理的非税收入拨款支出预算表(按政府预算经济分类)</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二十、纳入专户管理的非税收入拨款支出预算表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二十一、支出预算项目明细表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二十二、财政支出项目预算绩效目标申报表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二十三、部门(单位)整体支出预算绩效目标申报表</w:t>
            </w:r>
          </w:p>
          <w:p>
            <w:pPr>
              <w:keepNext w:val="0"/>
              <w:keepLines w:val="0"/>
              <w:widowControl/>
              <w:numPr>
                <w:ilvl w:val="0"/>
                <w:numId w:val="0"/>
              </w:numPr>
              <w:suppressLineNumbers w:val="0"/>
              <w:jc w:val="left"/>
              <w:textAlignment w:val="center"/>
              <w:rPr>
                <w:rFonts w:hint="eastAsia" w:ascii="仿宋_GB2312" w:hAnsi="宋体" w:eastAsia="仿宋_GB2312" w:cs="仿宋_GB2312"/>
                <w:i w:val="0"/>
                <w:iCs w:val="0"/>
                <w:color w:val="auto"/>
                <w:sz w:val="28"/>
                <w:szCs w:val="28"/>
                <w:u w:val="none"/>
              </w:rPr>
            </w:pPr>
            <w:r>
              <w:rPr>
                <w:rFonts w:hint="eastAsia" w:ascii="仿宋_GB2312" w:hAnsi="宋体" w:cs="仿宋_GB2312"/>
                <w:i w:val="0"/>
                <w:iCs w:val="0"/>
                <w:color w:val="auto"/>
                <w:kern w:val="0"/>
                <w:sz w:val="28"/>
                <w:szCs w:val="28"/>
                <w:u w:val="none"/>
                <w:lang w:val="en-US" w:eastAsia="zh-CN" w:bidi="ar"/>
              </w:rPr>
              <w:t>二十四、一般公共预算基本支出总表</w:t>
            </w:r>
            <w:r>
              <w:rPr>
                <w:rFonts w:hint="eastAsia" w:ascii="仿宋_GB2312" w:hAnsi="宋体" w:eastAsia="仿宋_GB2312" w:cs="仿宋_GB2312"/>
                <w:i w:val="0"/>
                <w:iCs w:val="0"/>
                <w:color w:val="auto"/>
                <w:kern w:val="0"/>
                <w:sz w:val="28"/>
                <w:szCs w:val="28"/>
                <w:u w:val="none"/>
                <w:lang w:val="en-US" w:eastAsia="zh-CN" w:bidi="ar"/>
              </w:rPr>
              <w:br w:type="textWrapping"/>
            </w:r>
            <w:r>
              <w:rPr>
                <w:rFonts w:hint="eastAsia" w:ascii="仿宋_GB2312" w:hAnsi="宋体" w:eastAsia="仿宋_GB2312" w:cs="仿宋_GB2312"/>
                <w:i w:val="0"/>
                <w:iCs w:val="0"/>
                <w:color w:val="auto"/>
                <w:kern w:val="0"/>
                <w:sz w:val="28"/>
                <w:szCs w:val="28"/>
                <w:u w:val="none"/>
                <w:lang w:val="en-US" w:eastAsia="zh-CN" w:bidi="ar"/>
              </w:rPr>
              <w:t>注：以上单位预算公开报表中，空表表示本单位无相关收支情况。</w:t>
            </w:r>
          </w:p>
        </w:tc>
      </w:tr>
    </w:tbl>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48B33C"/>
    <w:multiLevelType w:val="singleLevel"/>
    <w:tmpl w:val="D448B33C"/>
    <w:lvl w:ilvl="0" w:tentative="0">
      <w:start w:val="1"/>
      <w:numFmt w:val="chineseCounting"/>
      <w:suff w:val="space"/>
      <w:lvlText w:val="第%1部分"/>
      <w:lvlJc w:val="left"/>
      <w:rPr>
        <w:rFonts w:hint="eastAsia"/>
      </w:rPr>
    </w:lvl>
  </w:abstractNum>
  <w:abstractNum w:abstractNumId="1">
    <w:nsid w:val="1A781DB1"/>
    <w:multiLevelType w:val="singleLevel"/>
    <w:tmpl w:val="1A781DB1"/>
    <w:lvl w:ilvl="0" w:tentative="0">
      <w:start w:val="1"/>
      <w:numFmt w:val="chineseCounting"/>
      <w:suff w:val="nothing"/>
      <w:lvlText w:val="%1、"/>
      <w:lvlJc w:val="left"/>
      <w:rPr>
        <w:rFonts w:hint="eastAsia"/>
      </w:rPr>
    </w:lvl>
  </w:abstractNum>
  <w:abstractNum w:abstractNumId="2">
    <w:nsid w:val="64C09E78"/>
    <w:multiLevelType w:val="singleLevel"/>
    <w:tmpl w:val="64C09E78"/>
    <w:lvl w:ilvl="0" w:tentative="0">
      <w:start w:val="2"/>
      <w:numFmt w:val="chineseCounting"/>
      <w:suff w:val="nothing"/>
      <w:lvlText w:val="%1、"/>
      <w:lvlJc w:val="left"/>
      <w:pPr>
        <w:ind w:left="560" w:leftChars="0" w:firstLine="0" w:firstLineChars="0"/>
      </w:pPr>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IyMGFmMTJjZDc5MTY3YTY1N2I2YTE3ZGU3YTY2NDUifQ=="/>
  </w:docVars>
  <w:rsids>
    <w:rsidRoot w:val="48885009"/>
    <w:rsid w:val="060F4036"/>
    <w:rsid w:val="0BE107DE"/>
    <w:rsid w:val="1536339B"/>
    <w:rsid w:val="19DA0BBC"/>
    <w:rsid w:val="1B0B13D3"/>
    <w:rsid w:val="20460082"/>
    <w:rsid w:val="26312B63"/>
    <w:rsid w:val="27E156E5"/>
    <w:rsid w:val="27E51934"/>
    <w:rsid w:val="295F5274"/>
    <w:rsid w:val="2A0C60FA"/>
    <w:rsid w:val="2AB6340C"/>
    <w:rsid w:val="2CEA1B7C"/>
    <w:rsid w:val="312E36D8"/>
    <w:rsid w:val="3973616B"/>
    <w:rsid w:val="39CA4792"/>
    <w:rsid w:val="3B51265F"/>
    <w:rsid w:val="3CEF6007"/>
    <w:rsid w:val="41287D3B"/>
    <w:rsid w:val="48885009"/>
    <w:rsid w:val="49BB14FE"/>
    <w:rsid w:val="4BDC3BFA"/>
    <w:rsid w:val="4CCC3129"/>
    <w:rsid w:val="4E542F0D"/>
    <w:rsid w:val="5B5E7B8A"/>
    <w:rsid w:val="6411743B"/>
    <w:rsid w:val="707F6E1E"/>
    <w:rsid w:val="74D2073B"/>
    <w:rsid w:val="77EC19EC"/>
    <w:rsid w:val="7A2D1941"/>
    <w:rsid w:val="7A9B4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580" w:lineRule="exact"/>
      <w:ind w:firstLine="0" w:firstLineChars="0"/>
      <w:jc w:val="both"/>
    </w:pPr>
    <w:rPr>
      <w:rFonts w:ascii="Times New Roman" w:hAnsi="Times New Roman" w:eastAsia="仿宋_GB2312" w:cstheme="minorBidi"/>
      <w:kern w:val="2"/>
      <w:sz w:val="28"/>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ind w:firstLine="643" w:firstLineChars="200"/>
      <w:outlineLvl w:val="1"/>
    </w:pPr>
    <w:rPr>
      <w:rFonts w:ascii="Arial" w:hAnsi="Arial" w:eastAsia="黑体" w:cs="Times New Roman"/>
      <w:b/>
      <w:sz w:val="32"/>
    </w:rPr>
  </w:style>
  <w:style w:type="paragraph" w:styleId="3">
    <w:name w:val="heading 3"/>
    <w:basedOn w:val="1"/>
    <w:next w:val="1"/>
    <w:link w:val="6"/>
    <w:semiHidden/>
    <w:unhideWhenUsed/>
    <w:qFormat/>
    <w:uiPriority w:val="0"/>
    <w:pPr>
      <w:keepNext/>
      <w:keepLines/>
      <w:spacing w:before="260" w:beforeLines="0" w:beforeAutospacing="0" w:after="260" w:afterLines="0" w:afterAutospacing="0" w:line="413" w:lineRule="auto"/>
      <w:outlineLvl w:val="2"/>
    </w:pPr>
    <w:rPr>
      <w:rFonts w:ascii="Calibri" w:hAnsi="Calibri" w:eastAsia="楷体_GB2312" w:cs="Arial"/>
      <w:b/>
      <w:sz w:val="32"/>
      <w:szCs w:val="2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customStyle="1" w:styleId="6">
    <w:name w:val="标题 3 Char"/>
    <w:link w:val="3"/>
    <w:qFormat/>
    <w:uiPriority w:val="0"/>
    <w:rPr>
      <w:rFonts w:ascii="Calibri" w:hAnsi="Calibri" w:eastAsia="楷体_GB2312" w:cs="Arial"/>
      <w:b/>
      <w:sz w:val="3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2927</Words>
  <Characters>3173</Characters>
  <Lines>0</Lines>
  <Paragraphs>0</Paragraphs>
  <TotalTime>19</TotalTime>
  <ScaleCrop>false</ScaleCrop>
  <LinksUpToDate>false</LinksUpToDate>
  <CharactersWithSpaces>3444</CharactersWithSpaces>
  <Application>WPS Office_10.8.2.7164_F1E327BC-269C-435d-A152-05C5408002CA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2022-06-06T11:01:00Z</dcterms:created>
  <dc:creator>German Phillip</dc:creator>
  <cp:lastModifiedBy>仙贝麻麻</cp:lastModifiedBy>
  <dcterms:modified xsi:type="dcterms:W3CDTF">2022-09-07T01:03:37Z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2052-10.8.2.7164</vt:lpwstr>
  </property>
  <property fmtid="{D5CDD505-2E9C-101B-9397-08002B2CF9AE}" pid="3" name="ICV">
    <vt:lpwstr>570978E3C8A24208A63270D7041E9DCC</vt:lpwstr>
  </property>
</Properties>
</file>