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岳阳市市政维护管理处2021年度单位预算公开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2021年单位预算说明</w:t>
            </w:r>
          </w:p>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第二部分  单位预算公开表格</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二十四、一般公共预算基本支出总表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ind w:firstLine="0" w:firstLineChars="0"/>
              <w:rPr>
                <w:rFonts w:hint="eastAsia"/>
                <w:color w:val="auto"/>
                <w:lang w:eastAsia="zh-CN"/>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1、负责宣传和贯彻执行国家、省有关城市市政设施维护管理的法律、法规和规章；参与本市市政设施管理和养护规范性文件的起草以及市政设施维护发展规划的制定。</w:t>
            </w:r>
          </w:p>
          <w:p>
            <w:pPr>
              <w:ind w:firstLine="0" w:firstLineChars="0"/>
              <w:rPr>
                <w:rFonts w:hint="eastAsia"/>
                <w:color w:val="auto"/>
                <w:lang w:eastAsia="zh-CN"/>
              </w:rPr>
            </w:pPr>
            <w:r>
              <w:rPr>
                <w:rFonts w:hint="eastAsia"/>
                <w:color w:val="auto"/>
                <w:lang w:eastAsia="zh-CN"/>
              </w:rPr>
              <w:t>　　2、负责组织与管理本城市市政基础设施（道路、桥梁隧道、泵房、排水涵洞、人行道、人行天桥、人行地下通道等）的日常管理、设施监测、检测及维修与养护，确保市政设施整齐完好。</w:t>
            </w:r>
          </w:p>
          <w:p>
            <w:pPr>
              <w:ind w:firstLine="0" w:firstLineChars="0"/>
              <w:rPr>
                <w:rFonts w:hint="eastAsia"/>
                <w:color w:val="auto"/>
                <w:lang w:eastAsia="zh-CN"/>
              </w:rPr>
            </w:pPr>
            <w:r>
              <w:rPr>
                <w:rFonts w:hint="eastAsia"/>
                <w:color w:val="auto"/>
                <w:lang w:eastAsia="zh-CN"/>
              </w:rPr>
              <w:t>　　3、负责管理城市市政维护行业标准及其工程施工的质量、进度、安全和市政维护技术标准，并监督执行：负责市政工程质量检测；参与新建市政工程移交、接管工作；根据职责分工参与本城市环境综合整治、创建文明卫生城市和市容管理等工作。</w:t>
            </w:r>
          </w:p>
          <w:p>
            <w:pPr>
              <w:ind w:firstLine="0" w:firstLineChars="0"/>
              <w:rPr>
                <w:rFonts w:hint="eastAsia"/>
                <w:color w:val="auto"/>
                <w:lang w:eastAsia="zh-CN"/>
              </w:rPr>
            </w:pPr>
            <w:r>
              <w:rPr>
                <w:rFonts w:hint="eastAsia"/>
                <w:color w:val="auto"/>
                <w:lang w:eastAsia="zh-CN"/>
              </w:rPr>
              <w:t>　　4、负责本城市市政设施维修、改造计划及资金计划的编制；负责组织与管理本城市市政工程设施的大、中修和配套建设负责破占道恢复工作。</w:t>
            </w:r>
          </w:p>
          <w:p>
            <w:pPr>
              <w:ind w:firstLine="0" w:firstLineChars="0"/>
              <w:rPr>
                <w:rFonts w:hint="eastAsia"/>
                <w:color w:val="auto"/>
                <w:lang w:eastAsia="zh-CN"/>
              </w:rPr>
            </w:pPr>
            <w:r>
              <w:rPr>
                <w:rFonts w:hint="eastAsia"/>
                <w:color w:val="auto"/>
                <w:lang w:eastAsia="zh-CN"/>
              </w:rPr>
              <w:t>　　5、参与本城市排涝、排渍；负责城区雨污水排放、水质水量监测、监控。</w:t>
            </w:r>
          </w:p>
          <w:p>
            <w:pPr>
              <w:ind w:firstLine="0" w:firstLineChars="0"/>
              <w:rPr>
                <w:rFonts w:hint="eastAsia"/>
                <w:color w:val="auto"/>
                <w:lang w:eastAsia="zh-CN"/>
              </w:rPr>
            </w:pPr>
            <w:r>
              <w:rPr>
                <w:rFonts w:hint="eastAsia"/>
                <w:color w:val="auto"/>
                <w:lang w:eastAsia="zh-CN"/>
              </w:rPr>
              <w:t>　　6、负责本单位工程机械、车辆、设备的管理，确保安全运行。</w:t>
            </w:r>
          </w:p>
          <w:p>
            <w:pPr>
              <w:ind w:firstLine="0" w:firstLineChars="0"/>
              <w:rPr>
                <w:rFonts w:hint="eastAsia"/>
                <w:color w:val="auto"/>
                <w:lang w:eastAsia="zh-CN"/>
              </w:rPr>
            </w:pPr>
            <w:r>
              <w:rPr>
                <w:rFonts w:hint="eastAsia"/>
                <w:color w:val="auto"/>
                <w:lang w:eastAsia="zh-CN"/>
              </w:rPr>
              <w:t>　　7、负责市政应急指挥（处理）中心的日常工作：负责涉及市政设施方面的城市防汛、防台风、抗冰雪灾害等突发应急事件的组织和协调。</w:t>
            </w:r>
          </w:p>
          <w:p>
            <w:pPr>
              <w:ind w:firstLine="0" w:firstLineChars="0"/>
              <w:rPr>
                <w:rFonts w:hint="eastAsia" w:ascii="仿宋_GB2312" w:hAnsi="宋体" w:eastAsia="仿宋_GB2312" w:cs="仿宋_GB2312"/>
                <w:i w:val="0"/>
                <w:iCs w:val="0"/>
                <w:color w:val="auto"/>
                <w:sz w:val="28"/>
                <w:szCs w:val="28"/>
                <w:u w:val="none"/>
              </w:rPr>
            </w:pPr>
            <w:r>
              <w:rPr>
                <w:rFonts w:hint="eastAsia"/>
                <w:color w:val="auto"/>
                <w:lang w:eastAsia="zh-CN"/>
              </w:rPr>
              <w:t>　　8、承办市委市政府和主管部门交办的其它工作。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我处内设6个职能股室：办公室、政工股、工程技术股、综合管理股、计财股、安全设备股；设立5个下属单位：市政道路桥梁管理所、市政排水泵站管理所、市政设备管理所、市政维护科研管理所、城陵矶新港区管理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ind w:firstLine="56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本单位为二级预算单位，没有预算独立、财务独立核算的下属预算单位，因此纳入2021年部门预算公开范围的为本单位本级预算。</w:t>
            </w:r>
          </w:p>
          <w:p>
            <w:pPr>
              <w:keepNext w:val="0"/>
              <w:keepLines w:val="0"/>
              <w:widowControl/>
              <w:suppressLineNumbers w:val="0"/>
              <w:ind w:firstLine="56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（一）收入预算</w:t>
            </w:r>
          </w:p>
          <w:p>
            <w:pPr>
              <w:keepNext w:val="0"/>
              <w:keepLines w:val="0"/>
              <w:widowControl/>
              <w:suppressLineNumbers w:val="0"/>
              <w:ind w:firstLine="56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2,390.00万元，其中，一般公共预算拨款2,390.00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收入较去年减少34万元，降幅-1.4%，原因是</w:t>
            </w:r>
            <w:r>
              <w:rPr>
                <w:rFonts w:hint="eastAsia" w:ascii="仿宋_GB2312" w:hAnsi="宋体" w:cs="仿宋_GB2312"/>
                <w:i w:val="0"/>
                <w:iCs w:val="0"/>
                <w:color w:val="auto"/>
                <w:kern w:val="0"/>
                <w:sz w:val="28"/>
                <w:szCs w:val="28"/>
                <w:u w:val="none"/>
                <w:lang w:val="en-US" w:eastAsia="zh-CN" w:bidi="ar"/>
              </w:rPr>
              <w:t>非税收入减少。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2021年本单位支出预算2,390.00万元，其中，城乡社区支出2,390.00万元。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支出较去年减少34万元，其中基本支出与去年持平；项目支出较去年减少34万元，原因</w:t>
            </w:r>
            <w:r>
              <w:rPr>
                <w:rFonts w:hint="eastAsia" w:ascii="仿宋_GB2312" w:hAnsi="宋体" w:cs="仿宋_GB2312"/>
                <w:i w:val="0"/>
                <w:iCs w:val="0"/>
                <w:color w:val="auto"/>
                <w:kern w:val="0"/>
                <w:sz w:val="28"/>
                <w:szCs w:val="28"/>
                <w:u w:val="none"/>
                <w:lang w:val="en-US" w:eastAsia="zh-CN" w:bidi="ar"/>
              </w:rPr>
              <w:t>是非税执收成本减少</w:t>
            </w:r>
            <w:r>
              <w:rPr>
                <w:rFonts w:hint="eastAsia" w:ascii="仿宋_GB2312" w:hAnsi="宋体" w:eastAsia="仿宋_GB2312"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2021年一般公共预算拨款支出预算2,390.00万元，其中，城乡社区支出2,390.00万元，占100.0%。具体安排情况如下：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0.00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2,390.00万元，是指单位为完成特定行政工作任务或事业发展目标而发生的支出，包括有关业务工作经费、运行维护经费等。其中包括：1、城市道路、桥梁、主涵、涵洞及配套设施日常维护管理费用 960万元，主要用于主城区城市道路、桥梁、主涵、涵洞及配套设施的日常维护管理；2、中心城区主次干道、桥梁、涵洞等基础设施急需整治项目经费 1300万元，主要用于中心城区基础设施的急需整治；3、经费补助 120万元，主要用于日常维护经费；4、非税收入执收成本 9万元，主要用于日常维护经费；5、补助项目支出 1万元，主要用于日常维护经费。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与去年持平，未用财政拨款安排机关运行经费。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本单位2021年“三公”经费预算数52.20万元，其中公务接待费7.20万元，因公出国（境）费0.00万元，公务用车购置及运行费等45.00万元（其中公务用车购置费0.00万元，公务用车运行费45.00万元）。</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与去年持平</w:t>
            </w:r>
            <w:r>
              <w:rPr>
                <w:rFonts w:hint="eastAsia" w:ascii="仿宋_GB2312" w:hAnsi="宋体" w:cs="仿宋_GB2312"/>
                <w:i w:val="0"/>
                <w:iCs w:val="0"/>
                <w:color w:val="auto"/>
                <w:kern w:val="0"/>
                <w:sz w:val="28"/>
                <w:szCs w:val="28"/>
                <w:u w:val="none"/>
                <w:lang w:val="en-US" w:eastAsia="zh-CN" w:bidi="ar"/>
              </w:rPr>
              <w:t>，主要原因是按照党中央、国务院关于“过紧日子”和坚持厉行节约反对浪费的要求，单位压缩开支。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2021年度本单位未计划召开会议；2021年度本单位未计划组织培训。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本单位2021年政府采购预算总额</w:t>
            </w:r>
            <w:r>
              <w:rPr>
                <w:rFonts w:hint="eastAsia"/>
                <w:color w:val="auto"/>
                <w:lang w:eastAsia="zh-CN"/>
              </w:rPr>
              <w:t>276.524万元，其中工程类91.524万元，货物类0万元，服务类185万元。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截至上一年12月底，本单位共有车辆23 辆，其中领导干部用车 0 辆，一般公务用车 1 辆，其他用车 22 辆。单位价值50万元以上通用设备 0 台，单位价值100万元以上专用设备 4 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本单位所有支出实行绩效目标管理。纳入2021年单位整体支出绩效目标的金额为2,390.00万元，其中，基本支出0.00万元，项目支出2,390.00万元，绩效目标详见文尾附表中预算公开表格的表22-23。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收支总表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收入总表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支出总表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支出预算分类汇总表（按政府预算经济分类）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支出预算分类汇总表（按部门预算经济分类）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财政拨款收支总表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一般公共预算支出表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一般公共预算基本支出表--人员经费(工资福利支出)(按政府预算经济分类)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一般公共预算基本支出表--人员经费(工资福利支出)(按部门预算经济分类)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一般公共预算基本支出表--人员经费(对个人和家庭的补助)(按政府预算经济分类)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一般公共预算基本支出表--人员经费(对个人和家庭的补助)（按部门预算经济分类）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一般公共预算基本支出表--公用经费(商品和服务支出)（按政府预算经济分类）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一般公共预算基本支出表--公用经费(商品和服务支出)(按部门预算经济分类)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一般公共预算“三公”经费支出表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政府性基金预算支出分类汇总表（按政府预算经济分类）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政府性基金预算支出分类汇总表（按部门预算经济分类）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国有资产经营预算支出表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纳入专户管理的非税收入拨款支出预算表(按政府预算经济分类)</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纳入专户管理的非税收入拨款支出预算表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支出预算项目明细表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财政支出项目预算绩效目标申报表</w:t>
            </w:r>
          </w:p>
          <w:p>
            <w:pPr>
              <w:keepNext w:val="0"/>
              <w:keepLines w:val="0"/>
              <w:widowControl/>
              <w:numPr>
                <w:ilvl w:val="0"/>
                <w:numId w:val="2"/>
              </w:numPr>
              <w:suppressLineNumbers w:val="0"/>
              <w:ind w:left="560" w:leftChars="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部门(单位)整体支出预算绩效目标申报表</w:t>
            </w:r>
          </w:p>
          <w:p>
            <w:pPr>
              <w:keepNext w:val="0"/>
              <w:keepLines w:val="0"/>
              <w:widowControl/>
              <w:numPr>
                <w:ilvl w:val="0"/>
                <w:numId w:val="0"/>
              </w:numPr>
              <w:suppressLineNumbers w:val="0"/>
              <w:ind w:left="560" w:leftChars="0"/>
              <w:jc w:val="left"/>
              <w:textAlignment w:val="center"/>
              <w:rPr>
                <w:rFonts w:hint="eastAsia" w:ascii="仿宋_GB2312" w:hAnsi="宋体"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二十四、一般公共预算基本支出总表</w:t>
            </w:r>
          </w:p>
          <w:p>
            <w:pPr>
              <w:keepNext w:val="0"/>
              <w:keepLines w:val="0"/>
              <w:widowControl/>
              <w:numPr>
                <w:ilvl w:val="0"/>
                <w:numId w:val="0"/>
              </w:numPr>
              <w:suppressLineNumbers w:val="0"/>
              <w:ind w:left="560" w:leftChars="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F5FE3C"/>
    <w:multiLevelType w:val="singleLevel"/>
    <w:tmpl w:val="F4F5FE3C"/>
    <w:lvl w:ilvl="0" w:tentative="0">
      <w:start w:val="1"/>
      <w:numFmt w:val="chineseCounting"/>
      <w:suff w:val="nothing"/>
      <w:lvlText w:val="%1、"/>
      <w:lvlJc w:val="left"/>
      <w:pPr>
        <w:ind w:left="560"/>
      </w:pPr>
      <w:rPr>
        <w:rFonts w:hint="eastAsia"/>
      </w:rPr>
    </w:lvl>
  </w:abstractNum>
  <w:abstractNum w:abstractNumId="1">
    <w:nsid w:val="0C514543"/>
    <w:multiLevelType w:val="singleLevel"/>
    <w:tmpl w:val="0C514543"/>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wYjE2NzhkNDM2Y2Y5NzI2YzFkODFmZGY5MzM4MWUifQ=="/>
  </w:docVars>
  <w:rsids>
    <w:rsidRoot w:val="48885009"/>
    <w:rsid w:val="02781BC8"/>
    <w:rsid w:val="060F4036"/>
    <w:rsid w:val="07453DF4"/>
    <w:rsid w:val="0EDE1FEB"/>
    <w:rsid w:val="10C6734C"/>
    <w:rsid w:val="1C880A5C"/>
    <w:rsid w:val="1DC1025A"/>
    <w:rsid w:val="210A65D7"/>
    <w:rsid w:val="217100D7"/>
    <w:rsid w:val="28437BCE"/>
    <w:rsid w:val="312E36D8"/>
    <w:rsid w:val="34390DE3"/>
    <w:rsid w:val="3B51265F"/>
    <w:rsid w:val="48885009"/>
    <w:rsid w:val="4D700A9E"/>
    <w:rsid w:val="4E542F0D"/>
    <w:rsid w:val="4E5D399A"/>
    <w:rsid w:val="50B30947"/>
    <w:rsid w:val="53F94FFA"/>
    <w:rsid w:val="55FC0B81"/>
    <w:rsid w:val="69647061"/>
    <w:rsid w:val="6B2C1CAA"/>
    <w:rsid w:val="707F6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3453</Words>
  <Characters>3699</Characters>
  <Lines>0</Lines>
  <Paragraphs>0</Paragraphs>
  <TotalTime>9</TotalTime>
  <ScaleCrop>false</ScaleCrop>
  <LinksUpToDate>false</LinksUpToDate>
  <CharactersWithSpaces>3890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AOC</cp:lastModifiedBy>
  <dcterms:modified xsi:type="dcterms:W3CDTF">2022-09-07T00:41:51Z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77DB4816AAA74BEEB5254860A740C21A</vt:lpwstr>
  </property>
</Properties>
</file>