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8"/>
          <w:szCs w:val="48"/>
          <w:lang w:eastAsia="zh-CN"/>
        </w:rPr>
      </w:pPr>
      <w:bookmarkStart w:id="0" w:name="_GoBack"/>
      <w:bookmarkEnd w:id="0"/>
      <w:r>
        <w:rPr>
          <w:rFonts w:hint="eastAsia" w:ascii="方正小标宋_GBK" w:hAnsi="方正小标宋_GBK" w:eastAsia="方正小标宋_GBK" w:cs="方正小标宋_GBK"/>
          <w:sz w:val="44"/>
          <w:szCs w:val="44"/>
          <w:lang w:eastAsia="zh-CN"/>
        </w:rPr>
        <w:t>岳阳市支持“个转企”若干措施</w:t>
      </w:r>
    </w:p>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w:t>
      </w:r>
      <w:r>
        <w:rPr>
          <w:rFonts w:hint="eastAsia" w:ascii="楷体" w:hAnsi="楷体" w:eastAsia="楷体" w:cs="楷体"/>
          <w:sz w:val="32"/>
          <w:szCs w:val="32"/>
          <w:lang w:eastAsia="zh-CN"/>
        </w:rPr>
        <w:t>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深入实施市场主体倍增工程，鼓励我市个体工商户转型升级为企业（以下简称“个转企”），进一步优化市场主体结构，促进市场主体高质量发展，增强市场竞争力和活力，根据《岳阳市优化营商环境促进市场主体高质量发展行动方案》（岳政办发〔2022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2号</w:t>
      </w:r>
      <w:r>
        <w:rPr>
          <w:rFonts w:hint="eastAsia" w:ascii="仿宋_GB2312" w:hAnsi="仿宋_GB2312" w:eastAsia="仿宋_GB2312" w:cs="仿宋_GB2312"/>
          <w:color w:val="000000" w:themeColor="text1"/>
          <w:sz w:val="32"/>
          <w:szCs w:val="32"/>
          <w:lang w:eastAsia="zh-CN"/>
          <w14:textFill>
            <w14:solidFill>
              <w14:schemeClr w14:val="tx1"/>
            </w14:solidFill>
          </w14:textFill>
        </w:rPr>
        <w:t>）等文件精神，制定如下措施。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一、简化登记程序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推动实现“个转企”登记程序一件事一次办。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一注一开”的原则和程序同步办理注销与设立登记，符合市场监管部门简易注销条件，未办理过涉税事宜，办理过涉税事宜但未领用发票（含代开发票）、无欠税（滞纳金）及罚款且没有其他未办结涉税事项的纳税人，免予到税务部门办理清税证明，可直接向市场监管部门申请简易注销，转型企业设立登记实现当天办结；放宽转型企业名称登记，在不违反企业名称登记管理规定的前提下，最大限度保留原个体工商户的字号及行业特点；个体工商户登记资料合并至企业档案，保持“个转企”登记档案延续性和完整性。（责任单位：市市场监管局、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二、优化许可审批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转型企业持登记机关出具的“个转企”证明办理食品经营、食品生产小作坊等许可证的注销和新办手续，经营范围（许可项目）和经营场所未发生变化的，免予现场核查，1个工作日内办结许可。（责任单位：市市场监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三、提供报税便利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转型企业因不可抗力因素或疫情影响等原因在规定期限内办理纳税申报有困难的，可依法向主管税务机关申请办理延期申报。因有特殊困难，不能按期缴纳税款的，经税务机关批准，可以申请延期缴纳税款，但最长不得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3个月。通过线上线下纳税人学堂、湘税通等渠道对转型企业开展针对性专项辅导报税，</w:t>
      </w:r>
      <w:r>
        <w:rPr>
          <w:rFonts w:hint="eastAsia" w:ascii="仿宋_GB2312" w:hAnsi="仿宋_GB2312" w:eastAsia="仿宋_GB2312" w:cs="仿宋_GB2312"/>
          <w:color w:val="000000" w:themeColor="text1"/>
          <w:sz w:val="32"/>
          <w:szCs w:val="32"/>
          <w:lang w:eastAsia="zh-CN"/>
          <w14:textFill>
            <w14:solidFill>
              <w14:schemeClr w14:val="tx1"/>
            </w14:solidFill>
          </w14:textFill>
        </w:rPr>
        <w:t>确保操作有指引、办税无阻碍。鼓励各地为转型企业免费提供代理记账、税务申报等服务，切实减轻企业负担。引导社会服务机构积极为“个转企”企业开展各类低收费或者免费的专业服务。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（责任单位：市税务局、市市场监管局，各县市区人民政府（管委会））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四、实施税收减免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个体工商户转型为个人独资企业的，其个人所得税参照个体工商户相关规定执行。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转型企业符合国家小微企业税收减免条件的，企业所得税享受小微企业税收减免相关政策。转型企业认定为国家重点扶持的高新技术企业，符合条件的减按15%的税率征收企业所得税；转型企业为开发新产品、新技术、新工艺所发生的研究开发费用，符合条件的在计算企业所得税时可以按规定加计扣除。（责任单位：市税务局、市科技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五、降低费用负担</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转型升级后的小微企业申请不动产登记的，免收不动产登记费。转型企业的社会保险费，按照《国务院办公厅关于印发降低社会保险费率综合方案的通知》（国办发〔2019〕13号）以及《湖南省人民政府办公厅关于印发〈湖南省降低社会保险费率实施方案〉的通知》（湘政办发〔2019〕19号）规定执行。对承租国有房屋的转型企业，2022年免除3个月房屋租金。对受疫情影响暂时出现生产经营困难的转型企业用水、用电、用气实行“欠费不停供”政策，对未能及时缴费的，缓缴期间免收欠费滞纳金，缓缴期限最长不超过6个月。（责任单位：市资规局、市税务局、市人社局、市发改委、市国资委、市机关事务局、市财政局，各县市区人民政府（管委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六、提供财政支持</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2021年12月31日前设立的个体工商户，在2022年1月1日后转型升级为企业的，年纳税额在1000元以上的，当年给予1000元奖励。符合国家、省、市产业发展政策，具有一定资产规模、健全的财务管理制度、良好的会计和纳税信用的转型企业，可申请省、市企业技术改造资金；符合条件的转型企业，可申报规模以上企业专项资金支持。转型企业招用毕业1年内的高校毕业生及高级工、技师班（含预备技师班）毕业生，签订1年以上劳动合同并按规定缴纳社会保险费的，按每人1000元给予一次性吸纳就业补贴。招用毕业年度高校毕业生就业签订合同并参加失业保险的企业，按照每人1500元的标准发放一次性扩岗补助，从失业保险基金中列支，此项补助与一次性吸纳就业补助不重复享受。（责任单位：市财政局、市市场监管局、市发改委、市工信局、市人社局，各县市区人民政府（管委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七、强化融资扶持</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金融机构按照市场化原则与转型企业自主协商，对其贷款实施延期还本付息，努力做到应延尽延，延期还本付息日期原则上不超过2022年底。鼓励金融机构加大对转型企业的信贷支持和产品创新力度，建立金融机构与政府出资的担保和再担保机构合作，积极运用支农支小再贷款、普惠小微贷款支持工具向转型企业发放优惠利率贷款，拓宽企业融资渠道。（责任单位：市人民银行、市财政局、市金融办，各县市区人民政府（管委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八、加强知识产权保护</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加强原个体工商户享有的专利权、商标权等权益保护，支持转移到转型企业名下。为转型企业申请商标注册、专利及办理转让、变更、续展业务提供便利化服务。（责任单位：市市场监管局）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九、开设“绿色通道”</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取得审批许可的转型企业持“个转企”证明办理不动产、社保等审批事项，相关部门应为其办理延续或变更手续提供便利。鼓励金融机构为转型企业账户撤销、变更和开立等业务开辟“绿色通道”。（责任单位：市资规局、市人社局、市人民银行）</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十、加强“个转企”辅导</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个转企”培育库，发挥个私协会作用，定期开展“个转企”转型培训和转型企业税费政策培训辅导，采取讲座、上门指导、惠企信息平台等多种形式，开展线上线下相结合的“个转企”转型培训，为“个转企”开展法律、税收、融资等各类政策指导服务，指导转型企业顺利开展经营活动。（责任单位：市市场监管局、市人社局、市税务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A220B"/>
    <w:rsid w:val="36C46004"/>
    <w:rsid w:val="3FBA220B"/>
    <w:rsid w:val="739E0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99"/>
    <w:pPr>
      <w:spacing w:before="156" w:after="156"/>
    </w:p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2221</Words>
  <Characters>2260</Characters>
  <Lines>0</Lines>
  <Paragraphs>0</Paragraphs>
  <TotalTime>0</TotalTime>
  <ScaleCrop>false</ScaleCrop>
  <LinksUpToDate>false</LinksUpToDate>
  <CharactersWithSpaces>2260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2022-09-22T06:44:00Z</dcterms:created>
  <dc:creator>webUser</dc:creator>
  <cp:lastModifiedBy>柳青</cp:lastModifiedBy>
  <cp:lastPrinted>2022-09-22T06:48:00Z</cp:lastPrinted>
  <dcterms:modified xsi:type="dcterms:W3CDTF">2022-09-22T08:41:50Z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E04DDD343EED41E899F8054C8E29BDBB</vt:lpwstr>
  </property>
</Properties>
</file>