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2021年度</w:t>
      </w:r>
    </w:p>
    <w:p>
      <w:pPr>
        <w:pStyle w:val="10"/>
        <w:jc w:val="center"/>
        <w:rPr>
          <w:rFonts w:hint="eastAsia"/>
          <w:sz w:val="84"/>
          <w:szCs w:val="84"/>
          <w:lang w:eastAsia="zh-CN"/>
        </w:rPr>
      </w:pPr>
      <w:r>
        <w:rPr>
          <w:rFonts w:hint="eastAsia"/>
          <w:sz w:val="84"/>
          <w:szCs w:val="84"/>
          <w:lang w:eastAsia="zh-CN"/>
        </w:rPr>
        <w:t>岳阳市交通运输局</w:t>
      </w:r>
    </w:p>
    <w:p>
      <w:pPr>
        <w:pStyle w:val="10"/>
        <w:jc w:val="center"/>
        <w:rPr>
          <w:sz w:val="84"/>
          <w:szCs w:val="84"/>
        </w:rPr>
      </w:pPr>
      <w:r>
        <w:rPr>
          <w:rFonts w:hint="eastAsia"/>
          <w:sz w:val="84"/>
          <w:szCs w:val="84"/>
        </w:rPr>
        <w:t>部门（单位）部门决算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center"/>
        <w:rPr>
          <w:b/>
          <w:sz w:val="36"/>
          <w:szCs w:val="28"/>
        </w:rPr>
      </w:pPr>
    </w:p>
    <w:p>
      <w:pPr>
        <w:pStyle w:val="10"/>
        <w:spacing w:line="500" w:lineRule="exact"/>
        <w:jc w:val="center"/>
        <w:rPr>
          <w:b/>
          <w:sz w:val="36"/>
          <w:szCs w:val="28"/>
        </w:rPr>
      </w:pPr>
    </w:p>
    <w:p>
      <w:pPr>
        <w:pStyle w:val="10"/>
        <w:keepNext w:val="0"/>
        <w:keepLines w:val="0"/>
        <w:pageBreakBefore w:val="0"/>
        <w:widowControl w:val="0"/>
        <w:kinsoku/>
        <w:wordWrap/>
        <w:overflowPunct/>
        <w:topLinePunct w:val="0"/>
        <w:bidi w:val="0"/>
        <w:snapToGrid/>
        <w:spacing w:line="480" w:lineRule="exact"/>
        <w:jc w:val="center"/>
        <w:textAlignment w:val="auto"/>
        <w:rPr>
          <w:b/>
          <w:sz w:val="36"/>
          <w:szCs w:val="28"/>
        </w:rPr>
      </w:pPr>
      <w:r>
        <w:rPr>
          <w:rFonts w:hint="eastAsia"/>
          <w:b/>
          <w:sz w:val="36"/>
          <w:szCs w:val="28"/>
        </w:rPr>
        <w:t>目录</w:t>
      </w:r>
    </w:p>
    <w:p>
      <w:pPr>
        <w:pStyle w:val="10"/>
        <w:keepNext w:val="0"/>
        <w:keepLines w:val="0"/>
        <w:pageBreakBefore w:val="0"/>
        <w:widowControl w:val="0"/>
        <w:kinsoku/>
        <w:wordWrap/>
        <w:overflowPunct/>
        <w:topLinePunct w:val="0"/>
        <w:bidi w:val="0"/>
        <w:snapToGrid/>
        <w:spacing w:line="480" w:lineRule="exact"/>
        <w:textAlignment w:val="auto"/>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 xml:space="preserve">  </w:t>
      </w:r>
      <w:r>
        <w:rPr>
          <w:rFonts w:hint="eastAsia"/>
          <w:b/>
          <w:sz w:val="28"/>
          <w:szCs w:val="28"/>
          <w:lang w:eastAsia="zh-CN"/>
        </w:rPr>
        <w:t>岳阳市交通运输局</w:t>
      </w:r>
      <w:r>
        <w:rPr>
          <w:rFonts w:hint="eastAsia"/>
          <w:b/>
          <w:sz w:val="28"/>
          <w:szCs w:val="28"/>
        </w:rPr>
        <w:t>单位概况</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keepNext w:val="0"/>
        <w:keepLines w:val="0"/>
        <w:pageBreakBefore w:val="0"/>
        <w:widowControl w:val="0"/>
        <w:kinsoku/>
        <w:wordWrap/>
        <w:overflowPunct/>
        <w:topLinePunct w:val="0"/>
        <w:bidi w:val="0"/>
        <w:snapToGrid/>
        <w:spacing w:line="480" w:lineRule="exact"/>
        <w:textAlignment w:val="auto"/>
        <w:rPr>
          <w:rFonts w:ascii="仿宋_GB2312" w:hAnsi="仿宋_GB2312" w:cs="仿宋_GB2312"/>
          <w:b/>
          <w:sz w:val="28"/>
          <w:szCs w:val="28"/>
        </w:rPr>
      </w:pPr>
      <w:r>
        <w:rPr>
          <w:rFonts w:hint="eastAsia" w:hAnsi="仿宋_GB2312"/>
          <w:b/>
          <w:sz w:val="28"/>
          <w:szCs w:val="28"/>
        </w:rPr>
        <w:t>第二部分</w:t>
      </w:r>
      <w:r>
        <w:rPr>
          <w:rFonts w:hint="eastAsia" w:hAnsi="仿宋_GB2312"/>
          <w:b/>
          <w:sz w:val="28"/>
          <w:szCs w:val="28"/>
          <w:lang w:val="en-US" w:eastAsia="zh-CN"/>
        </w:rPr>
        <w:t xml:space="preserve">  </w:t>
      </w:r>
      <w:r>
        <w:rPr>
          <w:rFonts w:hAnsi="仿宋_GB2312"/>
          <w:b/>
          <w:sz w:val="28"/>
          <w:szCs w:val="28"/>
        </w:rPr>
        <w:t>20</w:t>
      </w:r>
      <w:r>
        <w:rPr>
          <w:rFonts w:hint="eastAsia" w:hAnsi="仿宋_GB2312"/>
          <w:b/>
          <w:sz w:val="28"/>
          <w:szCs w:val="28"/>
        </w:rPr>
        <w:t>21年度部门决算表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keepNext w:val="0"/>
        <w:keepLines w:val="0"/>
        <w:pageBreakBefore w:val="0"/>
        <w:widowControl w:val="0"/>
        <w:kinsoku/>
        <w:wordWrap/>
        <w:overflowPunct/>
        <w:topLinePunct w:val="0"/>
        <w:bidi w:val="0"/>
        <w:snapToGrid/>
        <w:spacing w:line="480" w:lineRule="exact"/>
        <w:textAlignment w:val="auto"/>
        <w:rPr>
          <w:rFonts w:ascii="仿宋_GB2312" w:hAnsi="仿宋_GB2312" w:cs="仿宋_GB2312"/>
          <w:b/>
          <w:sz w:val="28"/>
          <w:szCs w:val="28"/>
        </w:rPr>
      </w:pPr>
      <w:r>
        <w:rPr>
          <w:rFonts w:hint="eastAsia" w:hAnsi="仿宋_GB2312"/>
          <w:b/>
          <w:sz w:val="28"/>
          <w:szCs w:val="28"/>
        </w:rPr>
        <w:t>第三部分</w:t>
      </w:r>
      <w:r>
        <w:rPr>
          <w:rFonts w:hint="eastAsia" w:hAnsi="仿宋_GB2312"/>
          <w:b/>
          <w:sz w:val="28"/>
          <w:szCs w:val="28"/>
          <w:lang w:val="en-US" w:eastAsia="zh-CN"/>
        </w:rPr>
        <w:t xml:space="preserve">  </w:t>
      </w:r>
      <w:r>
        <w:rPr>
          <w:rFonts w:hAnsi="仿宋_GB2312"/>
          <w:b/>
          <w:sz w:val="28"/>
          <w:szCs w:val="28"/>
        </w:rPr>
        <w:t>20</w:t>
      </w:r>
      <w:r>
        <w:rPr>
          <w:rFonts w:hint="eastAsia" w:hAnsi="仿宋_GB2312"/>
          <w:b/>
          <w:sz w:val="28"/>
          <w:szCs w:val="28"/>
        </w:rPr>
        <w:t>21年度部门决算情况说明</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ascii="仿宋_GB2312" w:hAnsi="仿宋_GB2312" w:cs="仿宋_GB2312"/>
          <w:sz w:val="28"/>
          <w:szCs w:val="28"/>
        </w:rPr>
      </w:pPr>
      <w:r>
        <w:rPr>
          <w:rFonts w:ascii="仿宋_GB2312" w:hAnsi="仿宋_GB2312" w:cs="仿宋_GB2312"/>
          <w:sz w:val="28"/>
          <w:szCs w:val="28"/>
        </w:rPr>
        <w:t>二、收入决算情况说明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cs="仿宋_GB2312" w:eastAsiaTheme="minorEastAsia"/>
          <w:color w:val="000000"/>
          <w:kern w:val="0"/>
          <w:sz w:val="28"/>
          <w:szCs w:val="28"/>
          <w:lang w:eastAsia="zh-CN"/>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cs="仿宋_GB2312" w:asciiTheme="minorEastAsia" w:hAnsiTheme="minorEastAsia" w:eastAsiaTheme="minorEastAsia"/>
          <w:sz w:val="28"/>
          <w:szCs w:val="28"/>
        </w:rPr>
        <w:t>国有资本经营预算财政拨款支出决算</w:t>
      </w:r>
      <w:r>
        <w:rPr>
          <w:rFonts w:hint="eastAsia" w:cs="仿宋_GB2312" w:asciiTheme="minorEastAsia" w:hAnsiTheme="minorEastAsia"/>
          <w:sz w:val="28"/>
          <w:szCs w:val="28"/>
          <w:lang w:eastAsia="zh-CN"/>
        </w:rPr>
        <w:t>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十、机关运行经费支出说明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十一、一般性支出情况说明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w:t>
      </w:r>
      <w:r>
        <w:rPr>
          <w:rFonts w:hint="eastAsia" w:ascii="仿宋_GB2312" w:hAnsi="仿宋_GB2312" w:cs="仿宋_GB2312"/>
          <w:color w:val="000000"/>
          <w:kern w:val="0"/>
          <w:sz w:val="28"/>
          <w:szCs w:val="28"/>
        </w:rPr>
        <w:t>政府采购支出说明</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cs="仿宋_GB2312" w:eastAsiaTheme="minorEastAsia"/>
          <w:sz w:val="28"/>
          <w:szCs w:val="28"/>
        </w:rPr>
      </w:pPr>
      <w:r>
        <w:rPr>
          <w:rFonts w:hint="eastAsia" w:ascii="仿宋_GB2312" w:hAnsi="仿宋_GB2312" w:cs="仿宋_GB2312" w:eastAsiaTheme="minorEastAsia"/>
          <w:sz w:val="28"/>
          <w:szCs w:val="28"/>
        </w:rPr>
        <w:t>十三、国有资产占用情况说明</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cs="仿宋_GB2312" w:eastAsiaTheme="minorEastAsia"/>
          <w:sz w:val="28"/>
          <w:szCs w:val="28"/>
          <w:lang w:eastAsia="zh-CN"/>
        </w:rPr>
      </w:pPr>
      <w:r>
        <w:rPr>
          <w:rFonts w:hint="eastAsia" w:ascii="仿宋_GB2312" w:hAnsi="仿宋_GB2312" w:cs="仿宋_GB2312" w:eastAsiaTheme="minorEastAsia"/>
          <w:sz w:val="28"/>
          <w:szCs w:val="28"/>
          <w:lang w:eastAsia="zh-CN"/>
        </w:rPr>
        <w:t>十四、</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ascii="黑体" w:hAnsi="黑体" w:eastAsia="黑体" w:cs="黑体"/>
          <w:b/>
          <w:color w:val="000000"/>
          <w:kern w:val="0"/>
          <w:sz w:val="28"/>
          <w:szCs w:val="28"/>
        </w:rPr>
      </w:pPr>
      <w:r>
        <w:rPr>
          <w:rFonts w:ascii="黑体" w:hAnsi="黑体" w:eastAsia="黑体" w:cs="黑体"/>
          <w:b/>
          <w:color w:val="000000"/>
          <w:kern w:val="0"/>
          <w:sz w:val="28"/>
          <w:szCs w:val="28"/>
        </w:rPr>
        <w:t>第四部分</w:t>
      </w:r>
      <w:r>
        <w:rPr>
          <w:rFonts w:hint="eastAsia" w:ascii="黑体" w:hAnsi="黑体" w:eastAsia="黑体" w:cs="黑体"/>
          <w:b/>
          <w:color w:val="000000"/>
          <w:kern w:val="0"/>
          <w:sz w:val="28"/>
          <w:szCs w:val="28"/>
          <w:lang w:val="en-US" w:eastAsia="zh-CN"/>
        </w:rPr>
        <w:t xml:space="preserve">  </w:t>
      </w:r>
      <w:r>
        <w:rPr>
          <w:rFonts w:ascii="黑体" w:hAnsi="黑体" w:eastAsia="黑体" w:cs="黑体"/>
          <w:b/>
          <w:color w:val="000000"/>
          <w:kern w:val="0"/>
          <w:sz w:val="28"/>
          <w:szCs w:val="28"/>
        </w:rPr>
        <w:t>名词解释</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w:t>
      </w:r>
      <w:r>
        <w:rPr>
          <w:rFonts w:hint="eastAsia" w:ascii="黑体" w:hAnsi="黑体" w:eastAsia="黑体" w:cs="黑体"/>
          <w:b/>
          <w:color w:val="000000"/>
          <w:kern w:val="0"/>
          <w:sz w:val="28"/>
          <w:szCs w:val="28"/>
          <w:lang w:val="en-US" w:eastAsia="zh-CN"/>
        </w:rPr>
        <w:t xml:space="preserve">  </w:t>
      </w:r>
      <w:r>
        <w:rPr>
          <w:rFonts w:hint="eastAsia" w:ascii="黑体" w:hAnsi="黑体" w:eastAsia="黑体" w:cs="黑体"/>
          <w:b/>
          <w:color w:val="000000"/>
          <w:kern w:val="0"/>
          <w:sz w:val="28"/>
          <w:szCs w:val="28"/>
        </w:rPr>
        <w:t>附件</w:t>
      </w:r>
    </w:p>
    <w:p>
      <w:pPr>
        <w:keepNext w:val="0"/>
        <w:keepLines w:val="0"/>
        <w:pageBreakBefore w:val="0"/>
        <w:widowControl w:val="0"/>
        <w:kinsoku/>
        <w:wordWrap/>
        <w:overflowPunct/>
        <w:topLinePunct w:val="0"/>
        <w:bidi w:val="0"/>
        <w:snapToGrid/>
        <w:spacing w:line="620" w:lineRule="exact"/>
        <w:jc w:val="center"/>
        <w:textAlignment w:val="auto"/>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rFonts w:hint="eastAsia"/>
          <w:sz w:val="84"/>
          <w:szCs w:val="84"/>
        </w:rPr>
      </w:pPr>
    </w:p>
    <w:p>
      <w:pPr>
        <w:pStyle w:val="10"/>
        <w:jc w:val="center"/>
        <w:rPr>
          <w:rFonts w:hint="eastAsia"/>
          <w:sz w:val="84"/>
          <w:szCs w:val="84"/>
        </w:rPr>
      </w:pPr>
    </w:p>
    <w:p>
      <w:pPr>
        <w:pStyle w:val="10"/>
        <w:jc w:val="center"/>
        <w:rPr>
          <w:rFonts w:hint="eastAsia"/>
          <w:sz w:val="84"/>
          <w:szCs w:val="84"/>
        </w:rPr>
      </w:pPr>
    </w:p>
    <w:p>
      <w:pPr>
        <w:pStyle w:val="10"/>
        <w:jc w:val="center"/>
        <w:rPr>
          <w:rFonts w:hint="eastAsia"/>
          <w:sz w:val="84"/>
          <w:szCs w:val="84"/>
        </w:rPr>
      </w:pPr>
    </w:p>
    <w:p>
      <w:pPr>
        <w:pStyle w:val="10"/>
        <w:jc w:val="center"/>
        <w:rPr>
          <w:rFonts w:hint="eastAsia"/>
          <w:sz w:val="84"/>
          <w:szCs w:val="84"/>
        </w:rPr>
      </w:pPr>
    </w:p>
    <w:p>
      <w:pPr>
        <w:pStyle w:val="10"/>
        <w:jc w:val="center"/>
        <w:rPr>
          <w:rFonts w:hint="eastAsia"/>
          <w:sz w:val="84"/>
          <w:szCs w:val="84"/>
        </w:rPr>
      </w:pPr>
    </w:p>
    <w:p>
      <w:pPr>
        <w:pStyle w:val="10"/>
        <w:jc w:val="center"/>
        <w:rPr>
          <w:rFonts w:hint="eastAsia"/>
          <w:sz w:val="84"/>
          <w:szCs w:val="84"/>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sz w:val="84"/>
          <w:szCs w:val="84"/>
        </w:rPr>
      </w:pPr>
    </w:p>
    <w:p>
      <w:pPr>
        <w:pStyle w:val="10"/>
        <w:jc w:val="center"/>
        <w:rPr>
          <w:rFonts w:hint="eastAsia"/>
          <w:sz w:val="84"/>
          <w:szCs w:val="84"/>
          <w:lang w:eastAsia="zh-CN"/>
        </w:rPr>
      </w:pPr>
      <w:r>
        <w:rPr>
          <w:rFonts w:hint="eastAsia"/>
          <w:sz w:val="84"/>
          <w:szCs w:val="84"/>
          <w:lang w:eastAsia="zh-CN"/>
        </w:rPr>
        <w:t>岳阳市交通运输局</w:t>
      </w:r>
    </w:p>
    <w:p>
      <w:pPr>
        <w:pStyle w:val="10"/>
        <w:jc w:val="center"/>
        <w:rPr>
          <w:sz w:val="84"/>
          <w:szCs w:val="84"/>
        </w:rPr>
      </w:pPr>
      <w:r>
        <w:rPr>
          <w:rFonts w:hint="eastAsia"/>
          <w:sz w:val="84"/>
          <w:szCs w:val="84"/>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numPr>
          <w:ilvl w:val="0"/>
          <w:numId w:val="0"/>
        </w:numPr>
        <w:ind w:leftChars="0"/>
        <w:jc w:val="left"/>
        <w:rPr>
          <w:rFonts w:ascii="黑体" w:hAnsi="黑体" w:eastAsia="黑体"/>
          <w:sz w:val="32"/>
          <w:szCs w:val="32"/>
        </w:rPr>
      </w:pPr>
    </w:p>
    <w:p>
      <w:pPr>
        <w:widowControl/>
        <w:spacing w:line="600" w:lineRule="exact"/>
        <w:rPr>
          <w:rFonts w:ascii="宋体" w:hAnsi="宋体"/>
          <w:b/>
          <w:bCs/>
          <w:kern w:val="0"/>
          <w:sz w:val="32"/>
          <w:szCs w:val="32"/>
        </w:rPr>
      </w:pPr>
      <w:r>
        <w:rPr>
          <w:rFonts w:hint="eastAsia" w:ascii="宋体" w:hAnsi="宋体" w:cs="仿宋_GB2312"/>
          <w:b/>
          <w:bCs/>
          <w:kern w:val="0"/>
          <w:sz w:val="32"/>
          <w:szCs w:val="32"/>
        </w:rPr>
        <w:t>一、部门职责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（一）推进全市综合交通运输体系建设，统筹规划全市公路、水路、民航、地方铁路、管道运输以及邮政行业发展，优化交通运输资源配置，促进交通运输方式相互衔接融合。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组织拟订并监督实施全市公路、民航、地方铁路等行业政策标准；参与拟定物流业发展战略和规划，拟定有关政策并监督实施；协调中央、省垂直管理的铁路、高速公路和双重管理的邮政等单位涉及地方的相关工作。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组织制定全市道路、民航运输有关运营规范、管理制度并监督实施；负责交通行业诚信体系建设，维护市场经营秩序；负责权限内全市交通运输行政许可工作，参与制定交通行业运价和收费标准，并组织实施；负责统筹协调推进区域和城乡交通协调发展，加快推进区域和城乡交通运输一体化。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（四）负责拟订全市铁路运输发展规划，组织制定专用铁路、铁路专用线、地方铁路（含城际铁路）、合资铁路运输有关运营规范、管理制度并监督实施。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（五）指导权限内全市交通运输行业安全生产和应急管理工作；按规定组织协调全市重点物资和紧急客货运输，负责全市干线路网运行监测和协调；负责全市国防交通战备工作。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（六）负责提出全市交通固定资产投资规模和方向、市级财政性资金安排建议，按市政府规定权限审批、核准全市交通固定资产投资项目。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（七）承担交通建设市场监管和绩效监督管理；拟订全市交通工程建设相关政策、制度和技术标准，并组织监督、实施；负责全市交通建设工程造价控制和工程质量、安全生产的监督管理。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（八）负责对全市交通运输综合执法工作的领导、指导和监督管理。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（九）负责全市交通运输行业科技教育、环境保护、节能减排等工作；指导全市交通运输信息化建设，负责信息监测、分析和发布工作。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（十）负责交通运输预算资金的申请、拨付和监管，监督全市交通运输行业投融资政策的实施；指导交通运输行业开展对外交流合作和交通外经外贸工作。 </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eastAsia="zh-CN"/>
        </w:rPr>
        <w:t>（十一）</w:t>
      </w:r>
      <w:r>
        <w:rPr>
          <w:rFonts w:hint="eastAsia" w:ascii="仿宋_GB2312" w:hAnsi="仿宋_GB2312" w:eastAsia="仿宋_GB2312" w:cs="仿宋_GB2312"/>
          <w:sz w:val="32"/>
          <w:szCs w:val="32"/>
        </w:rPr>
        <w:t>承办市委、市人民政府交办的其他事项。</w:t>
      </w:r>
    </w:p>
    <w:p>
      <w:pPr>
        <w:widowControl/>
        <w:spacing w:line="600" w:lineRule="exact"/>
        <w:rPr>
          <w:rFonts w:ascii="宋体" w:hAnsi="宋体"/>
          <w:b/>
          <w:bCs/>
          <w:kern w:val="0"/>
          <w:sz w:val="32"/>
          <w:szCs w:val="32"/>
        </w:rPr>
      </w:pPr>
      <w:r>
        <w:rPr>
          <w:rFonts w:hint="eastAsia" w:ascii="宋体" w:hAnsi="宋体" w:cs="仿宋_GB2312"/>
          <w:b/>
          <w:bCs/>
          <w:kern w:val="0"/>
          <w:sz w:val="32"/>
          <w:szCs w:val="32"/>
        </w:rPr>
        <w:t>二、机构设置</w:t>
      </w:r>
    </w:p>
    <w:p>
      <w:pPr>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bCs/>
          <w:kern w:val="0"/>
          <w:sz w:val="32"/>
          <w:szCs w:val="32"/>
        </w:rPr>
        <w:t>（一）内设机构设置。岳阳市交通运输局</w:t>
      </w:r>
      <w:r>
        <w:rPr>
          <w:rFonts w:hint="eastAsia" w:ascii="仿宋_GB2312" w:hAnsi="仿宋_GB2312" w:eastAsia="仿宋_GB2312" w:cs="仿宋_GB2312"/>
          <w:bCs/>
          <w:kern w:val="0"/>
          <w:sz w:val="32"/>
          <w:szCs w:val="32"/>
          <w:lang w:eastAsia="zh-CN"/>
        </w:rPr>
        <w:t>机关</w:t>
      </w:r>
      <w:r>
        <w:rPr>
          <w:rFonts w:hint="eastAsia" w:ascii="仿宋_GB2312" w:hAnsi="仿宋_GB2312" w:eastAsia="仿宋_GB2312" w:cs="仿宋_GB2312"/>
          <w:bCs/>
          <w:kern w:val="0"/>
          <w:sz w:val="32"/>
          <w:szCs w:val="32"/>
        </w:rPr>
        <w:t>内设机构包括：</w:t>
      </w:r>
      <w:r>
        <w:rPr>
          <w:rFonts w:hint="eastAsia" w:ascii="仿宋_GB2312" w:hAnsi="仿宋_GB2312" w:eastAsia="仿宋_GB2312" w:cs="仿宋_GB2312"/>
          <w:color w:val="333333"/>
          <w:sz w:val="32"/>
          <w:szCs w:val="32"/>
        </w:rPr>
        <w:t>内设科室16个，所属事业单位3个。</w:t>
      </w:r>
    </w:p>
    <w:p>
      <w:pPr>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内设科室是：办公室（信访科）、规划统计科（交通战备办公室）、基本建设科、运输管理科、公交管理科、物流管理科、安全监督科、法制科、行政审批科、公路管理科、审计科、人事科、财务科、机关党委、机关纪委、离退休人员管理服务科。</w:t>
      </w:r>
    </w:p>
    <w:p>
      <w:pPr>
        <w:widowControl/>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3个</w:t>
      </w:r>
      <w:r>
        <w:rPr>
          <w:rFonts w:hint="eastAsia" w:ascii="仿宋_GB2312" w:hAnsi="仿宋_GB2312" w:eastAsia="仿宋_GB2312" w:cs="仿宋_GB2312"/>
          <w:sz w:val="32"/>
          <w:szCs w:val="32"/>
        </w:rPr>
        <w:t>所属事业单位</w:t>
      </w:r>
      <w:r>
        <w:rPr>
          <w:rFonts w:hint="eastAsia" w:ascii="仿宋_GB2312" w:hAnsi="仿宋_GB2312" w:eastAsia="仿宋_GB2312" w:cs="仿宋_GB2312"/>
          <w:sz w:val="32"/>
          <w:szCs w:val="32"/>
          <w:lang w:eastAsia="zh-CN"/>
        </w:rPr>
        <w:t>分别</w:t>
      </w:r>
      <w:r>
        <w:rPr>
          <w:rFonts w:hint="eastAsia" w:ascii="仿宋_GB2312" w:hAnsi="仿宋_GB2312" w:eastAsia="仿宋_GB2312" w:cs="仿宋_GB2312"/>
          <w:sz w:val="32"/>
          <w:szCs w:val="32"/>
        </w:rPr>
        <w:t>是：岳阳市交通建设工程造价管理站、岳阳市交通科技信息中心、岳阳市交通运输局机关后勤服务中心。</w:t>
      </w:r>
    </w:p>
    <w:p>
      <w:pPr>
        <w:widowControl/>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kern w:val="0"/>
          <w:sz w:val="32"/>
          <w:szCs w:val="32"/>
        </w:rPr>
        <w:t>（二）决算单位构成。岳阳市交通运输局202</w:t>
      </w:r>
      <w:r>
        <w:rPr>
          <w:rFonts w:hint="eastAsia" w:ascii="仿宋_GB2312" w:hAnsi="仿宋_GB2312" w:eastAsia="仿宋_GB2312" w:cs="仿宋_GB2312"/>
          <w:bCs/>
          <w:kern w:val="0"/>
          <w:sz w:val="32"/>
          <w:szCs w:val="32"/>
          <w:lang w:val="en-US" w:eastAsia="zh-CN"/>
        </w:rPr>
        <w:t>1</w:t>
      </w:r>
      <w:r>
        <w:rPr>
          <w:rFonts w:hint="eastAsia" w:ascii="仿宋_GB2312" w:hAnsi="仿宋_GB2312" w:eastAsia="仿宋_GB2312" w:cs="仿宋_GB2312"/>
          <w:bCs/>
          <w:kern w:val="0"/>
          <w:sz w:val="32"/>
          <w:szCs w:val="32"/>
        </w:rPr>
        <w:t>年部门决算公开单位构成包括：岳阳市交通运输局</w:t>
      </w:r>
      <w:r>
        <w:rPr>
          <w:rFonts w:hint="eastAsia" w:ascii="仿宋_GB2312" w:hAnsi="仿宋_GB2312" w:eastAsia="仿宋_GB2312" w:cs="仿宋_GB2312"/>
          <w:bCs/>
          <w:kern w:val="0"/>
          <w:sz w:val="32"/>
          <w:szCs w:val="32"/>
          <w:lang w:eastAsia="zh-CN"/>
        </w:rPr>
        <w:t>机关</w:t>
      </w:r>
      <w:r>
        <w:rPr>
          <w:rFonts w:hint="eastAsia" w:ascii="仿宋_GB2312" w:hAnsi="仿宋_GB2312" w:eastAsia="仿宋_GB2312" w:cs="仿宋_GB2312"/>
          <w:bCs/>
          <w:kern w:val="0"/>
          <w:sz w:val="32"/>
          <w:szCs w:val="32"/>
        </w:rPr>
        <w:t>本级</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sz w:val="32"/>
          <w:szCs w:val="32"/>
        </w:rPr>
        <w:t>岳阳市交通建设工程造价管理站、岳阳市交通科技信息中心、岳阳市交通运输局机关后勤服务中心。</w:t>
      </w:r>
    </w:p>
    <w:p>
      <w:pPr>
        <w:widowControl/>
        <w:numPr>
          <w:ilvl w:val="0"/>
          <w:numId w:val="0"/>
        </w:numPr>
        <w:spacing w:line="600" w:lineRule="exact"/>
        <w:ind w:firstLine="640" w:firstLineChars="200"/>
        <w:rPr>
          <w:rFonts w:asciiTheme="minorEastAsia" w:hAnsiTheme="minorEastAsia"/>
          <w:bCs/>
          <w:i/>
          <w:iCs/>
          <w:kern w:val="0"/>
          <w:sz w:val="32"/>
          <w:szCs w:val="32"/>
        </w:rPr>
      </w:pP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ind w:firstLine="3600" w:firstLineChars="500"/>
        <w:jc w:val="both"/>
        <w:rPr>
          <w:rFonts w:hint="eastAsia" w:ascii="黑体" w:hAnsi="黑体" w:eastAsia="黑体" w:cs="黑体"/>
          <w:sz w:val="72"/>
          <w:szCs w:val="72"/>
        </w:rPr>
      </w:pPr>
      <w:r>
        <w:rPr>
          <w:rFonts w:hint="eastAsia" w:ascii="黑体" w:hAnsi="黑体" w:eastAsia="黑体" w:cs="黑体"/>
          <w:sz w:val="72"/>
          <w:szCs w:val="72"/>
        </w:rPr>
        <w:t>第二部分</w:t>
      </w:r>
    </w:p>
    <w:p>
      <w:pPr>
        <w:jc w:val="center"/>
        <w:rPr>
          <w:rFonts w:hint="eastAsia" w:ascii="黑体" w:hAnsi="黑体" w:eastAsia="黑体" w:cs="黑体"/>
          <w:sz w:val="72"/>
          <w:szCs w:val="72"/>
        </w:rPr>
      </w:pPr>
    </w:p>
    <w:p>
      <w:pPr>
        <w:jc w:val="center"/>
        <w:rPr>
          <w:rFonts w:hint="eastAsia" w:ascii="黑体" w:hAnsi="黑体" w:eastAsia="黑体" w:cs="黑体"/>
          <w:sz w:val="72"/>
          <w:szCs w:val="72"/>
        </w:rPr>
      </w:pPr>
      <w:r>
        <w:rPr>
          <w:rFonts w:hint="eastAsia" w:ascii="黑体" w:hAnsi="黑体" w:eastAsia="黑体" w:cs="黑体"/>
          <w:sz w:val="72"/>
          <w:szCs w:val="72"/>
        </w:rPr>
        <w:t>部门决算表</w:t>
      </w:r>
    </w:p>
    <w:p>
      <w:pPr>
        <w:jc w:val="center"/>
        <w:rPr>
          <w:rFonts w:hint="eastAsia" w:eastAsiaTheme="minorEastAsia"/>
          <w:sz w:val="72"/>
          <w:szCs w:val="72"/>
          <w:lang w:eastAsia="zh-CN"/>
        </w:rPr>
      </w:pPr>
      <w:r>
        <w:rPr>
          <w:rFonts w:hint="eastAsia" w:ascii="黑体" w:hAnsi="黑体" w:eastAsia="黑体" w:cs="黑体"/>
          <w:sz w:val="72"/>
          <w:szCs w:val="72"/>
          <w:lang w:eastAsia="zh-CN"/>
        </w:rPr>
        <w:t>（见附件）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rFonts w:hint="default" w:asciiTheme="minorEastAsia" w:hAnsiTheme="minorEastAsia" w:eastAsiaTheme="minorEastAsia"/>
          <w:sz w:val="32"/>
          <w:szCs w:val="32"/>
          <w:lang w:val="en-US" w:eastAsia="zh-CN"/>
        </w:rPr>
        <w:sectPr>
          <w:headerReference r:id="rId3" w:type="default"/>
          <w:footerReference r:id="rId4" w:type="default"/>
          <w:pgSz w:w="11906" w:h="16838"/>
          <w:pgMar w:top="720" w:right="720" w:bottom="720" w:left="720" w:header="851" w:footer="992" w:gutter="0"/>
          <w:cols w:space="425" w:num="1"/>
          <w:docGrid w:type="lines" w:linePitch="312" w:charSpace="0"/>
        </w:sect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rPr>
        <w:t>20</w:t>
      </w:r>
      <w:r>
        <w:rPr>
          <w:rFonts w:hint="eastAsia"/>
          <w:sz w:val="70"/>
          <w:szCs w:val="70"/>
        </w:rPr>
        <w:t>21年度部门决算情况说明</w:t>
      </w:r>
    </w:p>
    <w:p>
      <w:pPr>
        <w:widowControl/>
        <w:jc w:val="left"/>
        <w:rPr>
          <w:rFonts w:ascii="黑体" w:eastAsia="黑体" w:cs="黑体"/>
          <w:color w:val="000000"/>
          <w:kern w:val="0"/>
          <w:sz w:val="70"/>
          <w:szCs w:val="70"/>
        </w:rPr>
      </w:pPr>
      <w:r>
        <w:rPr>
          <w:sz w:val="70"/>
          <w:szCs w:val="70"/>
        </w:rPr>
        <w:br w:type="page"/>
      </w:r>
    </w:p>
    <w:p>
      <w:pPr>
        <w:pStyle w:val="10"/>
        <w:rPr>
          <w:rFonts w:hAnsi="黑体"/>
          <w:b/>
          <w:sz w:val="32"/>
          <w:szCs w:val="32"/>
        </w:rPr>
      </w:pPr>
      <w:r>
        <w:rPr>
          <w:rFonts w:hint="eastAsia" w:hAnsi="黑体"/>
          <w:b/>
          <w:sz w:val="32"/>
          <w:szCs w:val="32"/>
        </w:rPr>
        <w:t>一、收入支出决算总体情况说明</w:t>
      </w:r>
    </w:p>
    <w:p>
      <w:pPr>
        <w:pStyle w:val="1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2021年度收、支总计</w:t>
      </w:r>
      <w:r>
        <w:rPr>
          <w:rFonts w:hint="eastAsia" w:ascii="仿宋_GB2312" w:hAnsi="仿宋_GB2312" w:eastAsia="仿宋_GB2312" w:cs="仿宋_GB2312"/>
          <w:sz w:val="32"/>
          <w:szCs w:val="32"/>
          <w:lang w:val="en-US" w:eastAsia="zh-CN"/>
        </w:rPr>
        <w:t>2749.99</w:t>
      </w:r>
      <w:r>
        <w:rPr>
          <w:rFonts w:hint="eastAsia" w:ascii="仿宋_GB2312" w:hAnsi="仿宋_GB2312" w:eastAsia="仿宋_GB2312" w:cs="仿宋_GB2312"/>
          <w:sz w:val="32"/>
          <w:szCs w:val="32"/>
        </w:rPr>
        <w:t>万元。与上年相比，</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569.81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17.16%，</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进一步贯彻落实厉行节约，坚持过“紧日子”要求，压减非必要开支。</w:t>
      </w:r>
    </w:p>
    <w:p>
      <w:pPr>
        <w:pStyle w:val="10"/>
        <w:rPr>
          <w:rFonts w:hAnsi="黑体"/>
          <w:b/>
          <w:sz w:val="32"/>
          <w:szCs w:val="32"/>
        </w:rPr>
      </w:pPr>
      <w:r>
        <w:rPr>
          <w:rFonts w:hint="eastAsia" w:hAnsi="黑体"/>
          <w:b/>
          <w:sz w:val="32"/>
          <w:szCs w:val="32"/>
        </w:rPr>
        <w:t>二、收入决算情况说明</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2021年度收入合计</w:t>
      </w:r>
      <w:r>
        <w:rPr>
          <w:rFonts w:hint="eastAsia" w:ascii="仿宋_GB2312" w:hAnsi="仿宋_GB2312" w:eastAsia="仿宋_GB2312" w:cs="仿宋_GB2312"/>
          <w:sz w:val="32"/>
          <w:szCs w:val="32"/>
          <w:lang w:val="en-US" w:eastAsia="zh-CN"/>
        </w:rPr>
        <w:t>2194.43</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2194.43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pStyle w:val="10"/>
        <w:rPr>
          <w:rFonts w:hint="eastAsia" w:ascii="仿宋_GB2312" w:hAnsi="仿宋_GB2312" w:eastAsia="仿宋_GB2312" w:cs="仿宋_GB2312"/>
          <w:b/>
          <w:sz w:val="32"/>
          <w:szCs w:val="32"/>
        </w:rPr>
      </w:pPr>
      <w:r>
        <w:rPr>
          <w:rFonts w:hint="eastAsia" w:hAnsi="黑体"/>
          <w:b/>
          <w:sz w:val="32"/>
          <w:szCs w:val="32"/>
        </w:rPr>
        <w:t>三</w:t>
      </w:r>
      <w:r>
        <w:rPr>
          <w:rFonts w:hint="eastAsia" w:ascii="仿宋_GB2312" w:hAnsi="仿宋_GB2312" w:eastAsia="仿宋_GB2312" w:cs="仿宋_GB2312"/>
          <w:b/>
          <w:sz w:val="32"/>
          <w:szCs w:val="32"/>
        </w:rPr>
        <w:t>、支出决算情况说明</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2021年度支出合计</w:t>
      </w:r>
      <w:r>
        <w:rPr>
          <w:rFonts w:hint="eastAsia" w:ascii="仿宋_GB2312" w:hAnsi="仿宋_GB2312" w:eastAsia="仿宋_GB2312" w:cs="仿宋_GB2312"/>
          <w:sz w:val="32"/>
          <w:szCs w:val="32"/>
          <w:lang w:val="en-US" w:eastAsia="zh-CN"/>
        </w:rPr>
        <w:t>2749.99</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1241.93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45.16</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1508.06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54.84</w:t>
      </w:r>
      <w:r>
        <w:rPr>
          <w:rFonts w:hint="eastAsia" w:ascii="仿宋_GB2312" w:hAnsi="仿宋_GB2312" w:eastAsia="仿宋_GB2312" w:cs="仿宋_GB2312"/>
          <w:sz w:val="32"/>
          <w:szCs w:val="32"/>
        </w:rPr>
        <w:t>%。</w:t>
      </w:r>
    </w:p>
    <w:p>
      <w:pPr>
        <w:pStyle w:val="10"/>
        <w:rPr>
          <w:rFonts w:hAnsi="黑体"/>
          <w:b/>
          <w:sz w:val="32"/>
          <w:szCs w:val="32"/>
        </w:rPr>
      </w:pPr>
      <w:r>
        <w:rPr>
          <w:rFonts w:hint="eastAsia" w:hAnsi="黑体"/>
          <w:b/>
          <w:sz w:val="32"/>
          <w:szCs w:val="32"/>
        </w:rPr>
        <w:t>四、财政拨款收入支出决算总体情况说明</w:t>
      </w:r>
    </w:p>
    <w:p>
      <w:pPr>
        <w:pStyle w:val="1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2021年度财政拨款收、支总计</w:t>
      </w:r>
      <w:r>
        <w:rPr>
          <w:rFonts w:hint="eastAsia" w:ascii="仿宋_GB2312" w:hAnsi="仿宋_GB2312" w:eastAsia="仿宋_GB2312" w:cs="仿宋_GB2312"/>
          <w:sz w:val="32"/>
          <w:szCs w:val="32"/>
          <w:lang w:val="en-US" w:eastAsia="zh-CN"/>
        </w:rPr>
        <w:t>2749.99</w:t>
      </w:r>
      <w:r>
        <w:rPr>
          <w:rFonts w:hint="eastAsia" w:ascii="仿宋_GB2312" w:hAnsi="仿宋_GB2312" w:eastAsia="仿宋_GB2312" w:cs="仿宋_GB2312"/>
          <w:sz w:val="32"/>
          <w:szCs w:val="32"/>
        </w:rPr>
        <w:t>万元，与上年相比，</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569.81</w:t>
      </w:r>
      <w:r>
        <w:rPr>
          <w:rFonts w:hint="eastAsia" w:ascii="仿宋_GB2312" w:hAnsi="仿宋_GB2312" w:eastAsia="仿宋_GB2312" w:cs="仿宋_GB2312"/>
          <w:sz w:val="32"/>
          <w:szCs w:val="32"/>
        </w:rPr>
        <w:t>万元，主要是因为</w:t>
      </w:r>
      <w:r>
        <w:rPr>
          <w:rFonts w:hint="eastAsia" w:ascii="仿宋_GB2312" w:hAnsi="仿宋_GB2312" w:eastAsia="仿宋_GB2312" w:cs="仿宋_GB2312"/>
          <w:sz w:val="32"/>
          <w:szCs w:val="32"/>
          <w:lang w:eastAsia="zh-CN"/>
        </w:rPr>
        <w:t>进一步贯彻落实厉行节约，坚持过“紧日子”要求，压减非必要开支。</w:t>
      </w:r>
    </w:p>
    <w:p>
      <w:pPr>
        <w:pStyle w:val="10"/>
        <w:rPr>
          <w:rFonts w:hAnsi="黑体"/>
          <w:b/>
          <w:sz w:val="32"/>
          <w:szCs w:val="32"/>
        </w:rPr>
      </w:pPr>
      <w:r>
        <w:rPr>
          <w:rFonts w:hint="eastAsia" w:hAnsi="黑体"/>
          <w:b/>
          <w:sz w:val="32"/>
          <w:szCs w:val="32"/>
        </w:rPr>
        <w:t>五、一般公共预算财政拨款支出决算情况说明</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2021年度财政拨款支出</w:t>
      </w:r>
      <w:r>
        <w:rPr>
          <w:rFonts w:hint="eastAsia" w:ascii="仿宋_GB2312" w:hAnsi="仿宋_GB2312" w:eastAsia="仿宋_GB2312" w:cs="仿宋_GB2312"/>
          <w:sz w:val="32"/>
          <w:szCs w:val="32"/>
          <w:lang w:val="en-US" w:eastAsia="zh-CN"/>
        </w:rPr>
        <w:t>2749.99</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%，与上年相比，财政拨款支出减少</w:t>
      </w:r>
      <w:r>
        <w:rPr>
          <w:rFonts w:hint="eastAsia" w:ascii="仿宋_GB2312" w:hAnsi="仿宋_GB2312" w:eastAsia="仿宋_GB2312" w:cs="仿宋_GB2312"/>
          <w:sz w:val="32"/>
          <w:szCs w:val="32"/>
          <w:lang w:val="en-US" w:eastAsia="zh-CN"/>
        </w:rPr>
        <w:t>14.25</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0.52</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进一步贯彻落实厉行节约</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坚持过“紧日子”要求，压减非必要开支。</w:t>
      </w:r>
    </w:p>
    <w:p>
      <w:pPr>
        <w:pStyle w:val="10"/>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2021年度财政拨款支出</w:t>
      </w:r>
      <w:r>
        <w:rPr>
          <w:rFonts w:hint="eastAsia" w:ascii="仿宋_GB2312" w:hAnsi="仿宋_GB2312" w:eastAsia="仿宋_GB2312" w:cs="仿宋_GB2312"/>
          <w:sz w:val="32"/>
          <w:szCs w:val="32"/>
          <w:lang w:val="en-US" w:eastAsia="zh-CN"/>
        </w:rPr>
        <w:t>2749.99</w:t>
      </w:r>
      <w:r>
        <w:rPr>
          <w:rFonts w:hint="eastAsia" w:ascii="仿宋_GB2312" w:hAnsi="仿宋_GB2312" w:eastAsia="仿宋_GB2312" w:cs="仿宋_GB2312"/>
          <w:sz w:val="32"/>
          <w:szCs w:val="32"/>
        </w:rPr>
        <w:t>万元，主要用于以下方面：一般公共服务</w:t>
      </w:r>
      <w:r>
        <w:rPr>
          <w:rFonts w:hint="eastAsia" w:ascii="仿宋_GB2312" w:hAnsi="仿宋_GB2312" w:eastAsia="仿宋_GB2312" w:cs="仿宋_GB2312"/>
          <w:sz w:val="32"/>
          <w:szCs w:val="32"/>
          <w:lang w:eastAsia="zh-CN"/>
        </w:rPr>
        <w:t>（类）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23.6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0.86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社会保障和就业（类）支出</w:t>
      </w:r>
      <w:r>
        <w:rPr>
          <w:rFonts w:hint="eastAsia" w:ascii="仿宋_GB2312" w:hAnsi="仿宋_GB2312" w:eastAsia="仿宋_GB2312" w:cs="仿宋_GB2312"/>
          <w:sz w:val="32"/>
          <w:szCs w:val="32"/>
          <w:lang w:val="en-US" w:eastAsia="zh-CN"/>
        </w:rPr>
        <w:t>159.15</w:t>
      </w:r>
      <w:r>
        <w:rPr>
          <w:rFonts w:hint="eastAsia" w:ascii="仿宋_GB2312" w:hAnsi="仿宋_GB2312" w:eastAsia="仿宋_GB2312" w:cs="仿宋_GB2312"/>
          <w:sz w:val="32"/>
          <w:szCs w:val="32"/>
        </w:rPr>
        <w:t>万元</w:t>
      </w:r>
      <w:r>
        <w:rPr>
          <w:rFonts w:hint="eastAsia" w:asciiTheme="minorEastAsia" w:hAnsiTheme="minorEastAsia" w:eastAsiaTheme="minorEastAsia"/>
          <w:sz w:val="32"/>
          <w:szCs w:val="32"/>
        </w:rPr>
        <w:t>，</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5.79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卫生健康（类）支出</w:t>
      </w:r>
      <w:r>
        <w:rPr>
          <w:rFonts w:hint="eastAsia" w:ascii="仿宋_GB2312" w:hAnsi="仿宋_GB2312" w:eastAsia="仿宋_GB2312" w:cs="仿宋_GB2312"/>
          <w:sz w:val="32"/>
          <w:szCs w:val="32"/>
          <w:lang w:val="en-US" w:eastAsia="zh-CN"/>
        </w:rPr>
        <w:t>34万元，占1.23%；节能环保（类）支出153.6万元，占5.58%；城乡社区（类）支出400.02，占14.55%；交通运输支出1979.62万元，占71.99%。</w:t>
      </w:r>
    </w:p>
    <w:p>
      <w:pPr>
        <w:pStyle w:val="10"/>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2021年度财政拨款支出年初预算数为</w:t>
      </w:r>
      <w:r>
        <w:rPr>
          <w:rFonts w:hint="eastAsia" w:ascii="仿宋_GB2312" w:hAnsi="仿宋_GB2312" w:eastAsia="仿宋_GB2312" w:cs="仿宋_GB2312"/>
          <w:sz w:val="32"/>
          <w:szCs w:val="32"/>
          <w:lang w:val="en-US" w:eastAsia="zh-CN"/>
        </w:rPr>
        <w:t>1160.61</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2749.99</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236.94</w:t>
      </w:r>
      <w:r>
        <w:rPr>
          <w:rFonts w:hint="eastAsia" w:ascii="仿宋_GB2312" w:hAnsi="仿宋_GB2312" w:eastAsia="仿宋_GB2312" w:cs="仿宋_GB2312"/>
          <w:sz w:val="32"/>
          <w:szCs w:val="32"/>
        </w:rPr>
        <w:t>%，其中：</w:t>
      </w:r>
    </w:p>
    <w:p>
      <w:pPr>
        <w:pStyle w:val="10"/>
        <w:ind w:firstLine="800" w:firstLineChars="25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一般公共服务支出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宣传事务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其它宣传事务支出（</w:t>
      </w:r>
      <w:r>
        <w:rPr>
          <w:rFonts w:hint="eastAsia" w:ascii="仿宋_GB2312" w:hAnsi="仿宋_GB2312" w:eastAsia="仿宋_GB2312" w:cs="仿宋_GB2312"/>
          <w:sz w:val="32"/>
          <w:szCs w:val="32"/>
        </w:rPr>
        <w:t>项）年初预算为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rPr>
        <w:t>万元，决算数大于年初预算是因为</w:t>
      </w:r>
      <w:r>
        <w:rPr>
          <w:rFonts w:hint="eastAsia" w:ascii="仿宋_GB2312" w:hAnsi="仿宋_GB2312" w:eastAsia="仿宋_GB2312" w:cs="仿宋_GB2312"/>
          <w:sz w:val="32"/>
          <w:szCs w:val="32"/>
          <w:lang w:eastAsia="zh-CN"/>
        </w:rPr>
        <w:t>财政追加了文明城市创建奖励经费</w:t>
      </w:r>
      <w:r>
        <w:rPr>
          <w:rFonts w:hint="eastAsia" w:ascii="仿宋_GB2312" w:hAnsi="仿宋_GB2312" w:eastAsia="仿宋_GB2312" w:cs="仿宋_GB2312"/>
          <w:sz w:val="32"/>
          <w:szCs w:val="32"/>
        </w:rPr>
        <w:t>。</w:t>
      </w:r>
    </w:p>
    <w:p>
      <w:pPr>
        <w:pStyle w:val="10"/>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一般公共服务支出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其他一般公共服务支出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其他一般公共服务支出（</w:t>
      </w:r>
      <w:r>
        <w:rPr>
          <w:rFonts w:hint="eastAsia" w:ascii="仿宋_GB2312" w:hAnsi="仿宋_GB2312" w:eastAsia="仿宋_GB2312" w:cs="仿宋_GB2312"/>
          <w:sz w:val="32"/>
          <w:szCs w:val="32"/>
        </w:rPr>
        <w:t>项）年初预算为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万元，决算数大于年初预算是因为</w:t>
      </w:r>
      <w:r>
        <w:rPr>
          <w:rFonts w:hint="eastAsia" w:ascii="仿宋_GB2312" w:hAnsi="仿宋_GB2312" w:eastAsia="仿宋_GB2312" w:cs="仿宋_GB2312"/>
          <w:sz w:val="32"/>
          <w:szCs w:val="32"/>
          <w:lang w:eastAsia="zh-CN"/>
        </w:rPr>
        <w:t>省政府追加了真抓实干</w:t>
      </w:r>
      <w:r>
        <w:rPr>
          <w:rFonts w:hint="eastAsia" w:ascii="仿宋_GB2312" w:hAnsi="仿宋_GB2312" w:eastAsia="仿宋_GB2312" w:cs="仿宋_GB2312"/>
          <w:sz w:val="32"/>
          <w:szCs w:val="32"/>
          <w:lang w:val="en-US" w:eastAsia="zh-CN"/>
        </w:rPr>
        <w:t>奖励工作经费</w:t>
      </w:r>
      <w:r>
        <w:rPr>
          <w:rFonts w:hint="eastAsia" w:ascii="仿宋_GB2312" w:hAnsi="仿宋_GB2312" w:eastAsia="仿宋_GB2312" w:cs="仿宋_GB2312"/>
          <w:sz w:val="32"/>
          <w:szCs w:val="32"/>
        </w:rPr>
        <w:t>。</w:t>
      </w:r>
    </w:p>
    <w:p>
      <w:pPr>
        <w:pStyle w:val="10"/>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、社会保障和就业支出（类）行政事业单位养老支出（款）机关事业单位基本养老保险缴费支出（项）年初预算为</w:t>
      </w:r>
      <w:r>
        <w:rPr>
          <w:rFonts w:hint="eastAsia" w:ascii="仿宋_GB2312" w:hAnsi="仿宋_GB2312" w:eastAsia="仿宋_GB2312" w:cs="仿宋_GB2312"/>
          <w:sz w:val="32"/>
          <w:szCs w:val="32"/>
          <w:lang w:val="en-US" w:eastAsia="zh-CN"/>
        </w:rPr>
        <w:t>73.44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73.22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决算数小于预算是因为本单位人数有变化。</w:t>
      </w:r>
    </w:p>
    <w:p>
      <w:pPr>
        <w:pStyle w:val="10"/>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、社会保障和就业支出（类）行政事业单位养老支出（款）其他行政事业单位养老支出（项）年初预算</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22.83</w:t>
      </w:r>
      <w:r>
        <w:rPr>
          <w:rFonts w:hint="eastAsia" w:ascii="仿宋_GB2312" w:hAnsi="仿宋_GB2312" w:eastAsia="仿宋_GB2312" w:cs="仿宋_GB2312"/>
          <w:sz w:val="32"/>
          <w:szCs w:val="32"/>
        </w:rPr>
        <w:t>万元，决算数大于年初预算是因为</w:t>
      </w:r>
      <w:r>
        <w:rPr>
          <w:rFonts w:hint="eastAsia" w:ascii="仿宋_GB2312" w:hAnsi="仿宋_GB2312" w:eastAsia="仿宋_GB2312" w:cs="仿宋_GB2312"/>
          <w:sz w:val="32"/>
          <w:szCs w:val="32"/>
          <w:lang w:eastAsia="zh-CN"/>
        </w:rPr>
        <w:t>财政追加了其他行政事业单位养老支出</w:t>
      </w:r>
      <w:r>
        <w:rPr>
          <w:rFonts w:hint="eastAsia" w:ascii="仿宋_GB2312" w:hAnsi="仿宋_GB2312" w:eastAsia="仿宋_GB2312" w:cs="仿宋_GB2312"/>
          <w:sz w:val="32"/>
          <w:szCs w:val="32"/>
        </w:rPr>
        <w:t>。</w:t>
      </w:r>
    </w:p>
    <w:p>
      <w:pPr>
        <w:pStyle w:val="10"/>
        <w:numPr>
          <w:ilvl w:val="0"/>
          <w:numId w:val="1"/>
        </w:num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社会保障和就业支出（类）抚恤（款）其他优抚支出（项）年初预算0万元，支出</w:t>
      </w:r>
      <w:r>
        <w:rPr>
          <w:rFonts w:hint="eastAsia" w:ascii="仿宋_GB2312" w:hAnsi="仿宋_GB2312" w:eastAsia="仿宋_GB2312" w:cs="仿宋_GB2312"/>
          <w:sz w:val="32"/>
          <w:szCs w:val="32"/>
          <w:lang w:eastAsia="zh-CN"/>
        </w:rPr>
        <w:t>决算为</w:t>
      </w:r>
      <w:r>
        <w:rPr>
          <w:rFonts w:hint="eastAsia" w:ascii="仿宋_GB2312" w:hAnsi="仿宋_GB2312" w:eastAsia="仿宋_GB2312" w:cs="仿宋_GB2312"/>
          <w:sz w:val="32"/>
          <w:szCs w:val="32"/>
          <w:lang w:val="en-US" w:eastAsia="zh-CN"/>
        </w:rPr>
        <w:t>56.88</w:t>
      </w:r>
      <w:r>
        <w:rPr>
          <w:rFonts w:hint="eastAsia" w:ascii="仿宋_GB2312" w:hAnsi="仿宋_GB2312" w:eastAsia="仿宋_GB2312" w:cs="仿宋_GB2312"/>
          <w:sz w:val="32"/>
          <w:szCs w:val="32"/>
        </w:rPr>
        <w:t>万元，决算数大于年初预算数是财政按规定拨付一次性抚恤金。</w:t>
      </w:r>
    </w:p>
    <w:p>
      <w:pPr>
        <w:pStyle w:val="10"/>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、社会保障和就业支出（类）残疾人事业（款）其他残疾人事业支出（项）年初预算</w:t>
      </w:r>
      <w:r>
        <w:rPr>
          <w:rFonts w:hint="eastAsia" w:ascii="仿宋_GB2312" w:hAnsi="仿宋_GB2312" w:eastAsia="仿宋_GB2312" w:cs="仿宋_GB2312"/>
          <w:sz w:val="32"/>
          <w:szCs w:val="32"/>
          <w:lang w:val="en-US" w:eastAsia="zh-CN"/>
        </w:rPr>
        <w:t>6.22</w:t>
      </w:r>
      <w:r>
        <w:rPr>
          <w:rFonts w:hint="eastAsia" w:ascii="仿宋_GB2312" w:hAnsi="仿宋_GB2312" w:eastAsia="仿宋_GB2312" w:cs="仿宋_GB2312"/>
          <w:sz w:val="32"/>
          <w:szCs w:val="32"/>
        </w:rPr>
        <w:t>万元，决算支出</w:t>
      </w:r>
      <w:r>
        <w:rPr>
          <w:rFonts w:hint="eastAsia" w:ascii="仿宋_GB2312" w:hAnsi="仿宋_GB2312" w:eastAsia="仿宋_GB2312" w:cs="仿宋_GB2312"/>
          <w:sz w:val="32"/>
          <w:szCs w:val="32"/>
          <w:lang w:val="en-US" w:eastAsia="zh-CN"/>
        </w:rPr>
        <w:t>6.22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pStyle w:val="10"/>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、卫生健康支出（类）</w:t>
      </w:r>
      <w:r>
        <w:rPr>
          <w:rFonts w:hint="eastAsia" w:ascii="仿宋_GB2312" w:hAnsi="仿宋_GB2312" w:eastAsia="仿宋_GB2312" w:cs="仿宋_GB2312"/>
          <w:sz w:val="32"/>
          <w:szCs w:val="32"/>
          <w:lang w:eastAsia="zh-CN"/>
        </w:rPr>
        <w:t>行政事业单位医疗</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行政单位医疗</w:t>
      </w:r>
      <w:r>
        <w:rPr>
          <w:rFonts w:hint="eastAsia" w:ascii="仿宋_GB2312" w:hAnsi="仿宋_GB2312" w:eastAsia="仿宋_GB2312" w:cs="仿宋_GB2312"/>
          <w:sz w:val="32"/>
          <w:szCs w:val="32"/>
        </w:rPr>
        <w:t>（项）年初预算</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eastAsia="zh-CN"/>
        </w:rPr>
        <w:t>决算为</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万元，完成年初预算的100%。</w:t>
      </w:r>
    </w:p>
    <w:p>
      <w:pPr>
        <w:pStyle w:val="10"/>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节能环保支出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其他节能环保支出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其他节能环保支出</w:t>
      </w:r>
      <w:r>
        <w:rPr>
          <w:rFonts w:hint="eastAsia" w:ascii="仿宋_GB2312" w:hAnsi="仿宋_GB2312" w:eastAsia="仿宋_GB2312" w:cs="仿宋_GB2312"/>
          <w:sz w:val="32"/>
          <w:szCs w:val="32"/>
        </w:rPr>
        <w:t>（项）年初预算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eastAsia="zh-CN"/>
        </w:rPr>
        <w:t>决算为</w:t>
      </w:r>
      <w:r>
        <w:rPr>
          <w:rFonts w:hint="eastAsia" w:ascii="仿宋_GB2312" w:hAnsi="仿宋_GB2312" w:eastAsia="仿宋_GB2312" w:cs="仿宋_GB2312"/>
          <w:sz w:val="32"/>
          <w:szCs w:val="32"/>
          <w:lang w:val="en-US" w:eastAsia="zh-CN"/>
        </w:rPr>
        <w:t>153.6</w:t>
      </w:r>
      <w:r>
        <w:rPr>
          <w:rFonts w:hint="eastAsia" w:ascii="仿宋_GB2312" w:hAnsi="仿宋_GB2312" w:eastAsia="仿宋_GB2312" w:cs="仿宋_GB2312"/>
          <w:sz w:val="32"/>
          <w:szCs w:val="32"/>
        </w:rPr>
        <w:t>万元，决算数大于年初预算数是</w:t>
      </w:r>
      <w:r>
        <w:rPr>
          <w:rFonts w:hint="eastAsia" w:ascii="仿宋_GB2312" w:hAnsi="仿宋_GB2312" w:eastAsia="仿宋_GB2312" w:cs="仿宋_GB2312"/>
          <w:sz w:val="32"/>
          <w:szCs w:val="32"/>
          <w:lang w:eastAsia="zh-CN"/>
        </w:rPr>
        <w:t>因为财政部追加了</w:t>
      </w:r>
      <w:r>
        <w:rPr>
          <w:rFonts w:hint="eastAsia" w:ascii="仿宋_GB2312" w:hAnsi="仿宋_GB2312" w:eastAsia="仿宋_GB2312" w:cs="仿宋_GB2312"/>
          <w:sz w:val="32"/>
          <w:szCs w:val="32"/>
          <w:lang w:val="en-US" w:eastAsia="zh-CN"/>
        </w:rPr>
        <w:t>2021年度重大区域发展战略建设（长江经济带绿色发展方向）生态环境突出问题整改等项目中央基建投资预算的拨款</w:t>
      </w:r>
      <w:r>
        <w:rPr>
          <w:rFonts w:hint="eastAsia" w:ascii="仿宋_GB2312" w:hAnsi="仿宋_GB2312" w:eastAsia="仿宋_GB2312" w:cs="仿宋_GB2312"/>
          <w:sz w:val="32"/>
          <w:szCs w:val="32"/>
        </w:rPr>
        <w:t>。</w:t>
      </w:r>
    </w:p>
    <w:p>
      <w:pPr>
        <w:pStyle w:val="10"/>
        <w:ind w:firstLine="800" w:firstLineChars="25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、城乡社区支出（类）城乡社区</w:t>
      </w:r>
      <w:r>
        <w:rPr>
          <w:rFonts w:hint="eastAsia" w:ascii="仿宋_GB2312" w:hAnsi="仿宋_GB2312" w:eastAsia="仿宋_GB2312" w:cs="仿宋_GB2312"/>
          <w:sz w:val="32"/>
          <w:szCs w:val="32"/>
          <w:lang w:eastAsia="zh-CN"/>
        </w:rPr>
        <w:t>管理事务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其他城乡社区管理事务支出</w:t>
      </w:r>
      <w:r>
        <w:rPr>
          <w:rFonts w:hint="eastAsia" w:ascii="仿宋_GB2312" w:hAnsi="仿宋_GB2312" w:eastAsia="仿宋_GB2312" w:cs="仿宋_GB2312"/>
          <w:sz w:val="32"/>
          <w:szCs w:val="32"/>
        </w:rPr>
        <w:t>（项）年初预算0万元，支出</w:t>
      </w:r>
      <w:r>
        <w:rPr>
          <w:rFonts w:hint="eastAsia" w:ascii="仿宋_GB2312" w:hAnsi="仿宋_GB2312" w:eastAsia="仿宋_GB2312" w:cs="仿宋_GB2312"/>
          <w:sz w:val="32"/>
          <w:szCs w:val="32"/>
          <w:lang w:eastAsia="zh-CN"/>
        </w:rPr>
        <w:t>决算为</w:t>
      </w:r>
      <w:r>
        <w:rPr>
          <w:rFonts w:hint="eastAsia" w:ascii="仿宋_GB2312" w:hAnsi="仿宋_GB2312" w:eastAsia="仿宋_GB2312" w:cs="仿宋_GB2312"/>
          <w:sz w:val="32"/>
          <w:szCs w:val="32"/>
          <w:lang w:val="en-US" w:eastAsia="zh-CN"/>
        </w:rPr>
        <w:t>400.02</w:t>
      </w:r>
      <w:r>
        <w:rPr>
          <w:rFonts w:hint="eastAsia" w:ascii="仿宋_GB2312" w:hAnsi="仿宋_GB2312" w:eastAsia="仿宋_GB2312" w:cs="仿宋_GB2312"/>
          <w:sz w:val="32"/>
          <w:szCs w:val="32"/>
        </w:rPr>
        <w:t>万元，决算数大于年初预算数是</w:t>
      </w:r>
      <w:r>
        <w:rPr>
          <w:rFonts w:hint="eastAsia" w:ascii="仿宋_GB2312" w:hAnsi="仿宋_GB2312" w:eastAsia="仿宋_GB2312" w:cs="仿宋_GB2312"/>
          <w:sz w:val="32"/>
          <w:szCs w:val="32"/>
          <w:lang w:eastAsia="zh-CN"/>
        </w:rPr>
        <w:t>因为财政追加了岳阳市综合交通运输体系发展“规划编制项目经费十四五”的配套费。</w:t>
      </w:r>
    </w:p>
    <w:p>
      <w:pPr>
        <w:pStyle w:val="10"/>
        <w:ind w:firstLine="800" w:firstLineChars="2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、交通运输支出（类）公路水路运输（款）行政运行（项）年初预算</w:t>
      </w:r>
      <w:r>
        <w:rPr>
          <w:rFonts w:hint="eastAsia" w:ascii="仿宋_GB2312" w:hAnsi="仿宋_GB2312" w:eastAsia="仿宋_GB2312" w:cs="仿宋_GB2312"/>
          <w:color w:val="auto"/>
          <w:sz w:val="32"/>
          <w:szCs w:val="32"/>
          <w:lang w:val="en-US" w:eastAsia="zh-CN"/>
        </w:rPr>
        <w:t>590.71</w:t>
      </w:r>
      <w:r>
        <w:rPr>
          <w:rFonts w:hint="eastAsia" w:ascii="仿宋_GB2312" w:hAnsi="仿宋_GB2312" w:eastAsia="仿宋_GB2312" w:cs="仿宋_GB2312"/>
          <w:color w:val="auto"/>
          <w:sz w:val="32"/>
          <w:szCs w:val="32"/>
        </w:rPr>
        <w:t>万元，支出</w:t>
      </w:r>
      <w:r>
        <w:rPr>
          <w:rFonts w:hint="eastAsia" w:ascii="仿宋_GB2312" w:hAnsi="仿宋_GB2312" w:eastAsia="仿宋_GB2312" w:cs="仿宋_GB2312"/>
          <w:color w:val="auto"/>
          <w:sz w:val="32"/>
          <w:szCs w:val="32"/>
          <w:lang w:eastAsia="zh-CN"/>
        </w:rPr>
        <w:t>决算为</w:t>
      </w:r>
      <w:r>
        <w:rPr>
          <w:rFonts w:hint="eastAsia" w:ascii="仿宋_GB2312" w:hAnsi="仿宋_GB2312" w:eastAsia="仿宋_GB2312" w:cs="仿宋_GB2312"/>
          <w:color w:val="auto"/>
          <w:sz w:val="32"/>
          <w:szCs w:val="32"/>
          <w:lang w:val="en-US" w:eastAsia="zh-CN"/>
        </w:rPr>
        <w:t>590.71</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pPr>
        <w:pStyle w:val="10"/>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、交通运输支出（类）公路水路运输（款）一般行政管理事务（项）年初预算</w:t>
      </w:r>
      <w:r>
        <w:rPr>
          <w:rFonts w:hint="eastAsia" w:ascii="仿宋_GB2312" w:hAnsi="仿宋_GB2312" w:eastAsia="仿宋_GB2312" w:cs="仿宋_GB2312"/>
          <w:sz w:val="32"/>
          <w:szCs w:val="32"/>
          <w:lang w:val="en-US" w:eastAsia="zh-CN"/>
        </w:rPr>
        <w:t>379.8</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eastAsia="zh-CN"/>
        </w:rPr>
        <w:t>决算为</w:t>
      </w:r>
      <w:r>
        <w:rPr>
          <w:rFonts w:hint="eastAsia" w:ascii="仿宋_GB2312" w:hAnsi="仿宋_GB2312" w:eastAsia="仿宋_GB2312" w:cs="仿宋_GB2312"/>
          <w:sz w:val="32"/>
          <w:szCs w:val="32"/>
          <w:lang w:val="en-US" w:eastAsia="zh-CN"/>
        </w:rPr>
        <w:t>379.8</w:t>
      </w:r>
      <w:r>
        <w:rPr>
          <w:rFonts w:hint="eastAsia" w:ascii="仿宋_GB2312" w:hAnsi="仿宋_GB2312" w:eastAsia="仿宋_GB2312" w:cs="仿宋_GB2312"/>
          <w:sz w:val="32"/>
          <w:szCs w:val="32"/>
        </w:rPr>
        <w:t>万元，完成年初预算的100%。</w:t>
      </w:r>
    </w:p>
    <w:p>
      <w:pPr>
        <w:pStyle w:val="10"/>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、交通运输支出（类）公路水路运输（款）</w:t>
      </w:r>
      <w:r>
        <w:rPr>
          <w:rFonts w:hint="eastAsia" w:ascii="仿宋_GB2312" w:hAnsi="仿宋_GB2312" w:eastAsia="仿宋_GB2312" w:cs="仿宋_GB2312"/>
          <w:sz w:val="32"/>
          <w:szCs w:val="32"/>
          <w:lang w:eastAsia="zh-CN"/>
        </w:rPr>
        <w:t>公路养护</w:t>
      </w:r>
      <w:r>
        <w:rPr>
          <w:rFonts w:hint="eastAsia" w:ascii="仿宋_GB2312" w:hAnsi="仿宋_GB2312" w:eastAsia="仿宋_GB2312" w:cs="仿宋_GB2312"/>
          <w:sz w:val="32"/>
          <w:szCs w:val="32"/>
        </w:rPr>
        <w:t>（项）年初预算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eastAsia="zh-CN"/>
        </w:rPr>
        <w:t>决算为</w:t>
      </w:r>
      <w:r>
        <w:rPr>
          <w:rFonts w:hint="eastAsia" w:ascii="仿宋_GB2312" w:hAnsi="仿宋_GB2312" w:eastAsia="仿宋_GB2312" w:cs="仿宋_GB2312"/>
          <w:sz w:val="32"/>
          <w:szCs w:val="32"/>
          <w:lang w:val="en-US" w:eastAsia="zh-CN"/>
        </w:rPr>
        <w:t>172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决算数大于预算数的原因是财政追加了交通专项资金</w:t>
      </w:r>
      <w:r>
        <w:rPr>
          <w:rFonts w:hint="eastAsia" w:ascii="仿宋_GB2312" w:hAnsi="仿宋_GB2312" w:eastAsia="仿宋_GB2312" w:cs="仿宋_GB2312"/>
          <w:sz w:val="32"/>
          <w:szCs w:val="32"/>
        </w:rPr>
        <w:t>。</w:t>
      </w:r>
    </w:p>
    <w:p>
      <w:pPr>
        <w:pStyle w:val="10"/>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、交通运输支出（类）公路水路运输（款）其他公路水路运输支出（项）年初预算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eastAsia="zh-CN"/>
        </w:rPr>
        <w:t>决算为</w:t>
      </w:r>
      <w:r>
        <w:rPr>
          <w:rFonts w:hint="eastAsia" w:ascii="仿宋_GB2312" w:hAnsi="仿宋_GB2312" w:eastAsia="仿宋_GB2312" w:cs="仿宋_GB2312"/>
          <w:sz w:val="32"/>
          <w:szCs w:val="32"/>
          <w:lang w:val="en-US" w:eastAsia="zh-CN"/>
        </w:rPr>
        <w:t>256.04</w:t>
      </w:r>
      <w:r>
        <w:rPr>
          <w:rFonts w:hint="eastAsia" w:ascii="仿宋_GB2312" w:hAnsi="仿宋_GB2312" w:eastAsia="仿宋_GB2312" w:cs="仿宋_GB2312"/>
          <w:sz w:val="32"/>
          <w:szCs w:val="32"/>
        </w:rPr>
        <w:t>万元，决算数大于预算数是因为财政追加了交通建设项目资金。</w:t>
      </w:r>
    </w:p>
    <w:p>
      <w:pPr>
        <w:pStyle w:val="10"/>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、交通运输支出（类）其他交通运输支出（款）其他交通运输支出（项）年初预算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万元，决算支出</w:t>
      </w:r>
      <w:r>
        <w:rPr>
          <w:rFonts w:hint="eastAsia" w:ascii="仿宋_GB2312" w:hAnsi="仿宋_GB2312" w:eastAsia="仿宋_GB2312" w:cs="仿宋_GB2312"/>
          <w:sz w:val="32"/>
          <w:szCs w:val="32"/>
          <w:lang w:val="en-US" w:eastAsia="zh-CN"/>
        </w:rPr>
        <w:t>581.07</w:t>
      </w:r>
      <w:r>
        <w:rPr>
          <w:rFonts w:hint="eastAsia" w:ascii="仿宋_GB2312" w:hAnsi="仿宋_GB2312" w:eastAsia="仿宋_GB2312" w:cs="仿宋_GB2312"/>
          <w:sz w:val="32"/>
          <w:szCs w:val="32"/>
        </w:rPr>
        <w:t>万元，决算数大于预算数是因为</w:t>
      </w:r>
      <w:r>
        <w:rPr>
          <w:rFonts w:hint="eastAsia" w:ascii="仿宋_GB2312" w:hAnsi="仿宋_GB2312" w:eastAsia="仿宋_GB2312" w:cs="仿宋_GB2312"/>
          <w:sz w:val="32"/>
          <w:szCs w:val="32"/>
          <w:lang w:eastAsia="zh-CN"/>
        </w:rPr>
        <w:t>使用</w:t>
      </w:r>
      <w:r>
        <w:rPr>
          <w:rFonts w:hint="eastAsia" w:ascii="仿宋_GB2312" w:hAnsi="仿宋_GB2312" w:eastAsia="仿宋_GB2312" w:cs="仿宋_GB2312"/>
          <w:sz w:val="32"/>
          <w:szCs w:val="32"/>
        </w:rPr>
        <w:t>了上年结</w:t>
      </w:r>
      <w:r>
        <w:rPr>
          <w:rFonts w:hint="eastAsia" w:ascii="仿宋_GB2312" w:hAnsi="仿宋_GB2312" w:eastAsia="仿宋_GB2312" w:cs="仿宋_GB2312"/>
          <w:sz w:val="32"/>
          <w:szCs w:val="32"/>
          <w:lang w:eastAsia="zh-CN"/>
        </w:rPr>
        <w:t>转</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eastAsia="zh-CN"/>
        </w:rPr>
        <w:t>和财政追加经费</w:t>
      </w:r>
      <w:r>
        <w:rPr>
          <w:rFonts w:hint="eastAsia" w:ascii="仿宋_GB2312" w:hAnsi="仿宋_GB2312" w:eastAsia="仿宋_GB2312" w:cs="仿宋_GB2312"/>
          <w:sz w:val="32"/>
          <w:szCs w:val="32"/>
        </w:rPr>
        <w:t>。</w:t>
      </w:r>
    </w:p>
    <w:p>
      <w:pPr>
        <w:pStyle w:val="10"/>
        <w:rPr>
          <w:rFonts w:hAnsi="黑体"/>
          <w:b/>
          <w:sz w:val="32"/>
          <w:szCs w:val="32"/>
        </w:rPr>
      </w:pPr>
      <w:r>
        <w:rPr>
          <w:rFonts w:hint="eastAsia" w:hAnsi="黑体"/>
          <w:b/>
          <w:sz w:val="32"/>
          <w:szCs w:val="32"/>
        </w:rPr>
        <w:t>六、一般公共预算财政拨款基本支出决算情况说明</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2021年度财政拨款基本支出</w:t>
      </w:r>
      <w:r>
        <w:rPr>
          <w:rFonts w:hint="eastAsia" w:ascii="仿宋_GB2312" w:hAnsi="仿宋_GB2312" w:eastAsia="仿宋_GB2312" w:cs="仿宋_GB2312"/>
          <w:sz w:val="32"/>
          <w:szCs w:val="32"/>
          <w:lang w:val="en-US" w:eastAsia="zh-CN"/>
        </w:rPr>
        <w:t>1241.93</w:t>
      </w:r>
      <w:r>
        <w:rPr>
          <w:rFonts w:hint="eastAsia" w:ascii="仿宋_GB2312" w:hAnsi="仿宋_GB2312" w:eastAsia="仿宋_GB2312" w:cs="仿宋_GB2312"/>
          <w:sz w:val="32"/>
          <w:szCs w:val="32"/>
        </w:rPr>
        <w:t>万元，其中：人员经费</w:t>
      </w:r>
      <w:r>
        <w:rPr>
          <w:rFonts w:hint="eastAsia" w:ascii="仿宋_GB2312" w:hAnsi="仿宋_GB2312" w:eastAsia="仿宋_GB2312" w:cs="仿宋_GB2312"/>
          <w:sz w:val="32"/>
          <w:szCs w:val="32"/>
          <w:lang w:val="en-US" w:eastAsia="zh-CN"/>
        </w:rPr>
        <w:t>1110.24</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89.4</w:t>
      </w:r>
      <w:r>
        <w:rPr>
          <w:rFonts w:hint="eastAsia" w:ascii="仿宋_GB2312" w:hAnsi="仿宋_GB2312" w:eastAsia="仿宋_GB2312" w:cs="仿宋_GB2312"/>
          <w:sz w:val="32"/>
          <w:szCs w:val="32"/>
        </w:rPr>
        <w:t>%,主要包括主要包括基本工资、津贴补贴、</w:t>
      </w:r>
      <w:r>
        <w:rPr>
          <w:rFonts w:hint="eastAsia" w:ascii="仿宋_GB2312" w:hAnsi="仿宋_GB2312" w:eastAsia="仿宋_GB2312" w:cs="仿宋_GB2312"/>
          <w:sz w:val="32"/>
          <w:szCs w:val="32"/>
          <w:lang w:val="zh-CN"/>
        </w:rPr>
        <w:t>奖金、伙食补助费、绩效工资、机关事业单位基本养老保险缴费、职工基本医疗保险缴费、公务员医疗补助缴费、其他社会保障缴费、住房公积金、其他工资福利支出、退休费、抚恤金、生活补助、其他对个人和家庭的补助</w:t>
      </w:r>
      <w:r>
        <w:rPr>
          <w:rFonts w:hint="eastAsia" w:ascii="仿宋_GB2312" w:hAnsi="仿宋_GB2312" w:eastAsia="仿宋_GB2312" w:cs="仿宋_GB2312"/>
          <w:sz w:val="32"/>
          <w:szCs w:val="32"/>
        </w:rPr>
        <w:t>；公用经费</w:t>
      </w:r>
      <w:r>
        <w:rPr>
          <w:rFonts w:hint="eastAsia" w:ascii="仿宋_GB2312" w:hAnsi="仿宋_GB2312" w:eastAsia="仿宋_GB2312" w:cs="仿宋_GB2312"/>
          <w:sz w:val="32"/>
          <w:szCs w:val="32"/>
          <w:lang w:val="en-US" w:eastAsia="zh-CN"/>
        </w:rPr>
        <w:t>131.69</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10.6</w:t>
      </w:r>
      <w:r>
        <w:rPr>
          <w:rFonts w:hint="eastAsia" w:ascii="仿宋_GB2312" w:hAnsi="仿宋_GB2312" w:eastAsia="仿宋_GB2312" w:cs="仿宋_GB2312"/>
          <w:sz w:val="32"/>
          <w:szCs w:val="32"/>
        </w:rPr>
        <w:t>%，主要包括办公费、印刷费、咨询费、水费、电费、邮电费、物业管理费、差旅费、维修（护）费、会议费、培训费、公务接待费、劳务费、委托业务费、工会经费、福利费、公务用车运行维护费、</w:t>
      </w:r>
      <w:r>
        <w:rPr>
          <w:rFonts w:hint="eastAsia" w:ascii="仿宋_GB2312" w:hAnsi="仿宋_GB2312" w:eastAsia="仿宋_GB2312" w:cs="仿宋_GB2312"/>
          <w:sz w:val="32"/>
          <w:szCs w:val="32"/>
          <w:lang w:eastAsia="zh-CN"/>
        </w:rPr>
        <w:t>办公设备购置、</w:t>
      </w:r>
      <w:r>
        <w:rPr>
          <w:rFonts w:hint="eastAsia" w:ascii="仿宋_GB2312" w:hAnsi="仿宋_GB2312" w:eastAsia="仿宋_GB2312" w:cs="仿宋_GB2312"/>
          <w:sz w:val="32"/>
          <w:szCs w:val="32"/>
        </w:rPr>
        <w:t>其他交通费用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其他商品和服务支出。</w:t>
      </w:r>
    </w:p>
    <w:p>
      <w:pPr>
        <w:pStyle w:val="10"/>
        <w:rPr>
          <w:rFonts w:hAnsi="黑体"/>
          <w:b/>
          <w:sz w:val="32"/>
          <w:szCs w:val="32"/>
        </w:rPr>
      </w:pPr>
      <w:r>
        <w:rPr>
          <w:rFonts w:hint="eastAsia" w:hAnsi="黑体"/>
          <w:b/>
          <w:sz w:val="32"/>
          <w:szCs w:val="32"/>
        </w:rPr>
        <w:t>七、一般公共预算财政拨款“三公”经费支出决算情况说明</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2021年度“三公”经费财政拨款支出预算为</w:t>
      </w:r>
      <w:r>
        <w:rPr>
          <w:rFonts w:hint="eastAsia" w:ascii="仿宋_GB2312" w:hAnsi="仿宋_GB2312" w:eastAsia="仿宋_GB2312" w:cs="仿宋_GB2312"/>
          <w:sz w:val="32"/>
          <w:szCs w:val="32"/>
          <w:lang w:val="en-US" w:eastAsia="zh-CN"/>
        </w:rPr>
        <w:t>93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18.49</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19.88</w:t>
      </w:r>
      <w:r>
        <w:rPr>
          <w:rFonts w:hint="eastAsia" w:ascii="仿宋_GB2312" w:hAnsi="仿宋_GB2312" w:eastAsia="仿宋_GB2312" w:cs="仿宋_GB2312"/>
          <w:sz w:val="32"/>
          <w:szCs w:val="32"/>
        </w:rPr>
        <w:t>%，其中：</w:t>
      </w:r>
    </w:p>
    <w:p>
      <w:pPr>
        <w:pStyle w:val="10"/>
        <w:ind w:firstLine="800" w:firstLineChars="25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因公出国（境）费支出预算为</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%，决算数小于预算数的主要原因是</w:t>
      </w:r>
      <w:r>
        <w:rPr>
          <w:rFonts w:hint="eastAsia" w:ascii="仿宋_GB2312" w:hAnsi="仿宋_GB2312" w:eastAsia="仿宋_GB2312" w:cs="仿宋_GB2312"/>
          <w:sz w:val="32"/>
          <w:szCs w:val="32"/>
          <w:lang w:eastAsia="zh-CN"/>
        </w:rPr>
        <w:t>本单位坚持厉行节约，坚持过“紧日子”的要求，</w:t>
      </w:r>
      <w:r>
        <w:rPr>
          <w:rFonts w:hint="eastAsia" w:ascii="仿宋_GB2312" w:hAnsi="仿宋_GB2312" w:eastAsia="仿宋_GB2312" w:cs="仿宋_GB2312"/>
          <w:sz w:val="32"/>
          <w:szCs w:val="32"/>
          <w:lang w:val="en-US" w:eastAsia="zh-CN"/>
        </w:rPr>
        <w:t>2021年无因公出国（</w:t>
      </w:r>
      <w:r>
        <w:rPr>
          <w:rFonts w:hint="eastAsia" w:ascii="仿宋_GB2312" w:hAnsi="仿宋_GB2312" w:eastAsia="仿宋_GB2312" w:cs="仿宋_GB2312"/>
          <w:sz w:val="32"/>
          <w:szCs w:val="32"/>
        </w:rPr>
        <w:t>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支出，与上年相比</w:t>
      </w:r>
      <w:r>
        <w:rPr>
          <w:rFonts w:hint="eastAsia" w:ascii="仿宋_GB2312" w:hAnsi="仿宋_GB2312" w:eastAsia="仿宋_GB2312" w:cs="仿宋_GB2312"/>
          <w:sz w:val="32"/>
          <w:szCs w:val="32"/>
          <w:lang w:eastAsia="zh-CN"/>
        </w:rPr>
        <w:t>持平。</w:t>
      </w:r>
    </w:p>
    <w:p>
      <w:pPr>
        <w:pStyle w:val="10"/>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公务接待费支出预算为</w:t>
      </w:r>
      <w:r>
        <w:rPr>
          <w:rFonts w:hint="eastAsia" w:ascii="仿宋_GB2312" w:hAnsi="仿宋_GB2312" w:eastAsia="仿宋_GB2312" w:cs="仿宋_GB2312"/>
          <w:sz w:val="32"/>
          <w:szCs w:val="32"/>
          <w:lang w:val="en-US" w:eastAsia="zh-CN"/>
        </w:rPr>
        <w:t>69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11.61</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16.83</w:t>
      </w:r>
      <w:r>
        <w:rPr>
          <w:rFonts w:hint="eastAsia" w:ascii="仿宋_GB2312" w:hAnsi="仿宋_GB2312" w:eastAsia="仿宋_GB2312" w:cs="仿宋_GB2312"/>
          <w:sz w:val="32"/>
          <w:szCs w:val="32"/>
        </w:rPr>
        <w:t>%，决算数小于预算数的主要原因是</w:t>
      </w:r>
      <w:r>
        <w:rPr>
          <w:rFonts w:hint="eastAsia" w:ascii="仿宋_GB2312" w:hAnsi="仿宋_GB2312" w:eastAsia="仿宋_GB2312" w:cs="仿宋_GB2312"/>
          <w:sz w:val="32"/>
          <w:szCs w:val="32"/>
          <w:lang w:eastAsia="zh-CN"/>
        </w:rPr>
        <w:t>进一步贯彻落实厉行节约，坚持过“紧日子”的要求，压减公务接待费支出。</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0.42</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3.49</w:t>
      </w:r>
      <w:r>
        <w:rPr>
          <w:rFonts w:hint="eastAsia" w:ascii="仿宋_GB2312" w:hAnsi="仿宋_GB2312" w:eastAsia="仿宋_GB2312" w:cs="仿宋_GB2312"/>
          <w:sz w:val="32"/>
          <w:szCs w:val="32"/>
        </w:rPr>
        <w:t>%,减少的主要原因是</w:t>
      </w:r>
      <w:r>
        <w:rPr>
          <w:rFonts w:hint="eastAsia" w:ascii="仿宋_GB2312" w:hAnsi="仿宋_GB2312" w:eastAsia="仿宋_GB2312" w:cs="仿宋_GB2312"/>
          <w:sz w:val="32"/>
          <w:szCs w:val="32"/>
          <w:lang w:eastAsia="zh-CN"/>
        </w:rPr>
        <w:t>进一步贯彻落实厉行节约，坚持过“紧日子”要求，压减公务接待费支出</w:t>
      </w:r>
      <w:r>
        <w:rPr>
          <w:rFonts w:hint="eastAsia" w:ascii="仿宋_GB2312" w:hAnsi="仿宋_GB2312" w:eastAsia="仿宋_GB2312" w:cs="仿宋_GB2312"/>
          <w:sz w:val="32"/>
          <w:szCs w:val="32"/>
        </w:rPr>
        <w:t>。</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公务用车购置费支出预算为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%，与上年相比</w:t>
      </w:r>
      <w:r>
        <w:rPr>
          <w:rFonts w:hint="eastAsia" w:ascii="仿宋_GB2312" w:hAnsi="仿宋_GB2312" w:eastAsia="仿宋_GB2312" w:cs="仿宋_GB2312"/>
          <w:sz w:val="32"/>
          <w:szCs w:val="32"/>
          <w:lang w:eastAsia="zh-CN"/>
        </w:rPr>
        <w:t>持平</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没有支出的</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进一步贯彻落实厉行节约，坚持过“紧日子”要求，压减“三公”经费支出。</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公务用车运行维护费支出预算为</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6.88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40.47</w:t>
      </w:r>
      <w:r>
        <w:rPr>
          <w:rFonts w:hint="eastAsia" w:ascii="仿宋_GB2312" w:hAnsi="仿宋_GB2312" w:eastAsia="仿宋_GB2312" w:cs="仿宋_GB2312"/>
          <w:sz w:val="32"/>
          <w:szCs w:val="32"/>
        </w:rPr>
        <w:t>%，决算数小于预算数的主要原因</w:t>
      </w:r>
      <w:r>
        <w:rPr>
          <w:rFonts w:hint="eastAsia" w:ascii="仿宋_GB2312" w:hAnsi="仿宋_GB2312" w:eastAsia="仿宋_GB2312" w:cs="仿宋_GB2312"/>
          <w:sz w:val="32"/>
          <w:szCs w:val="32"/>
          <w:lang w:eastAsia="zh-CN"/>
        </w:rPr>
        <w:t>：一是进一步贯彻落实厉行节约，坚持过“紧日子”要求，压缩公务用车运行维护费支出；二</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eastAsia="zh-CN"/>
        </w:rPr>
        <w:t>公务车辆今年没有发生大修费。</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5.88</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46.08</w:t>
      </w:r>
      <w:r>
        <w:rPr>
          <w:rFonts w:hint="eastAsia" w:ascii="仿宋_GB2312" w:hAnsi="仿宋_GB2312" w:eastAsia="仿宋_GB2312" w:cs="仿宋_GB2312"/>
          <w:sz w:val="32"/>
          <w:szCs w:val="32"/>
        </w:rPr>
        <w:t>%,减少的主要原因</w:t>
      </w:r>
      <w:r>
        <w:rPr>
          <w:rFonts w:hint="eastAsia" w:ascii="仿宋_GB2312" w:hAnsi="仿宋_GB2312" w:eastAsia="仿宋_GB2312" w:cs="仿宋_GB2312"/>
          <w:sz w:val="32"/>
          <w:szCs w:val="32"/>
          <w:lang w:eastAsia="zh-CN"/>
        </w:rPr>
        <w:t>：一是进一步贯彻落实厉行节约，坚持过“紧日子”要求，压缩公务用车运行维护费支出；二</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eastAsia="zh-CN"/>
        </w:rPr>
        <w:t>公务车辆今年没有发生大修费</w:t>
      </w:r>
      <w:r>
        <w:rPr>
          <w:rFonts w:hint="eastAsia" w:ascii="仿宋_GB2312" w:hAnsi="仿宋_GB2312" w:eastAsia="仿宋_GB2312" w:cs="仿宋_GB2312"/>
          <w:sz w:val="32"/>
          <w:szCs w:val="32"/>
        </w:rPr>
        <w:t>。</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2021年度“三公”经费财政拨款支出决算中，公务接待费支出决算</w:t>
      </w:r>
      <w:r>
        <w:rPr>
          <w:rFonts w:hint="eastAsia" w:ascii="仿宋_GB2312" w:hAnsi="仿宋_GB2312" w:eastAsia="仿宋_GB2312" w:cs="仿宋_GB2312"/>
          <w:sz w:val="32"/>
          <w:szCs w:val="32"/>
          <w:lang w:val="en-US" w:eastAsia="zh-CN"/>
        </w:rPr>
        <w:t>11.61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62.79</w:t>
      </w:r>
      <w:r>
        <w:rPr>
          <w:rFonts w:hint="eastAsia" w:ascii="仿宋_GB2312" w:hAnsi="仿宋_GB2312" w:eastAsia="仿宋_GB2312" w:cs="仿宋_GB2312"/>
          <w:sz w:val="32"/>
          <w:szCs w:val="32"/>
        </w:rPr>
        <w:t>%,因公出国（境）费支出决算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%,公务用车购置费及运行维护费支出决算</w:t>
      </w:r>
      <w:r>
        <w:rPr>
          <w:rFonts w:hint="eastAsia" w:ascii="仿宋_GB2312" w:hAnsi="仿宋_GB2312" w:eastAsia="仿宋_GB2312" w:cs="仿宋_GB2312"/>
          <w:sz w:val="32"/>
          <w:szCs w:val="32"/>
          <w:lang w:val="en-US" w:eastAsia="zh-CN"/>
        </w:rPr>
        <w:t>6.88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37.21</w:t>
      </w:r>
      <w:r>
        <w:rPr>
          <w:rFonts w:hint="eastAsia" w:ascii="仿宋_GB2312" w:hAnsi="仿宋_GB2312" w:eastAsia="仿宋_GB2312" w:cs="仿宋_GB2312"/>
          <w:sz w:val="32"/>
          <w:szCs w:val="32"/>
        </w:rPr>
        <w:t>%。其中：</w:t>
      </w:r>
    </w:p>
    <w:p>
      <w:pPr>
        <w:pStyle w:val="10"/>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因公出国（境）费支出决算为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万元，全年安排因公出国（境）团组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个，累计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hint="eastAsia" w:ascii="仿宋_GB2312" w:hAnsi="仿宋_GB2312" w:eastAsia="仿宋_GB2312" w:cs="仿宋_GB2312"/>
          <w:sz w:val="32"/>
          <w:szCs w:val="32"/>
          <w:lang w:eastAsia="zh-CN"/>
        </w:rPr>
        <w:t>没有发生费用支出。</w:t>
      </w:r>
    </w:p>
    <w:p>
      <w:pPr>
        <w:pStyle w:val="10"/>
        <w:numPr>
          <w:ilvl w:val="0"/>
          <w:numId w:val="0"/>
        </w:numPr>
        <w:ind w:firstLine="640"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sz w:val="32"/>
          <w:szCs w:val="32"/>
        </w:rPr>
        <w:t>2、公务接待费支出决算为</w:t>
      </w:r>
      <w:r>
        <w:rPr>
          <w:rFonts w:hint="eastAsia" w:ascii="仿宋_GB2312" w:hAnsi="仿宋_GB2312" w:eastAsia="仿宋_GB2312" w:cs="仿宋_GB2312"/>
          <w:sz w:val="32"/>
          <w:szCs w:val="32"/>
          <w:lang w:val="en-US" w:eastAsia="zh-CN"/>
        </w:rPr>
        <w:t>11.61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u w:val="none"/>
        </w:rPr>
        <w:t>，全年共接待来访团组</w:t>
      </w:r>
      <w:r>
        <w:rPr>
          <w:rFonts w:hint="eastAsia" w:ascii="仿宋_GB2312" w:hAnsi="仿宋_GB2312" w:eastAsia="仿宋_GB2312" w:cs="仿宋_GB2312"/>
          <w:sz w:val="32"/>
          <w:szCs w:val="32"/>
          <w:u w:val="none"/>
          <w:lang w:val="en-US" w:eastAsia="zh-CN"/>
        </w:rPr>
        <w:t>216</w:t>
      </w:r>
      <w:r>
        <w:rPr>
          <w:rFonts w:hint="eastAsia" w:ascii="仿宋_GB2312" w:hAnsi="仿宋_GB2312" w:eastAsia="仿宋_GB2312" w:cs="仿宋_GB2312"/>
          <w:sz w:val="32"/>
          <w:szCs w:val="32"/>
          <w:u w:val="none"/>
        </w:rPr>
        <w:t>个、来宾</w:t>
      </w:r>
      <w:r>
        <w:rPr>
          <w:rFonts w:hint="eastAsia" w:ascii="仿宋_GB2312" w:hAnsi="仿宋_GB2312" w:eastAsia="仿宋_GB2312" w:cs="仿宋_GB2312"/>
          <w:sz w:val="32"/>
          <w:szCs w:val="32"/>
          <w:u w:val="none"/>
          <w:lang w:val="en-US" w:eastAsia="zh-CN"/>
        </w:rPr>
        <w:t>1068</w:t>
      </w:r>
      <w:r>
        <w:rPr>
          <w:rFonts w:hint="eastAsia" w:ascii="仿宋_GB2312" w:hAnsi="仿宋_GB2312" w:eastAsia="仿宋_GB2312" w:cs="仿宋_GB2312"/>
          <w:sz w:val="32"/>
          <w:szCs w:val="32"/>
          <w:u w:val="none"/>
        </w:rPr>
        <w:t>人次，</w:t>
      </w:r>
      <w:r>
        <w:rPr>
          <w:rFonts w:hint="eastAsia" w:ascii="仿宋_GB2312" w:hAnsi="仿宋_GB2312" w:eastAsia="仿宋_GB2312" w:cs="仿宋_GB2312"/>
          <w:color w:val="auto"/>
          <w:kern w:val="2"/>
          <w:sz w:val="32"/>
          <w:szCs w:val="32"/>
        </w:rPr>
        <w:t>主要是相关单位交流工作情况及接受国家、省、市相关部门检查指导工作发生的接待</w:t>
      </w:r>
      <w:r>
        <w:rPr>
          <w:rFonts w:hint="eastAsia" w:ascii="仿宋_GB2312" w:hAnsi="仿宋_GB2312" w:eastAsia="仿宋_GB2312" w:cs="仿宋_GB2312"/>
          <w:color w:val="auto"/>
          <w:kern w:val="2"/>
          <w:sz w:val="32"/>
          <w:szCs w:val="32"/>
          <w:lang w:eastAsia="zh-CN"/>
        </w:rPr>
        <w:t>费</w:t>
      </w:r>
      <w:r>
        <w:rPr>
          <w:rFonts w:hint="eastAsia" w:ascii="仿宋_GB2312" w:hAnsi="仿宋_GB2312" w:eastAsia="仿宋_GB2312" w:cs="仿宋_GB2312"/>
          <w:color w:val="auto"/>
          <w:kern w:val="2"/>
          <w:sz w:val="32"/>
          <w:szCs w:val="32"/>
        </w:rPr>
        <w:t>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3、公务用车购置费及运行维护费支出决算为</w:t>
      </w:r>
      <w:r>
        <w:rPr>
          <w:rFonts w:hint="eastAsia" w:ascii="仿宋_GB2312" w:hAnsi="仿宋_GB2312" w:eastAsia="仿宋_GB2312" w:cs="仿宋_GB2312"/>
          <w:sz w:val="32"/>
          <w:szCs w:val="32"/>
          <w:lang w:val="en-US" w:eastAsia="zh-CN"/>
        </w:rPr>
        <w:t>6.88</w:t>
      </w:r>
      <w:r>
        <w:rPr>
          <w:rFonts w:hint="eastAsia" w:ascii="仿宋_GB2312" w:hAnsi="仿宋_GB2312" w:eastAsia="仿宋_GB2312" w:cs="仿宋_GB2312"/>
          <w:sz w:val="32"/>
          <w:szCs w:val="32"/>
        </w:rPr>
        <w:t>万元，其中：公务用车购置费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万元，更新公务用车</w:t>
      </w:r>
      <w:r>
        <w:rPr>
          <w:rFonts w:hint="eastAsia" w:ascii="仿宋_GB2312" w:hAnsi="仿宋_GB2312" w:eastAsia="仿宋_GB2312" w:cs="仿宋_GB2312"/>
          <w:sz w:val="32"/>
          <w:szCs w:val="32"/>
          <w:lang w:val="en-US" w:eastAsia="zh-CN"/>
        </w:rPr>
        <w:t>0辆</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公务用车运行维护费</w:t>
      </w:r>
      <w:r>
        <w:rPr>
          <w:rFonts w:hint="eastAsia" w:ascii="仿宋_GB2312" w:hAnsi="仿宋_GB2312" w:eastAsia="仿宋_GB2312" w:cs="仿宋_GB2312"/>
          <w:sz w:val="32"/>
          <w:szCs w:val="32"/>
          <w:lang w:val="en-US" w:eastAsia="zh-CN"/>
        </w:rPr>
        <w:t>6.88</w:t>
      </w:r>
      <w:r>
        <w:rPr>
          <w:rFonts w:hint="eastAsia" w:ascii="仿宋_GB2312" w:hAnsi="仿宋_GB2312" w:eastAsia="仿宋_GB2312" w:cs="仿宋_GB2312"/>
          <w:sz w:val="32"/>
          <w:szCs w:val="32"/>
        </w:rPr>
        <w:t>万元，主要是</w:t>
      </w:r>
      <w:r>
        <w:rPr>
          <w:rFonts w:hint="eastAsia" w:ascii="仿宋_GB2312" w:hAnsi="仿宋_GB2312" w:eastAsia="仿宋_GB2312" w:cs="仿宋_GB2312"/>
          <w:sz w:val="32"/>
          <w:szCs w:val="32"/>
          <w:lang w:eastAsia="zh-CN"/>
        </w:rPr>
        <w:t>油料费、保险费、维修</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eastAsia="zh-CN"/>
        </w:rPr>
        <w:t>、过路过桥费、差旅费等</w:t>
      </w:r>
      <w:r>
        <w:rPr>
          <w:rFonts w:hint="eastAsia" w:ascii="仿宋_GB2312" w:hAnsi="仿宋_GB2312" w:eastAsia="仿宋_GB2312" w:cs="仿宋_GB2312"/>
          <w:sz w:val="32"/>
          <w:szCs w:val="32"/>
        </w:rPr>
        <w:t>，截止2021年12月31日，我单位开支财政拨款的公务用车保有量为</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辆。</w:t>
      </w:r>
    </w:p>
    <w:p>
      <w:pPr>
        <w:pStyle w:val="10"/>
        <w:rPr>
          <w:rFonts w:hAnsi="黑体"/>
          <w:b/>
          <w:sz w:val="32"/>
          <w:szCs w:val="32"/>
        </w:rPr>
      </w:pPr>
      <w:r>
        <w:rPr>
          <w:rFonts w:hint="eastAsia" w:hAnsi="黑体"/>
          <w:b/>
          <w:sz w:val="32"/>
          <w:szCs w:val="32"/>
        </w:rPr>
        <w:t>八、政府性基金预算收入支出决算情况</w:t>
      </w:r>
    </w:p>
    <w:p>
      <w:pPr>
        <w:pStyle w:val="1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2021年度</w:t>
      </w:r>
      <w:r>
        <w:rPr>
          <w:rFonts w:hint="eastAsia" w:ascii="仿宋_GB2312" w:hAnsi="仿宋_GB2312" w:eastAsia="仿宋_GB2312" w:cs="仿宋_GB2312"/>
          <w:sz w:val="32"/>
          <w:szCs w:val="32"/>
          <w:lang w:eastAsia="zh-CN"/>
        </w:rPr>
        <w:t>本单位无</w:t>
      </w:r>
      <w:r>
        <w:rPr>
          <w:rFonts w:hint="eastAsia" w:ascii="仿宋_GB2312" w:hAnsi="仿宋_GB2312" w:eastAsia="仿宋_GB2312" w:cs="仿宋_GB2312"/>
          <w:sz w:val="32"/>
          <w:szCs w:val="32"/>
        </w:rPr>
        <w:t>政府性基金预算财政拨款</w:t>
      </w:r>
      <w:r>
        <w:rPr>
          <w:rFonts w:hint="eastAsia" w:ascii="仿宋_GB2312" w:hAnsi="仿宋_GB2312" w:eastAsia="仿宋_GB2312" w:cs="仿宋_GB2312"/>
          <w:sz w:val="32"/>
          <w:szCs w:val="32"/>
          <w:lang w:eastAsia="zh-CN"/>
        </w:rPr>
        <w:t>支出。</w:t>
      </w:r>
    </w:p>
    <w:p>
      <w:pPr>
        <w:pStyle w:val="10"/>
        <w:numPr>
          <w:ilvl w:val="0"/>
          <w:numId w:val="3"/>
        </w:numPr>
        <w:rPr>
          <w:rFonts w:hint="eastAsia" w:hAnsi="黑体"/>
          <w:b/>
          <w:sz w:val="32"/>
          <w:szCs w:val="32"/>
          <w:lang w:eastAsia="zh-CN"/>
        </w:rPr>
      </w:pPr>
      <w:r>
        <w:rPr>
          <w:rFonts w:hint="eastAsia" w:hAnsi="黑体"/>
          <w:b/>
          <w:sz w:val="32"/>
          <w:szCs w:val="32"/>
        </w:rPr>
        <w:t>国有资本经营预算财政拨款支出决算</w:t>
      </w:r>
      <w:r>
        <w:rPr>
          <w:rFonts w:hint="eastAsia" w:hAnsi="黑体"/>
          <w:b/>
          <w:sz w:val="32"/>
          <w:szCs w:val="32"/>
          <w:lang w:eastAsia="zh-CN"/>
        </w:rPr>
        <w:t>情况</w:t>
      </w:r>
    </w:p>
    <w:p>
      <w:pPr>
        <w:pStyle w:val="10"/>
        <w:ind w:firstLine="640" w:firstLineChars="20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sz w:val="32"/>
          <w:szCs w:val="32"/>
        </w:rPr>
        <w:t>2021年度</w:t>
      </w:r>
      <w:r>
        <w:rPr>
          <w:rFonts w:hint="eastAsia" w:ascii="仿宋_GB2312" w:hAnsi="仿宋_GB2312" w:eastAsia="仿宋_GB2312" w:cs="仿宋_GB2312"/>
          <w:sz w:val="32"/>
          <w:szCs w:val="32"/>
          <w:lang w:eastAsia="zh-CN"/>
        </w:rPr>
        <w:t>本单位无</w:t>
      </w:r>
      <w:r>
        <w:rPr>
          <w:rFonts w:hint="eastAsia" w:ascii="仿宋_GB2312" w:hAnsi="仿宋_GB2312" w:eastAsia="仿宋_GB2312" w:cs="仿宋_GB2312"/>
          <w:sz w:val="32"/>
          <w:szCs w:val="32"/>
        </w:rPr>
        <w:t>国有资本经营预算财政拨款</w:t>
      </w:r>
      <w:r>
        <w:rPr>
          <w:rFonts w:hint="eastAsia" w:ascii="仿宋_GB2312" w:hAnsi="仿宋_GB2312" w:eastAsia="仿宋_GB2312" w:cs="仿宋_GB2312"/>
          <w:sz w:val="32"/>
          <w:szCs w:val="32"/>
          <w:lang w:eastAsia="zh-CN"/>
        </w:rPr>
        <w:t>支出。</w:t>
      </w:r>
    </w:p>
    <w:p>
      <w:pPr>
        <w:pStyle w:val="10"/>
        <w:rPr>
          <w:rFonts w:hAnsi="黑体"/>
          <w:b/>
          <w:sz w:val="32"/>
          <w:szCs w:val="32"/>
        </w:rPr>
      </w:pPr>
      <w:r>
        <w:rPr>
          <w:rFonts w:hint="eastAsia" w:hAnsi="黑体"/>
          <w:b/>
          <w:sz w:val="32"/>
          <w:szCs w:val="32"/>
        </w:rPr>
        <w:t>十、机关运行经费支出说明</w:t>
      </w:r>
    </w:p>
    <w:p>
      <w:pPr>
        <w:pStyle w:val="10"/>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本部门2021年度机关运行经费支出</w:t>
      </w:r>
      <w:r>
        <w:rPr>
          <w:rFonts w:hint="eastAsia" w:ascii="仿宋_GB2312" w:hAnsi="仿宋_GB2312" w:eastAsia="仿宋_GB2312" w:cs="仿宋_GB2312"/>
          <w:sz w:val="32"/>
          <w:szCs w:val="32"/>
          <w:lang w:val="en-US" w:eastAsia="zh-CN"/>
        </w:rPr>
        <w:t>131.69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比上年决算数</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81.43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38.21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减少的</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贯彻落实厉行节约，坚持过“紧日子”要求，压缩机关运行经费支出。</w:t>
      </w:r>
    </w:p>
    <w:p>
      <w:pPr>
        <w:pStyle w:val="10"/>
        <w:rPr>
          <w:rFonts w:hAnsi="黑体"/>
          <w:b/>
          <w:sz w:val="32"/>
          <w:szCs w:val="32"/>
        </w:rPr>
      </w:pPr>
      <w:r>
        <w:rPr>
          <w:rFonts w:hint="eastAsia" w:hAnsi="黑体"/>
          <w:b/>
          <w:sz w:val="32"/>
          <w:szCs w:val="32"/>
        </w:rPr>
        <w:t>十一、一般性支出情况说明</w:t>
      </w:r>
    </w:p>
    <w:p>
      <w:pPr>
        <w:autoSpaceDE w:val="0"/>
        <w:autoSpaceDN w:val="0"/>
        <w:adjustRightIn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2021年本部门开支会议费</w:t>
      </w:r>
      <w:r>
        <w:rPr>
          <w:rFonts w:hint="eastAsia" w:ascii="仿宋_GB2312" w:hAnsi="仿宋_GB2312" w:eastAsia="仿宋_GB2312" w:cs="仿宋_GB2312"/>
          <w:sz w:val="32"/>
          <w:szCs w:val="32"/>
          <w:lang w:val="en-US" w:eastAsia="zh-CN"/>
        </w:rPr>
        <w:t>4.71</w:t>
      </w:r>
      <w:r>
        <w:rPr>
          <w:rFonts w:hint="eastAsia" w:ascii="仿宋_GB2312" w:hAnsi="仿宋_GB2312" w:eastAsia="仿宋_GB2312" w:cs="仿宋_GB2312"/>
          <w:sz w:val="32"/>
          <w:szCs w:val="32"/>
        </w:rPr>
        <w:t>万元，用于召开全市交通</w:t>
      </w:r>
      <w:r>
        <w:rPr>
          <w:rFonts w:hint="eastAsia" w:ascii="仿宋_GB2312" w:hAnsi="仿宋_GB2312" w:eastAsia="仿宋_GB2312" w:cs="仿宋_GB2312"/>
          <w:sz w:val="32"/>
          <w:szCs w:val="32"/>
          <w:lang w:eastAsia="zh-CN"/>
        </w:rPr>
        <w:t>运输</w:t>
      </w:r>
      <w:r>
        <w:rPr>
          <w:rFonts w:hint="eastAsia" w:ascii="仿宋_GB2312" w:hAnsi="仿宋_GB2312" w:eastAsia="仿宋_GB2312" w:cs="仿宋_GB2312"/>
          <w:sz w:val="32"/>
          <w:szCs w:val="32"/>
        </w:rPr>
        <w:t>工作会、春运工作会、</w:t>
      </w:r>
      <w:r>
        <w:rPr>
          <w:rFonts w:hint="eastAsia" w:ascii="仿宋_GB2312" w:hAnsi="仿宋_GB2312" w:eastAsia="仿宋_GB2312" w:cs="仿宋_GB2312"/>
          <w:sz w:val="32"/>
          <w:szCs w:val="32"/>
          <w:lang w:eastAsia="zh-CN"/>
        </w:rPr>
        <w:t>安全等各专</w:t>
      </w:r>
      <w:r>
        <w:rPr>
          <w:rFonts w:hint="eastAsia" w:ascii="仿宋_GB2312" w:hAnsi="仿宋_GB2312" w:eastAsia="仿宋_GB2312" w:cs="仿宋_GB2312"/>
          <w:sz w:val="32"/>
          <w:szCs w:val="32"/>
        </w:rPr>
        <w:t>业工作会等，人数20</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人次，内容为交通运输系统</w:t>
      </w:r>
      <w:r>
        <w:rPr>
          <w:rFonts w:hint="eastAsia" w:ascii="仿宋_GB2312" w:hAnsi="仿宋_GB2312" w:eastAsia="仿宋_GB2312" w:cs="仿宋_GB2312"/>
          <w:sz w:val="32"/>
          <w:szCs w:val="32"/>
          <w:lang w:eastAsia="zh-CN"/>
        </w:rPr>
        <w:t>部署</w:t>
      </w:r>
      <w:r>
        <w:rPr>
          <w:rFonts w:hint="eastAsia" w:ascii="仿宋_GB2312" w:hAnsi="仿宋_GB2312" w:eastAsia="仿宋_GB2312" w:cs="仿宋_GB2312"/>
          <w:sz w:val="32"/>
          <w:szCs w:val="32"/>
        </w:rPr>
        <w:t>各项相关工作、工作总结</w:t>
      </w:r>
      <w:r>
        <w:rPr>
          <w:rFonts w:hint="eastAsia" w:ascii="仿宋_GB2312" w:hAnsi="仿宋_GB2312" w:eastAsia="仿宋_GB2312" w:cs="仿宋_GB2312"/>
          <w:sz w:val="32"/>
          <w:szCs w:val="32"/>
          <w:lang w:eastAsia="zh-CN"/>
        </w:rPr>
        <w:t>、党史学习教育、党风廉政建设</w:t>
      </w:r>
      <w:r>
        <w:rPr>
          <w:rFonts w:hint="eastAsia" w:ascii="仿宋_GB2312" w:hAnsi="仿宋_GB2312" w:eastAsia="仿宋_GB2312" w:cs="仿宋_GB2312"/>
          <w:sz w:val="32"/>
          <w:szCs w:val="32"/>
        </w:rPr>
        <w:t>等；开支培训费</w:t>
      </w:r>
      <w:r>
        <w:rPr>
          <w:rFonts w:hint="eastAsia" w:ascii="仿宋_GB2312" w:hAnsi="仿宋_GB2312" w:eastAsia="仿宋_GB2312" w:cs="仿宋_GB2312"/>
          <w:sz w:val="32"/>
          <w:szCs w:val="32"/>
          <w:lang w:val="en-US" w:eastAsia="zh-CN"/>
        </w:rPr>
        <w:t>10.38</w:t>
      </w:r>
      <w:r>
        <w:rPr>
          <w:rFonts w:hint="eastAsia" w:ascii="仿宋_GB2312" w:hAnsi="仿宋_GB2312" w:eastAsia="仿宋_GB2312" w:cs="仿宋_GB2312"/>
          <w:sz w:val="32"/>
          <w:szCs w:val="32"/>
        </w:rPr>
        <w:t>万元，用于开展出租车、客货、危货、网约车培训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行政执法、安全知识</w:t>
      </w:r>
      <w:r>
        <w:rPr>
          <w:rFonts w:hint="eastAsia" w:ascii="仿宋_GB2312" w:hAnsi="仿宋_GB2312" w:eastAsia="仿宋_GB2312" w:cs="仿宋_GB2312"/>
          <w:sz w:val="32"/>
          <w:szCs w:val="32"/>
          <w:lang w:eastAsia="zh-CN"/>
        </w:rPr>
        <w:t>、党的十九届六中全会精神学习</w:t>
      </w:r>
      <w:r>
        <w:rPr>
          <w:rFonts w:hint="eastAsia" w:ascii="仿宋_GB2312" w:hAnsi="仿宋_GB2312" w:eastAsia="仿宋_GB2312" w:cs="仿宋_GB2312"/>
          <w:sz w:val="32"/>
          <w:szCs w:val="32"/>
        </w:rPr>
        <w:t>等相关业务工作培训，参加培训的约有11482人次。202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年本部门未举办节庆、晚会、论坛、赛事等活动。</w:t>
      </w:r>
    </w:p>
    <w:p>
      <w:pPr>
        <w:pStyle w:val="10"/>
        <w:rPr>
          <w:rFonts w:hAnsi="黑体"/>
          <w:b/>
          <w:sz w:val="32"/>
          <w:szCs w:val="32"/>
        </w:rPr>
      </w:pPr>
      <w:r>
        <w:rPr>
          <w:rFonts w:hint="eastAsia" w:hAnsi="黑体"/>
          <w:b/>
          <w:sz w:val="32"/>
          <w:szCs w:val="32"/>
        </w:rPr>
        <w:t>十二、政府采购支出说明</w:t>
      </w:r>
    </w:p>
    <w:p>
      <w:pPr>
        <w:pStyle w:val="10"/>
        <w:ind w:firstLine="640" w:firstLineChars="200"/>
        <w:rPr>
          <w:rFonts w:asciiTheme="minorEastAsia" w:hAnsiTheme="minorEastAsia" w:eastAsiaTheme="minorEastAsia"/>
          <w:sz w:val="32"/>
          <w:szCs w:val="32"/>
        </w:rPr>
      </w:pPr>
      <w:r>
        <w:rPr>
          <w:rFonts w:hint="eastAsia" w:ascii="仿宋_GB2312" w:hAnsi="仿宋_GB2312" w:eastAsia="仿宋_GB2312" w:cs="仿宋_GB2312"/>
          <w:sz w:val="32"/>
          <w:szCs w:val="32"/>
        </w:rPr>
        <w:t>本部门2021年度政府采购支出总额</w:t>
      </w:r>
      <w:r>
        <w:rPr>
          <w:rFonts w:hint="eastAsia" w:ascii="仿宋_GB2312" w:hAnsi="仿宋_GB2312" w:eastAsia="仿宋_GB2312" w:cs="仿宋_GB2312"/>
          <w:sz w:val="32"/>
          <w:szCs w:val="32"/>
          <w:lang w:val="en-US" w:eastAsia="zh-CN"/>
        </w:rPr>
        <w:t>359</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92.5</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266.5</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359</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359</w:t>
      </w:r>
      <w:r>
        <w:rPr>
          <w:rFonts w:hint="eastAsia" w:ascii="仿宋_GB2312" w:hAnsi="仿宋_GB2312" w:eastAsia="仿宋_GB2312" w:cs="仿宋_GB2312"/>
          <w:sz w:val="32"/>
          <w:szCs w:val="32"/>
        </w:rPr>
        <w:t>万元，占授予中小企业合同金额的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%；货物采购授予中小企业合同金额占货物支出金额的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%，工程采购授予中小企业合同金额占工程支出金额的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%，服务采购授予中小企业合同金额占服务支出金额的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pStyle w:val="10"/>
        <w:rPr>
          <w:rFonts w:hAnsi="黑体"/>
          <w:b/>
          <w:sz w:val="32"/>
          <w:szCs w:val="32"/>
        </w:rPr>
      </w:pPr>
      <w:r>
        <w:rPr>
          <w:rFonts w:hint="eastAsia" w:hAnsi="黑体"/>
          <w:b/>
          <w:sz w:val="32"/>
          <w:szCs w:val="32"/>
        </w:rPr>
        <w:t>十三、国有资产占用情况说明</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截至2021年12月31日，</w:t>
      </w:r>
      <w:r>
        <w:rPr>
          <w:rFonts w:hint="eastAsia" w:ascii="仿宋_GB2312" w:hAnsi="仿宋_GB2312" w:eastAsia="仿宋_GB2312" w:cs="仿宋_GB2312"/>
          <w:sz w:val="32"/>
          <w:szCs w:val="32"/>
          <w:lang w:eastAsia="zh-CN"/>
        </w:rPr>
        <w:t>本单位</w:t>
      </w:r>
      <w:r>
        <w:rPr>
          <w:rFonts w:hint="eastAsia" w:ascii="仿宋_GB2312" w:hAnsi="仿宋_GB2312" w:eastAsia="仿宋_GB2312" w:cs="仿宋_GB2312"/>
          <w:sz w:val="32"/>
          <w:szCs w:val="32"/>
        </w:rPr>
        <w:t>共有车辆</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辆，其中，主要领导干部用车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辆、应急保障用车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辆、执法执勤用车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辆、特种专业技术用车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辆；单位价值50万元以上通用设备</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台；单位价值100万元以上专用设备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w:t>
      </w:r>
    </w:p>
    <w:p>
      <w:pPr>
        <w:pStyle w:val="10"/>
        <w:rPr>
          <w:rFonts w:hint="eastAsia" w:hAnsi="黑体"/>
          <w:b/>
          <w:sz w:val="32"/>
          <w:szCs w:val="32"/>
        </w:rPr>
      </w:pPr>
      <w:r>
        <w:rPr>
          <w:rFonts w:hint="eastAsia" w:hAnsi="黑体"/>
          <w:b/>
          <w:sz w:val="32"/>
          <w:szCs w:val="32"/>
          <w:lang w:eastAsia="zh-CN"/>
        </w:rPr>
        <w:t>十四、</w:t>
      </w:r>
      <w:r>
        <w:rPr>
          <w:rFonts w:hint="eastAsia" w:hAnsi="黑体"/>
          <w:b/>
          <w:sz w:val="32"/>
          <w:szCs w:val="32"/>
        </w:rPr>
        <w:t>2021年度预算绩效情况说明</w:t>
      </w:r>
    </w:p>
    <w:p>
      <w:pPr>
        <w:pStyle w:val="10"/>
        <w:numPr>
          <w:ilvl w:val="0"/>
          <w:numId w:val="0"/>
        </w:numPr>
        <w:rPr>
          <w:rFonts w:hint="eastAsia" w:ascii="宋体" w:hAnsi="Times New Roman" w:eastAsia="宋体"/>
          <w:sz w:val="32"/>
          <w:szCs w:val="24"/>
          <w:lang w:eastAsia="zh-CN"/>
        </w:rPr>
      </w:pPr>
      <w:r>
        <w:rPr>
          <w:rFonts w:hint="eastAsia" w:ascii="宋体" w:hAnsi="Times New Roman" w:eastAsia="宋体"/>
          <w:sz w:val="32"/>
          <w:szCs w:val="24"/>
          <w:lang w:val="en-US" w:eastAsia="zh-CN"/>
        </w:rPr>
        <w:t xml:space="preserve">    </w:t>
      </w:r>
      <w:r>
        <w:rPr>
          <w:rFonts w:hint="eastAsia" w:ascii="宋体" w:hAnsi="Times New Roman" w:eastAsia="宋体"/>
          <w:b/>
          <w:bCs/>
          <w:sz w:val="32"/>
          <w:szCs w:val="24"/>
          <w:lang w:val="en-US" w:eastAsia="zh-CN"/>
        </w:rPr>
        <w:t>（一）</w:t>
      </w:r>
      <w:r>
        <w:rPr>
          <w:rFonts w:hint="eastAsia" w:ascii="宋体" w:hAnsi="Times New Roman" w:eastAsia="宋体"/>
          <w:b/>
          <w:bCs/>
          <w:sz w:val="32"/>
          <w:szCs w:val="24"/>
          <w:lang w:eastAsia="zh-CN"/>
        </w:rPr>
        <w:t>绩效管理评价工作开展情况</w:t>
      </w:r>
    </w:p>
    <w:p>
      <w:pPr>
        <w:pStyle w:val="10"/>
        <w:numPr>
          <w:ilvl w:val="0"/>
          <w:numId w:val="0"/>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为进一步规范财政资金管理，强化财政支出绩效理念，切实提高财政资金使用效益，根据</w:t>
      </w:r>
      <w:r>
        <w:rPr>
          <w:rFonts w:hint="eastAsia" w:ascii="仿宋_GB2312" w:hAnsi="仿宋_GB2312" w:eastAsia="仿宋_GB2312" w:cs="仿宋_GB2312"/>
          <w:sz w:val="32"/>
          <w:szCs w:val="32"/>
          <w:lang w:eastAsia="zh-CN"/>
        </w:rPr>
        <w:t>预算绩效管理</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color w:val="000000"/>
          <w:kern w:val="0"/>
          <w:sz w:val="32"/>
          <w:szCs w:val="32"/>
        </w:rPr>
        <w:t>组织开展</w:t>
      </w:r>
      <w:r>
        <w:rPr>
          <w:rFonts w:hint="eastAsia" w:ascii="仿宋_GB2312" w:hAnsi="仿宋_GB2312" w:eastAsia="仿宋_GB2312" w:cs="仿宋_GB2312"/>
          <w:color w:val="000000"/>
          <w:kern w:val="0"/>
          <w:sz w:val="32"/>
          <w:szCs w:val="32"/>
          <w:lang w:eastAsia="zh-CN"/>
        </w:rPr>
        <w:t>了</w:t>
      </w:r>
      <w:r>
        <w:rPr>
          <w:rFonts w:hint="eastAsia" w:ascii="仿宋_GB2312" w:hAnsi="仿宋_GB2312" w:eastAsia="仿宋_GB2312" w:cs="仿宋_GB2312"/>
          <w:color w:val="000000"/>
          <w:kern w:val="0"/>
          <w:sz w:val="32"/>
          <w:szCs w:val="32"/>
          <w:lang w:val="en-US" w:eastAsia="zh-CN"/>
        </w:rPr>
        <w:t>2021年</w:t>
      </w:r>
      <w:r>
        <w:rPr>
          <w:rFonts w:hint="eastAsia" w:ascii="仿宋_GB2312" w:hAnsi="仿宋_GB2312" w:eastAsia="仿宋_GB2312" w:cs="仿宋_GB2312"/>
          <w:color w:val="000000"/>
          <w:kern w:val="0"/>
          <w:sz w:val="32"/>
          <w:szCs w:val="32"/>
        </w:rPr>
        <w:t>整体支出绩效评价</w:t>
      </w:r>
      <w:r>
        <w:rPr>
          <w:rFonts w:hint="eastAsia" w:ascii="仿宋_GB2312" w:hAnsi="仿宋_GB2312" w:eastAsia="仿宋_GB2312" w:cs="仿宋_GB2312"/>
          <w:color w:val="000000"/>
          <w:kern w:val="0"/>
          <w:sz w:val="32"/>
          <w:szCs w:val="32"/>
          <w:lang w:eastAsia="zh-CN"/>
        </w:rPr>
        <w:t>和项目评价</w:t>
      </w:r>
      <w:r>
        <w:rPr>
          <w:rFonts w:hint="eastAsia" w:ascii="仿宋_GB2312" w:hAnsi="仿宋_GB2312" w:eastAsia="仿宋_GB2312" w:cs="仿宋_GB2312"/>
          <w:color w:val="000000"/>
          <w:kern w:val="0"/>
          <w:sz w:val="32"/>
          <w:szCs w:val="32"/>
        </w:rPr>
        <w:t>，涉及</w:t>
      </w:r>
      <w:r>
        <w:rPr>
          <w:rFonts w:hint="eastAsia" w:ascii="仿宋_GB2312" w:hAnsi="仿宋_GB2312" w:eastAsia="仿宋_GB2312" w:cs="仿宋_GB2312"/>
          <w:color w:val="000000"/>
          <w:kern w:val="0"/>
          <w:sz w:val="32"/>
          <w:szCs w:val="32"/>
          <w:lang w:eastAsia="zh-CN"/>
        </w:rPr>
        <w:t>一般公共预算</w:t>
      </w:r>
      <w:r>
        <w:rPr>
          <w:rFonts w:hint="eastAsia" w:ascii="仿宋_GB2312" w:hAnsi="仿宋_GB2312" w:eastAsia="仿宋_GB2312" w:cs="仿宋_GB2312"/>
          <w:color w:val="000000"/>
          <w:kern w:val="0"/>
          <w:sz w:val="32"/>
          <w:szCs w:val="32"/>
        </w:rPr>
        <w:t>支出</w:t>
      </w:r>
      <w:r>
        <w:rPr>
          <w:rFonts w:hint="eastAsia" w:ascii="仿宋_GB2312" w:hAnsi="仿宋_GB2312" w:eastAsia="仿宋_GB2312" w:cs="仿宋_GB2312"/>
          <w:color w:val="000000"/>
          <w:kern w:val="0"/>
          <w:sz w:val="32"/>
          <w:szCs w:val="32"/>
          <w:lang w:eastAsia="zh-CN"/>
        </w:rPr>
        <w:t>金额</w:t>
      </w:r>
      <w:r>
        <w:rPr>
          <w:rFonts w:hint="eastAsia" w:ascii="仿宋_GB2312" w:hAnsi="仿宋_GB2312" w:eastAsia="仿宋_GB2312" w:cs="仿宋_GB2312"/>
          <w:color w:val="000000"/>
          <w:kern w:val="0"/>
          <w:sz w:val="32"/>
          <w:szCs w:val="32"/>
          <w:lang w:val="en-US" w:eastAsia="zh-CN"/>
        </w:rPr>
        <w:t>2749.99</w:t>
      </w:r>
      <w:r>
        <w:rPr>
          <w:rFonts w:hint="eastAsia" w:ascii="仿宋_GB2312" w:hAnsi="仿宋_GB2312" w:eastAsia="仿宋_GB2312" w:cs="仿宋_GB2312"/>
          <w:color w:val="000000"/>
          <w:kern w:val="0"/>
          <w:sz w:val="32"/>
          <w:szCs w:val="32"/>
        </w:rPr>
        <w:t>万元。从评价情况来看，</w:t>
      </w:r>
      <w:r>
        <w:rPr>
          <w:rFonts w:hint="eastAsia" w:ascii="仿宋_GB2312" w:hAnsi="仿宋_GB2312" w:eastAsia="仿宋_GB2312" w:cs="仿宋_GB2312"/>
          <w:sz w:val="32"/>
          <w:szCs w:val="32"/>
        </w:rPr>
        <w:t>我单位科学确定</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全年绩效目标，将绩效管理融入</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预算编制、</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执行全过程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2021年度整体绩效目标</w:t>
      </w:r>
      <w:r>
        <w:rPr>
          <w:rFonts w:hint="eastAsia" w:ascii="仿宋_GB2312" w:hAnsi="仿宋_GB2312" w:eastAsia="仿宋_GB2312" w:cs="仿宋_GB2312"/>
          <w:sz w:val="32"/>
          <w:szCs w:val="32"/>
          <w:lang w:eastAsia="zh-CN"/>
        </w:rPr>
        <w:t>全部完成，一是全市实现了“县县通高速”，市域</w:t>
      </w:r>
      <w:r>
        <w:rPr>
          <w:rFonts w:hint="eastAsia" w:ascii="仿宋_GB2312" w:hAnsi="仿宋_GB2312" w:eastAsia="仿宋_GB2312" w:cs="仿宋_GB2312"/>
          <w:sz w:val="32"/>
          <w:szCs w:val="32"/>
          <w:lang w:val="en-US" w:eastAsia="zh-CN"/>
        </w:rPr>
        <w:t>1小时、城区30分钟交通圈已基本构建，正在积极</w:t>
      </w:r>
      <w:r>
        <w:rPr>
          <w:rFonts w:hint="eastAsia" w:ascii="仿宋_GB2312" w:hAnsi="仿宋_GB2312" w:eastAsia="仿宋_GB2312" w:cs="仿宋_GB2312"/>
          <w:sz w:val="32"/>
          <w:szCs w:val="32"/>
        </w:rPr>
        <w:t>创建全国性综合交通枢纽城市</w:t>
      </w:r>
      <w:r>
        <w:rPr>
          <w:rFonts w:hint="eastAsia" w:ascii="仿宋_GB2312" w:hAnsi="仿宋_GB2312" w:eastAsia="仿宋_GB2312" w:cs="仿宋_GB2312"/>
          <w:sz w:val="32"/>
          <w:szCs w:val="32"/>
          <w:lang w:eastAsia="zh-CN"/>
        </w:rPr>
        <w:t>，加速了项目建设</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lang w:eastAsia="zh-CN"/>
        </w:rPr>
        <w:t>强化了交通运输行业监管，提升了服务水平，办人民满意交通，推动了执法规范化，</w:t>
      </w:r>
      <w:r>
        <w:rPr>
          <w:rFonts w:hint="eastAsia" w:ascii="仿宋_GB2312" w:hAnsi="仿宋_GB2312" w:eastAsia="仿宋_GB2312" w:cs="仿宋_GB2312"/>
          <w:sz w:val="32"/>
          <w:szCs w:val="32"/>
        </w:rPr>
        <w:t>全市交通运输行业未发生较大及以上安全事故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落实疫情防控常态化措施，新冠疫情未经交通运输途径传播</w:t>
      </w:r>
      <w:r>
        <w:rPr>
          <w:rFonts w:hint="eastAsia" w:ascii="仿宋_GB2312" w:hAnsi="仿宋_GB2312" w:eastAsia="仿宋_GB2312" w:cs="仿宋_GB2312"/>
          <w:sz w:val="32"/>
          <w:szCs w:val="32"/>
          <w:lang w:eastAsia="zh-CN"/>
        </w:rPr>
        <w:t>；三是抓好了生态治理，加速和巩固节能减排和生态环境修复，</w:t>
      </w:r>
      <w:r>
        <w:rPr>
          <w:rFonts w:hint="eastAsia" w:ascii="仿宋_GB2312" w:hAnsi="仿宋_GB2312" w:eastAsia="仿宋_GB2312" w:cs="仿宋_GB2312"/>
          <w:sz w:val="32"/>
          <w:szCs w:val="32"/>
        </w:rPr>
        <w:t>抓好主城区在建交通项目扬尘治理，全面推广了公路建设施工现场水雾喷洒降尘作业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承办了2021年全省绿色出行宣传月暨公交出行宣传周活动，全市新能源公交车占比达98%，其中主城区达100%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整治岸线码头成效显著，拆除市域内洞庭湖、湘江沿线全部21个取缔类码头并复绿，批复26个码头的提质改造方案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w:t>
      </w:r>
      <w:bookmarkStart w:id="0" w:name="_GoBack"/>
      <w:r>
        <w:rPr>
          <w:rFonts w:hint="eastAsia" w:ascii="仿宋_GB2312" w:hAnsi="仿宋_GB2312" w:eastAsia="仿宋_GB2312" w:cs="仿宋_GB2312"/>
          <w:sz w:val="32"/>
          <w:szCs w:val="32"/>
        </w:rPr>
        <w:t>实现了岳阳港船舶污染物免费接收全覆盖</w:t>
      </w:r>
      <w:bookmarkEnd w:id="0"/>
      <w:r>
        <w:rPr>
          <w:rFonts w:hint="eastAsia" w:ascii="仿宋_GB2312" w:hAnsi="仿宋_GB2312" w:eastAsia="仿宋_GB2312" w:cs="仿宋_GB2312"/>
          <w:sz w:val="32"/>
          <w:szCs w:val="32"/>
          <w:lang w:eastAsia="zh-CN"/>
        </w:rPr>
        <w:t>；四是全面推进交通民生实事工程，改善了通行环境，</w:t>
      </w:r>
      <w:r>
        <w:rPr>
          <w:rFonts w:hint="eastAsia" w:ascii="仿宋_GB2312" w:hAnsi="仿宋_GB2312" w:eastAsia="仿宋_GB2312" w:cs="仿宋_GB2312"/>
          <w:kern w:val="2"/>
          <w:sz w:val="32"/>
          <w:szCs w:val="32"/>
        </w:rPr>
        <w:t>全市交通项目建设“十四五”强势开局，实现了开门红</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全年完成交通固定资产投资132.7亿元，为年度计划的132.7%，额度列全省第一</w:t>
      </w:r>
      <w:r>
        <w:rPr>
          <w:rFonts w:hint="eastAsia" w:ascii="仿宋_GB2312" w:hAnsi="仿宋_GB2312" w:eastAsia="仿宋_GB2312" w:cs="仿宋_GB2312"/>
          <w:kern w:val="2"/>
          <w:sz w:val="32"/>
          <w:szCs w:val="32"/>
          <w:lang w:eastAsia="zh-CN"/>
        </w:rPr>
        <w:t>，其中，</w:t>
      </w:r>
      <w:r>
        <w:rPr>
          <w:rFonts w:hint="eastAsia" w:ascii="仿宋_GB2312" w:hAnsi="仿宋_GB2312" w:eastAsia="仿宋_GB2312" w:cs="仿宋_GB2312"/>
          <w:kern w:val="2"/>
          <w:sz w:val="32"/>
          <w:szCs w:val="32"/>
        </w:rPr>
        <w:t>城陵矶新港水公铁集装箱多式联运示范工程获评“国家多式联运示范工程”</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胥家桥综合物流园一期PPP项目开工建设</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全市完成民生实事农村公路提质改造395公里、安防工程1052公里、危桥改造107座，圆满完成</w:t>
      </w:r>
      <w:r>
        <w:rPr>
          <w:rFonts w:hint="eastAsia" w:ascii="仿宋_GB2312" w:hAnsi="仿宋_GB2312" w:eastAsia="仿宋_GB2312" w:cs="仿宋_GB2312"/>
          <w:kern w:val="2"/>
          <w:sz w:val="32"/>
          <w:szCs w:val="32"/>
          <w:lang w:eastAsia="zh-CN"/>
        </w:rPr>
        <w:t>了</w:t>
      </w:r>
      <w:r>
        <w:rPr>
          <w:rFonts w:hint="eastAsia" w:ascii="仿宋_GB2312" w:hAnsi="仿宋_GB2312" w:eastAsia="仿宋_GB2312" w:cs="仿宋_GB2312"/>
          <w:kern w:val="2"/>
          <w:sz w:val="32"/>
          <w:szCs w:val="32"/>
        </w:rPr>
        <w:t>年度目标</w:t>
      </w:r>
      <w:r>
        <w:rPr>
          <w:rFonts w:hint="eastAsia" w:ascii="仿宋_GB2312" w:hAnsi="仿宋_GB2312" w:eastAsia="仿宋_GB2312" w:cs="仿宋_GB2312"/>
          <w:sz w:val="32"/>
          <w:szCs w:val="32"/>
          <w:lang w:eastAsia="zh-CN"/>
        </w:rPr>
        <w:t>；五是</w:t>
      </w:r>
      <w:r>
        <w:rPr>
          <w:rFonts w:hint="eastAsia" w:ascii="仿宋_GB2312" w:hAnsi="仿宋_GB2312" w:eastAsia="仿宋_GB2312" w:cs="仿宋_GB2312"/>
          <w:sz w:val="32"/>
          <w:szCs w:val="32"/>
          <w:lang w:val="en-US" w:eastAsia="zh-CN"/>
        </w:rPr>
        <w:t>行业治理能力全面提升，运输保障能力稳步提升，</w:t>
      </w:r>
      <w:r>
        <w:rPr>
          <w:rFonts w:hint="eastAsia" w:ascii="仿宋_GB2312" w:hAnsi="仿宋_GB2312" w:eastAsia="仿宋_GB2312" w:cs="仿宋_GB2312"/>
          <w:b/>
          <w:sz w:val="32"/>
          <w:szCs w:val="32"/>
          <w:lang w:val="en-US" w:eastAsia="zh-CN"/>
        </w:rPr>
        <w:t>2021</w:t>
      </w:r>
      <w:r>
        <w:rPr>
          <w:rFonts w:hint="eastAsia" w:ascii="仿宋_GB2312" w:hAnsi="仿宋_GB2312" w:eastAsia="仿宋_GB2312" w:cs="仿宋_GB2312"/>
          <w:sz w:val="32"/>
          <w:szCs w:val="32"/>
        </w:rPr>
        <w:t>年，全市交通运输系统各单位讲实干、创业绩、争先进，多项工作受到国家、省、市表彰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汨罗市获评2020年度“四好农村路”、城乡交通运输一体化全国示范县，湘阴县、临湘市、云溪区、君山区获评城乡交通运输一体化全省示范县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被市委、市政府评为安全生产、信访工作优胜单位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推进西环线建设，受到市委通报表扬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G353岳阳东站至三荷机场项目建设、第二届湖南（岳阳）口岸经贸博览会筹备和接待、优化营商环境、全国文明城市复查、民生实事农村公路建设等受到市政府通报表扬。</w:t>
      </w:r>
    </w:p>
    <w:p>
      <w:pPr>
        <w:pStyle w:val="10"/>
        <w:numPr>
          <w:ilvl w:val="0"/>
          <w:numId w:val="0"/>
        </w:num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2021年我局预算执行情况较好，压缩了一般公务支出，“三公”经费支出与上年比减少6.3万元，减少25.41%，为年度预算的19.88%。</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2021年我局各项质量指标和数量指标完成情况较好，均圆满完成或超额完成目标任务，综合绩效评价得分96分，评价结果等级为“优”。</w:t>
      </w:r>
    </w:p>
    <w:p>
      <w:pPr>
        <w:autoSpaceDE w:val="0"/>
        <w:autoSpaceDN w:val="0"/>
        <w:adjustRightInd w:val="0"/>
        <w:ind w:firstLine="640" w:firstLineChars="200"/>
        <w:jc w:val="left"/>
        <w:rPr>
          <w:rFonts w:hint="eastAsia" w:cs="黑体" w:asciiTheme="minorEastAsia" w:hAnsiTheme="minorEastAsia"/>
          <w:b/>
          <w:bCs/>
          <w:color w:val="000000"/>
          <w:kern w:val="0"/>
          <w:sz w:val="32"/>
          <w:szCs w:val="32"/>
          <w:lang w:eastAsia="zh-CN"/>
        </w:rPr>
      </w:pPr>
      <w:r>
        <w:rPr>
          <w:rFonts w:hint="eastAsia" w:cs="黑体" w:asciiTheme="minorEastAsia" w:hAnsiTheme="minorEastAsia"/>
          <w:b/>
          <w:bCs/>
          <w:color w:val="000000"/>
          <w:kern w:val="0"/>
          <w:sz w:val="32"/>
          <w:szCs w:val="32"/>
          <w:lang w:eastAsia="zh-CN"/>
        </w:rPr>
        <w:t>（二）部门评价项目绩效评价结果</w:t>
      </w:r>
    </w:p>
    <w:p>
      <w:pPr>
        <w:autoSpaceDE w:val="0"/>
        <w:autoSpaceDN w:val="0"/>
        <w:adjustRightInd w:val="0"/>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我局</w:t>
      </w:r>
      <w:r>
        <w:rPr>
          <w:rFonts w:hint="eastAsia" w:ascii="仿宋_GB2312" w:hAnsi="仿宋_GB2312" w:eastAsia="仿宋_GB2312" w:cs="仿宋_GB2312"/>
          <w:color w:val="000000"/>
          <w:kern w:val="0"/>
          <w:sz w:val="32"/>
          <w:szCs w:val="32"/>
          <w:lang w:val="en-US" w:eastAsia="zh-CN"/>
        </w:rPr>
        <w:t>2021年整体支出绩效评价报告按照财政部门要求已经公开，详见第五部分附件2。</w:t>
      </w:r>
    </w:p>
    <w:p>
      <w:pPr>
        <w:pStyle w:val="10"/>
        <w:rPr>
          <w:sz w:val="72"/>
          <w:szCs w:val="72"/>
        </w:rPr>
      </w:pPr>
    </w:p>
    <w:p>
      <w:pPr>
        <w:pStyle w:val="10"/>
        <w:jc w:val="both"/>
        <w:rPr>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hint="eastAsia" w:ascii="仿宋_GB2312" w:hAnsi="仿宋_GB2312" w:eastAsia="仿宋_GB2312" w:cs="仿宋_GB2312"/>
          <w:color w:val="000000"/>
          <w:kern w:val="0"/>
          <w:sz w:val="32"/>
          <w:szCs w:val="24"/>
        </w:rPr>
      </w:pPr>
      <w:r>
        <w:rPr>
          <w:rFonts w:hint="eastAsia" w:ascii="宋体" w:hAnsi="宋体" w:eastAsia="宋体"/>
          <w:color w:val="000000"/>
          <w:kern w:val="0"/>
          <w:sz w:val="32"/>
          <w:szCs w:val="24"/>
          <w:lang w:val="en-US" w:eastAsia="zh-CN"/>
        </w:rPr>
        <w:t xml:space="preserve">    </w:t>
      </w:r>
      <w:r>
        <w:rPr>
          <w:rFonts w:hint="eastAsia" w:ascii="仿宋_GB2312" w:hAnsi="仿宋_GB2312" w:eastAsia="仿宋_GB2312" w:cs="仿宋_GB2312"/>
          <w:color w:val="000000"/>
          <w:kern w:val="0"/>
          <w:sz w:val="32"/>
          <w:szCs w:val="24"/>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jc w:val="left"/>
        <w:rPr>
          <w:rFonts w:hint="eastAsia" w:ascii="仿宋_GB2312" w:hAnsi="仿宋_GB2312" w:eastAsia="仿宋_GB2312" w:cs="仿宋_GB2312"/>
          <w:color w:val="000000"/>
          <w:kern w:val="0"/>
          <w:sz w:val="32"/>
          <w:szCs w:val="24"/>
        </w:rPr>
      </w:pPr>
      <w:r>
        <w:rPr>
          <w:rFonts w:hint="eastAsia" w:ascii="仿宋_GB2312" w:hAnsi="仿宋_GB2312" w:eastAsia="仿宋_GB2312" w:cs="仿宋_GB2312"/>
          <w:color w:val="000000"/>
          <w:kern w:val="0"/>
          <w:sz w:val="32"/>
          <w:szCs w:val="24"/>
        </w:rPr>
        <w:t>二、机关运行经费：是指各部门的公用经费，包括办公及印刷费、邮电费、差旅费、会议费、福利费、日常维修费、专用材料及一般设备购置费、办公用房水电费、办公用房物业管理费、公务用车运行维护费以及其他费用。</w:t>
      </w:r>
    </w:p>
    <w:p>
      <w:pPr>
        <w:ind w:firstLine="640" w:firstLineChars="200"/>
        <w:jc w:val="left"/>
        <w:rPr>
          <w:rFonts w:hint="eastAsia" w:ascii="仿宋_GB2312" w:hAnsi="仿宋_GB2312" w:eastAsia="仿宋_GB2312" w:cs="仿宋_GB2312"/>
          <w:color w:val="000000"/>
          <w:kern w:val="0"/>
          <w:sz w:val="32"/>
          <w:szCs w:val="24"/>
        </w:rPr>
      </w:pPr>
      <w:r>
        <w:rPr>
          <w:rFonts w:hint="eastAsia" w:ascii="仿宋_GB2312" w:hAnsi="仿宋_GB2312" w:eastAsia="仿宋_GB2312" w:cs="仿宋_GB2312"/>
          <w:color w:val="000000"/>
          <w:kern w:val="0"/>
          <w:sz w:val="32"/>
          <w:szCs w:val="24"/>
        </w:rPr>
        <w:t>三、财政拨款收入：指本级财政当年拨付的资金。</w:t>
      </w:r>
    </w:p>
    <w:p>
      <w:pPr>
        <w:ind w:firstLine="640" w:firstLineChars="200"/>
        <w:jc w:val="left"/>
        <w:rPr>
          <w:rFonts w:hint="eastAsia" w:ascii="仿宋_GB2312" w:hAnsi="仿宋_GB2312" w:eastAsia="仿宋_GB2312" w:cs="仿宋_GB2312"/>
          <w:color w:val="000000"/>
          <w:kern w:val="0"/>
          <w:sz w:val="32"/>
          <w:szCs w:val="24"/>
        </w:rPr>
      </w:pPr>
      <w:r>
        <w:rPr>
          <w:rFonts w:hint="eastAsia" w:ascii="仿宋_GB2312" w:hAnsi="仿宋_GB2312" w:eastAsia="仿宋_GB2312" w:cs="仿宋_GB2312"/>
          <w:color w:val="000000"/>
          <w:kern w:val="0"/>
          <w:sz w:val="32"/>
          <w:szCs w:val="24"/>
        </w:rPr>
        <w:t>四、上年结转和结余：指以前年度尚未完成、结转到本年按有关规定继续使用的资金。</w:t>
      </w:r>
    </w:p>
    <w:p>
      <w:pPr>
        <w:ind w:firstLine="640" w:firstLineChars="200"/>
        <w:jc w:val="left"/>
        <w:rPr>
          <w:rFonts w:hint="eastAsia" w:ascii="仿宋_GB2312" w:hAnsi="仿宋_GB2312" w:eastAsia="仿宋_GB2312" w:cs="仿宋_GB2312"/>
          <w:color w:val="000000"/>
          <w:kern w:val="0"/>
          <w:sz w:val="32"/>
          <w:szCs w:val="24"/>
        </w:rPr>
      </w:pPr>
      <w:r>
        <w:rPr>
          <w:rFonts w:hint="eastAsia" w:ascii="仿宋_GB2312" w:hAnsi="仿宋_GB2312" w:eastAsia="仿宋_GB2312" w:cs="仿宋_GB2312"/>
          <w:color w:val="000000"/>
          <w:kern w:val="0"/>
          <w:sz w:val="32"/>
          <w:szCs w:val="24"/>
          <w:lang w:eastAsia="zh-CN"/>
        </w:rPr>
        <w:t>五</w:t>
      </w:r>
      <w:r>
        <w:rPr>
          <w:rFonts w:hint="eastAsia" w:ascii="仿宋_GB2312" w:hAnsi="仿宋_GB2312" w:eastAsia="仿宋_GB2312" w:cs="仿宋_GB2312"/>
          <w:color w:val="000000"/>
          <w:kern w:val="0"/>
          <w:sz w:val="32"/>
          <w:szCs w:val="24"/>
        </w:rPr>
        <w:t>、年末结转和结余资金：指本年度或以前年度预算安排、因客观条件发生变化无法按原计划实施，需要延迟到以后年度按有关规定继续使用的资金。</w:t>
      </w:r>
    </w:p>
    <w:p>
      <w:pPr>
        <w:ind w:firstLine="640" w:firstLineChars="200"/>
        <w:jc w:val="left"/>
        <w:rPr>
          <w:rFonts w:hint="eastAsia" w:ascii="仿宋_GB2312" w:hAnsi="仿宋_GB2312" w:eastAsia="仿宋_GB2312" w:cs="仿宋_GB2312"/>
          <w:color w:val="000000"/>
          <w:kern w:val="0"/>
          <w:sz w:val="32"/>
          <w:szCs w:val="24"/>
        </w:rPr>
      </w:pPr>
      <w:r>
        <w:rPr>
          <w:rFonts w:hint="eastAsia" w:ascii="仿宋_GB2312" w:hAnsi="仿宋_GB2312" w:eastAsia="仿宋_GB2312" w:cs="仿宋_GB2312"/>
          <w:color w:val="000000"/>
          <w:kern w:val="0"/>
          <w:sz w:val="32"/>
          <w:szCs w:val="24"/>
          <w:lang w:eastAsia="zh-CN"/>
        </w:rPr>
        <w:t>六</w:t>
      </w:r>
      <w:r>
        <w:rPr>
          <w:rFonts w:hint="eastAsia" w:ascii="仿宋_GB2312" w:hAnsi="仿宋_GB2312" w:eastAsia="仿宋_GB2312" w:cs="仿宋_GB2312"/>
          <w:color w:val="000000"/>
          <w:kern w:val="0"/>
          <w:sz w:val="32"/>
          <w:szCs w:val="24"/>
        </w:rPr>
        <w:t>、</w:t>
      </w:r>
      <w:r>
        <w:rPr>
          <w:rFonts w:hint="eastAsia" w:ascii="仿宋_GB2312" w:hAnsi="仿宋_GB2312" w:eastAsia="仿宋_GB2312" w:cs="仿宋_GB2312"/>
          <w:color w:val="000000"/>
          <w:kern w:val="0"/>
          <w:sz w:val="32"/>
          <w:szCs w:val="24"/>
          <w:lang w:eastAsia="zh-CN"/>
        </w:rPr>
        <w:t>交通运输</w:t>
      </w:r>
      <w:r>
        <w:rPr>
          <w:rFonts w:hint="eastAsia" w:ascii="仿宋_GB2312" w:hAnsi="仿宋_GB2312" w:eastAsia="仿宋_GB2312" w:cs="仿宋_GB2312"/>
          <w:color w:val="000000"/>
          <w:kern w:val="0"/>
          <w:sz w:val="32"/>
          <w:szCs w:val="24"/>
        </w:rPr>
        <w:t>支出（类）：是指用于</w:t>
      </w:r>
      <w:r>
        <w:rPr>
          <w:rFonts w:hint="eastAsia" w:ascii="仿宋_GB2312" w:hAnsi="仿宋_GB2312" w:eastAsia="仿宋_GB2312" w:cs="仿宋_GB2312"/>
          <w:color w:val="000000"/>
          <w:kern w:val="0"/>
          <w:sz w:val="32"/>
          <w:szCs w:val="24"/>
          <w:lang w:eastAsia="zh-CN"/>
        </w:rPr>
        <w:t>交通运输</w:t>
      </w:r>
      <w:r>
        <w:rPr>
          <w:rFonts w:hint="eastAsia" w:ascii="仿宋_GB2312" w:hAnsi="仿宋_GB2312" w:eastAsia="仿宋_GB2312" w:cs="仿宋_GB2312"/>
          <w:color w:val="000000"/>
          <w:kern w:val="0"/>
          <w:sz w:val="32"/>
          <w:szCs w:val="24"/>
        </w:rPr>
        <w:t>方面的支出，包括保障机构正常运转、完成日常和特定的工作任务或</w:t>
      </w:r>
      <w:r>
        <w:rPr>
          <w:rFonts w:hint="eastAsia" w:ascii="仿宋_GB2312" w:hAnsi="仿宋_GB2312" w:eastAsia="仿宋_GB2312" w:cs="仿宋_GB2312"/>
          <w:color w:val="000000"/>
          <w:kern w:val="0"/>
          <w:sz w:val="32"/>
          <w:szCs w:val="24"/>
          <w:lang w:eastAsia="zh-CN"/>
        </w:rPr>
        <w:t>交通运输</w:t>
      </w:r>
      <w:r>
        <w:rPr>
          <w:rFonts w:hint="eastAsia" w:ascii="仿宋_GB2312" w:hAnsi="仿宋_GB2312" w:eastAsia="仿宋_GB2312" w:cs="仿宋_GB2312"/>
          <w:color w:val="000000"/>
          <w:kern w:val="0"/>
          <w:sz w:val="32"/>
          <w:szCs w:val="24"/>
        </w:rPr>
        <w:t>事业发展目标的支出。</w:t>
      </w:r>
    </w:p>
    <w:p>
      <w:pPr>
        <w:ind w:firstLine="640" w:firstLineChars="200"/>
        <w:jc w:val="left"/>
        <w:rPr>
          <w:rFonts w:hint="eastAsia" w:ascii="仿宋_GB2312" w:hAnsi="仿宋_GB2312" w:eastAsia="仿宋_GB2312" w:cs="仿宋_GB2312"/>
          <w:color w:val="000000"/>
          <w:kern w:val="0"/>
          <w:sz w:val="32"/>
          <w:szCs w:val="24"/>
        </w:rPr>
      </w:pPr>
      <w:r>
        <w:rPr>
          <w:rFonts w:hint="eastAsia" w:ascii="仿宋_GB2312" w:hAnsi="仿宋_GB2312" w:eastAsia="仿宋_GB2312" w:cs="仿宋_GB2312"/>
          <w:color w:val="000000"/>
          <w:kern w:val="0"/>
          <w:sz w:val="32"/>
          <w:szCs w:val="24"/>
          <w:lang w:eastAsia="zh-CN"/>
        </w:rPr>
        <w:t>七</w:t>
      </w:r>
      <w:r>
        <w:rPr>
          <w:rFonts w:hint="eastAsia" w:ascii="仿宋_GB2312" w:hAnsi="仿宋_GB2312" w:eastAsia="仿宋_GB2312" w:cs="仿宋_GB2312"/>
          <w:color w:val="000000"/>
          <w:kern w:val="0"/>
          <w:sz w:val="32"/>
          <w:szCs w:val="24"/>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keepNext/>
        <w:keepLines/>
        <w:autoSpaceDE w:val="0"/>
        <w:autoSpaceDN w:val="0"/>
        <w:adjustRightInd w:val="0"/>
        <w:spacing w:line="560" w:lineRule="exact"/>
        <w:ind w:firstLine="640" w:firstLineChars="200"/>
        <w:rPr>
          <w:rFonts w:hint="eastAsia" w:ascii="仿宋_GB2312" w:hAnsi="仿宋_GB2312" w:eastAsia="仿宋_GB2312" w:cs="仿宋_GB2312"/>
          <w:color w:val="000000"/>
          <w:kern w:val="0"/>
          <w:sz w:val="32"/>
          <w:szCs w:val="24"/>
        </w:rPr>
      </w:pPr>
      <w:r>
        <w:rPr>
          <w:rFonts w:hint="eastAsia" w:ascii="仿宋_GB2312" w:hAnsi="仿宋_GB2312" w:eastAsia="仿宋_GB2312" w:cs="仿宋_GB2312"/>
          <w:color w:val="000000"/>
          <w:kern w:val="0"/>
          <w:sz w:val="32"/>
          <w:szCs w:val="24"/>
          <w:lang w:eastAsia="zh-CN"/>
        </w:rPr>
        <w:t>八</w:t>
      </w:r>
      <w:r>
        <w:rPr>
          <w:rFonts w:hint="eastAsia" w:ascii="仿宋_GB2312" w:hAnsi="仿宋_GB2312" w:eastAsia="仿宋_GB2312" w:cs="仿宋_GB2312"/>
          <w:color w:val="000000"/>
          <w:kern w:val="0"/>
          <w:sz w:val="32"/>
          <w:szCs w:val="24"/>
        </w:rPr>
        <w:t>、卫生健康支出（类）：是指用于医疗卫生与计划生育方面的支出，包括保障机构正常运转、完成日常和特定的工作任务或事业发展目标的支出。</w:t>
      </w:r>
    </w:p>
    <w:p>
      <w:pPr>
        <w:keepNext/>
        <w:keepLines/>
        <w:autoSpaceDE w:val="0"/>
        <w:autoSpaceDN w:val="0"/>
        <w:adjustRightInd w:val="0"/>
        <w:spacing w:line="560" w:lineRule="exact"/>
        <w:ind w:firstLine="640"/>
        <w:rPr>
          <w:rFonts w:hint="eastAsia" w:ascii="仿宋_GB2312" w:hAnsi="仿宋_GB2312" w:eastAsia="仿宋_GB2312" w:cs="仿宋_GB2312"/>
          <w:color w:val="000000"/>
          <w:kern w:val="0"/>
          <w:sz w:val="32"/>
          <w:szCs w:val="24"/>
        </w:rPr>
      </w:pPr>
      <w:r>
        <w:rPr>
          <w:rFonts w:hint="eastAsia" w:ascii="仿宋_GB2312" w:hAnsi="仿宋_GB2312" w:eastAsia="仿宋_GB2312" w:cs="仿宋_GB2312"/>
          <w:color w:val="000000"/>
          <w:kern w:val="0"/>
          <w:sz w:val="32"/>
          <w:szCs w:val="24"/>
          <w:lang w:eastAsia="zh-CN"/>
        </w:rPr>
        <w:t>九</w:t>
      </w:r>
      <w:r>
        <w:rPr>
          <w:rFonts w:hint="eastAsia" w:ascii="仿宋_GB2312" w:hAnsi="仿宋_GB2312" w:eastAsia="仿宋_GB2312" w:cs="仿宋_GB2312"/>
          <w:color w:val="000000"/>
          <w:kern w:val="0"/>
          <w:sz w:val="32"/>
          <w:szCs w:val="24"/>
        </w:rPr>
        <w:t>、节能环保支出（类）：是指用于节能环保支出，包括保障机构正常运转、完成日常和特定的工作任务或事业发展目标的支出。</w:t>
      </w:r>
    </w:p>
    <w:p>
      <w:pPr>
        <w:keepNext/>
        <w:keepLines/>
        <w:autoSpaceDE w:val="0"/>
        <w:autoSpaceDN w:val="0"/>
        <w:adjustRightInd w:val="0"/>
        <w:spacing w:line="560" w:lineRule="exact"/>
        <w:rPr>
          <w:rFonts w:hint="eastAsia" w:ascii="仿宋_GB2312" w:hAnsi="仿宋_GB2312" w:eastAsia="仿宋_GB2312" w:cs="仿宋_GB2312"/>
          <w:color w:val="000000"/>
          <w:kern w:val="0"/>
          <w:sz w:val="32"/>
          <w:szCs w:val="24"/>
        </w:rPr>
      </w:pPr>
      <w:r>
        <w:rPr>
          <w:rFonts w:hint="eastAsia" w:ascii="仿宋_GB2312" w:hAnsi="仿宋_GB2312" w:eastAsia="仿宋_GB2312" w:cs="仿宋_GB2312"/>
          <w:color w:val="000000"/>
          <w:kern w:val="0"/>
          <w:sz w:val="32"/>
          <w:szCs w:val="24"/>
          <w:lang w:val="en-US" w:eastAsia="zh-CN"/>
        </w:rPr>
        <w:t xml:space="preserve">    </w:t>
      </w:r>
      <w:r>
        <w:rPr>
          <w:rFonts w:hint="eastAsia" w:ascii="仿宋_GB2312" w:hAnsi="仿宋_GB2312" w:eastAsia="仿宋_GB2312" w:cs="仿宋_GB2312"/>
          <w:color w:val="000000"/>
          <w:kern w:val="0"/>
          <w:sz w:val="32"/>
          <w:szCs w:val="24"/>
        </w:rPr>
        <w:t>十、城乡社区支出（类）：是指用于城乡社区事务支出，包括保障机构正常运转、完成日常和特定的工作任务或事业发展目标的支出。</w:t>
      </w:r>
    </w:p>
    <w:p>
      <w:pPr>
        <w:keepNext/>
        <w:keepLines/>
        <w:autoSpaceDE w:val="0"/>
        <w:autoSpaceDN w:val="0"/>
        <w:adjustRightInd w:val="0"/>
        <w:spacing w:line="560" w:lineRule="exact"/>
        <w:ind w:firstLine="640"/>
        <w:rPr>
          <w:rFonts w:hint="eastAsia" w:ascii="仿宋_GB2312" w:hAnsi="仿宋_GB2312" w:eastAsia="仿宋_GB2312" w:cs="仿宋_GB2312"/>
          <w:color w:val="000000"/>
          <w:kern w:val="0"/>
          <w:sz w:val="32"/>
          <w:szCs w:val="24"/>
        </w:rPr>
      </w:pPr>
      <w:r>
        <w:rPr>
          <w:rFonts w:hint="eastAsia" w:ascii="仿宋_GB2312" w:hAnsi="仿宋_GB2312" w:eastAsia="仿宋_GB2312" w:cs="仿宋_GB2312"/>
          <w:color w:val="000000"/>
          <w:kern w:val="0"/>
          <w:sz w:val="32"/>
          <w:szCs w:val="24"/>
        </w:rPr>
        <w:t>十</w:t>
      </w:r>
      <w:r>
        <w:rPr>
          <w:rFonts w:hint="eastAsia" w:ascii="仿宋_GB2312" w:hAnsi="仿宋_GB2312" w:eastAsia="仿宋_GB2312" w:cs="仿宋_GB2312"/>
          <w:color w:val="000000"/>
          <w:kern w:val="0"/>
          <w:sz w:val="32"/>
          <w:szCs w:val="24"/>
          <w:lang w:eastAsia="zh-CN"/>
        </w:rPr>
        <w:t>一</w:t>
      </w:r>
      <w:r>
        <w:rPr>
          <w:rFonts w:hint="eastAsia" w:ascii="仿宋_GB2312" w:hAnsi="仿宋_GB2312" w:eastAsia="仿宋_GB2312" w:cs="仿宋_GB2312"/>
          <w:color w:val="000000"/>
          <w:kern w:val="0"/>
          <w:sz w:val="32"/>
          <w:szCs w:val="24"/>
        </w:rPr>
        <w:t>、基本支出：指保障机构正常运转、完成支日常工作任务而发生的人员支出和公用支出。</w:t>
      </w:r>
    </w:p>
    <w:p>
      <w:pPr>
        <w:keepNext/>
        <w:keepLines/>
        <w:autoSpaceDE w:val="0"/>
        <w:autoSpaceDN w:val="0"/>
        <w:adjustRightInd w:val="0"/>
        <w:spacing w:line="560" w:lineRule="exact"/>
        <w:ind w:firstLine="640"/>
        <w:rPr>
          <w:rFonts w:hint="eastAsia" w:ascii="仿宋_GB2312" w:hAnsi="仿宋_GB2312" w:eastAsia="仿宋_GB2312" w:cs="仿宋_GB2312"/>
          <w:color w:val="000000"/>
          <w:kern w:val="0"/>
          <w:sz w:val="32"/>
          <w:szCs w:val="24"/>
        </w:rPr>
      </w:pPr>
      <w:r>
        <w:rPr>
          <w:rFonts w:hint="eastAsia" w:ascii="仿宋_GB2312" w:hAnsi="仿宋_GB2312" w:eastAsia="仿宋_GB2312" w:cs="仿宋_GB2312"/>
          <w:color w:val="000000"/>
          <w:kern w:val="0"/>
          <w:sz w:val="32"/>
          <w:szCs w:val="24"/>
        </w:rPr>
        <w:t>十</w:t>
      </w:r>
      <w:r>
        <w:rPr>
          <w:rFonts w:hint="eastAsia" w:ascii="仿宋_GB2312" w:hAnsi="仿宋_GB2312" w:eastAsia="仿宋_GB2312" w:cs="仿宋_GB2312"/>
          <w:color w:val="000000"/>
          <w:kern w:val="0"/>
          <w:sz w:val="32"/>
          <w:szCs w:val="24"/>
          <w:lang w:eastAsia="zh-CN"/>
        </w:rPr>
        <w:t>二</w:t>
      </w:r>
      <w:r>
        <w:rPr>
          <w:rFonts w:hint="eastAsia" w:ascii="仿宋_GB2312" w:hAnsi="仿宋_GB2312" w:eastAsia="仿宋_GB2312" w:cs="仿宋_GB2312"/>
          <w:color w:val="000000"/>
          <w:kern w:val="0"/>
          <w:sz w:val="32"/>
          <w:szCs w:val="24"/>
        </w:rPr>
        <w:t>、项目支出：指在基本支出之外为完成特定行政任务和事业发展目标所发生的支出。</w:t>
      </w:r>
    </w:p>
    <w:p>
      <w:pPr>
        <w:keepNext/>
        <w:keepLines/>
        <w:autoSpaceDE w:val="0"/>
        <w:autoSpaceDN w:val="0"/>
        <w:adjustRightInd w:val="0"/>
        <w:spacing w:line="560" w:lineRule="exact"/>
        <w:ind w:firstLine="640"/>
        <w:rPr>
          <w:rFonts w:hint="eastAsia" w:ascii="仿宋_GB2312" w:hAnsi="仿宋_GB2312" w:eastAsia="仿宋_GB2312" w:cs="仿宋_GB2312"/>
          <w:color w:val="000000"/>
          <w:kern w:val="0"/>
          <w:sz w:val="32"/>
          <w:szCs w:val="24"/>
        </w:rPr>
      </w:pPr>
      <w:r>
        <w:rPr>
          <w:rFonts w:hint="eastAsia" w:ascii="仿宋_GB2312" w:hAnsi="仿宋_GB2312" w:eastAsia="仿宋_GB2312" w:cs="仿宋_GB2312"/>
          <w:color w:val="000000"/>
          <w:kern w:val="0"/>
          <w:sz w:val="32"/>
          <w:szCs w:val="24"/>
          <w:lang w:eastAsia="zh-CN"/>
        </w:rPr>
        <w:t>十三</w:t>
      </w:r>
      <w:r>
        <w:rPr>
          <w:rFonts w:hint="eastAsia" w:ascii="仿宋_GB2312" w:hAnsi="仿宋_GB2312" w:eastAsia="仿宋_GB2312" w:cs="仿宋_GB2312"/>
          <w:color w:val="000000"/>
          <w:kern w:val="0"/>
          <w:sz w:val="32"/>
          <w:szCs w:val="24"/>
        </w:rPr>
        <w:t>、工资福利支出：反映单位开支的在职职工和编制外长期聘用人员的各类劳动报酬，以及为上述人员缴纳的各项社会保险费等。</w:t>
      </w:r>
    </w:p>
    <w:p>
      <w:pPr>
        <w:keepNext/>
        <w:keepLines/>
        <w:autoSpaceDE w:val="0"/>
        <w:autoSpaceDN w:val="0"/>
        <w:adjustRightInd w:val="0"/>
        <w:spacing w:line="560" w:lineRule="exact"/>
        <w:ind w:firstLine="640"/>
        <w:rPr>
          <w:rFonts w:hint="eastAsia" w:ascii="仿宋_GB2312" w:hAnsi="仿宋_GB2312" w:eastAsia="仿宋_GB2312" w:cs="仿宋_GB2312"/>
          <w:color w:val="000000"/>
          <w:kern w:val="0"/>
          <w:sz w:val="32"/>
          <w:szCs w:val="24"/>
        </w:rPr>
      </w:pPr>
      <w:r>
        <w:rPr>
          <w:rFonts w:hint="eastAsia" w:ascii="仿宋_GB2312" w:hAnsi="仿宋_GB2312" w:eastAsia="仿宋_GB2312" w:cs="仿宋_GB2312"/>
          <w:color w:val="000000"/>
          <w:kern w:val="0"/>
          <w:sz w:val="32"/>
          <w:szCs w:val="24"/>
          <w:lang w:eastAsia="zh-CN"/>
        </w:rPr>
        <w:t>十四</w:t>
      </w:r>
      <w:r>
        <w:rPr>
          <w:rFonts w:hint="eastAsia" w:ascii="仿宋_GB2312" w:hAnsi="仿宋_GB2312" w:eastAsia="仿宋_GB2312" w:cs="仿宋_GB2312"/>
          <w:color w:val="000000"/>
          <w:kern w:val="0"/>
          <w:sz w:val="32"/>
          <w:szCs w:val="24"/>
        </w:rPr>
        <w:t>、商品和服务支出：反映单位购买商品和服务的支出（不包括用于购置固定资产的支出、战略性和应急储备支出）。</w:t>
      </w:r>
    </w:p>
    <w:p>
      <w:pPr>
        <w:keepNext/>
        <w:keepLines/>
        <w:autoSpaceDE w:val="0"/>
        <w:autoSpaceDN w:val="0"/>
        <w:adjustRightInd w:val="0"/>
        <w:spacing w:line="560" w:lineRule="exact"/>
        <w:ind w:firstLine="640"/>
        <w:rPr>
          <w:rFonts w:hint="eastAsia" w:ascii="仿宋_GB2312" w:hAnsi="仿宋_GB2312" w:eastAsia="仿宋_GB2312" w:cs="仿宋_GB2312"/>
          <w:color w:val="000000"/>
          <w:kern w:val="0"/>
          <w:sz w:val="32"/>
          <w:szCs w:val="24"/>
        </w:rPr>
      </w:pPr>
      <w:r>
        <w:rPr>
          <w:rFonts w:hint="eastAsia" w:ascii="仿宋_GB2312" w:hAnsi="仿宋_GB2312" w:eastAsia="仿宋_GB2312" w:cs="仿宋_GB2312"/>
          <w:color w:val="000000"/>
          <w:kern w:val="0"/>
          <w:sz w:val="32"/>
          <w:szCs w:val="24"/>
          <w:lang w:eastAsia="zh-CN"/>
        </w:rPr>
        <w:t>十五</w:t>
      </w:r>
      <w:r>
        <w:rPr>
          <w:rFonts w:hint="eastAsia" w:ascii="仿宋_GB2312" w:hAnsi="仿宋_GB2312" w:eastAsia="仿宋_GB2312" w:cs="仿宋_GB2312"/>
          <w:color w:val="000000"/>
          <w:kern w:val="0"/>
          <w:sz w:val="32"/>
          <w:szCs w:val="24"/>
        </w:rPr>
        <w:t>、对个人和家庭的补助：反映政府用于对个人和家庭的补助支出。</w:t>
      </w:r>
    </w:p>
    <w:p>
      <w:pPr>
        <w:keepNext/>
        <w:keepLines/>
        <w:autoSpaceDE w:val="0"/>
        <w:autoSpaceDN w:val="0"/>
        <w:adjustRightInd w:val="0"/>
        <w:spacing w:line="560" w:lineRule="exact"/>
        <w:ind w:firstLine="640"/>
        <w:rPr>
          <w:rFonts w:hint="eastAsia" w:ascii="仿宋_GB2312" w:hAnsi="仿宋_GB2312" w:eastAsia="仿宋_GB2312" w:cs="仿宋_GB2312"/>
          <w:color w:val="000000"/>
          <w:kern w:val="0"/>
          <w:sz w:val="72"/>
          <w:szCs w:val="72"/>
        </w:rPr>
      </w:pPr>
    </w:p>
    <w:p>
      <w:pPr>
        <w:keepNext/>
        <w:keepLines/>
        <w:autoSpaceDE w:val="0"/>
        <w:autoSpaceDN w:val="0"/>
        <w:adjustRightInd w:val="0"/>
        <w:spacing w:line="560" w:lineRule="exact"/>
        <w:ind w:firstLine="1040" w:firstLineChars="200"/>
        <w:jc w:val="center"/>
        <w:rPr>
          <w:rFonts w:hint="eastAsia" w:ascii="黑体" w:hAnsi="Times New Roman" w:eastAsia="黑体"/>
          <w:sz w:val="52"/>
          <w:szCs w:val="52"/>
        </w:rPr>
      </w:pPr>
    </w:p>
    <w:p>
      <w:pPr>
        <w:keepNext/>
        <w:keepLines/>
        <w:autoSpaceDE w:val="0"/>
        <w:autoSpaceDN w:val="0"/>
        <w:adjustRightInd w:val="0"/>
        <w:spacing w:line="560" w:lineRule="exact"/>
        <w:ind w:firstLine="1040" w:firstLineChars="200"/>
        <w:jc w:val="center"/>
        <w:rPr>
          <w:rFonts w:hint="eastAsia" w:ascii="黑体" w:hAnsi="Times New Roman" w:eastAsia="黑体"/>
          <w:sz w:val="52"/>
          <w:szCs w:val="52"/>
        </w:rPr>
      </w:pPr>
    </w:p>
    <w:p>
      <w:pPr>
        <w:keepNext/>
        <w:keepLines/>
        <w:autoSpaceDE w:val="0"/>
        <w:autoSpaceDN w:val="0"/>
        <w:adjustRightInd w:val="0"/>
        <w:spacing w:line="560" w:lineRule="exact"/>
        <w:jc w:val="center"/>
        <w:rPr>
          <w:rFonts w:hint="eastAsia" w:ascii="黑体" w:hAnsi="Times New Roman" w:eastAsia="黑体"/>
          <w:sz w:val="72"/>
          <w:szCs w:val="72"/>
        </w:rPr>
      </w:pPr>
      <w:r>
        <w:rPr>
          <w:rFonts w:hint="eastAsia" w:ascii="黑体" w:hAnsi="Times New Roman" w:eastAsia="黑体"/>
          <w:sz w:val="52"/>
          <w:szCs w:val="52"/>
        </w:rPr>
        <w:t>第五部分</w:t>
      </w:r>
    </w:p>
    <w:p>
      <w:pPr>
        <w:keepNext/>
        <w:keepLines/>
        <w:autoSpaceDE w:val="0"/>
        <w:autoSpaceDN w:val="0"/>
        <w:adjustRightInd w:val="0"/>
        <w:spacing w:line="560" w:lineRule="exact"/>
        <w:ind w:firstLine="1040" w:firstLineChars="200"/>
        <w:jc w:val="both"/>
        <w:rPr>
          <w:rFonts w:hint="eastAsia" w:ascii="黑体" w:hAnsi="Times New Roman" w:eastAsia="黑体"/>
          <w:sz w:val="52"/>
          <w:szCs w:val="52"/>
          <w:lang w:val="en-US" w:eastAsia="zh-CN"/>
        </w:rPr>
      </w:pPr>
      <w:r>
        <w:rPr>
          <w:rFonts w:hint="eastAsia" w:ascii="黑体" w:hAnsi="Times New Roman" w:eastAsia="黑体"/>
          <w:sz w:val="52"/>
          <w:szCs w:val="52"/>
          <w:lang w:val="en-US" w:eastAsia="zh-CN"/>
        </w:rPr>
        <w:t xml:space="preserve">             </w:t>
      </w:r>
    </w:p>
    <w:p>
      <w:pPr>
        <w:keepNext/>
        <w:keepLines/>
        <w:autoSpaceDE w:val="0"/>
        <w:autoSpaceDN w:val="0"/>
        <w:adjustRightInd w:val="0"/>
        <w:spacing w:line="560" w:lineRule="exact"/>
        <w:ind w:firstLine="1040" w:firstLineChars="200"/>
        <w:jc w:val="both"/>
        <w:rPr>
          <w:rFonts w:hint="eastAsia" w:ascii="黑体" w:hAnsi="Times New Roman" w:eastAsia="黑体"/>
          <w:sz w:val="72"/>
          <w:szCs w:val="72"/>
        </w:rPr>
      </w:pPr>
      <w:r>
        <w:rPr>
          <w:rFonts w:hint="eastAsia" w:ascii="黑体" w:hAnsi="Times New Roman" w:eastAsia="黑体"/>
          <w:sz w:val="52"/>
          <w:szCs w:val="52"/>
          <w:lang w:val="en-US" w:eastAsia="zh-CN"/>
        </w:rPr>
        <w:t xml:space="preserve">              </w:t>
      </w:r>
      <w:r>
        <w:rPr>
          <w:rFonts w:hint="eastAsia" w:ascii="黑体" w:hAnsi="Times New Roman" w:eastAsia="黑体"/>
          <w:sz w:val="52"/>
          <w:szCs w:val="52"/>
        </w:rPr>
        <w:t>附件</w:t>
      </w:r>
    </w:p>
    <w:p>
      <w:pPr>
        <w:keepNext/>
        <w:keepLines/>
        <w:autoSpaceDE w:val="0"/>
        <w:autoSpaceDN w:val="0"/>
        <w:adjustRightInd w:val="0"/>
        <w:spacing w:line="560" w:lineRule="exact"/>
        <w:ind w:firstLine="1440" w:firstLineChars="200"/>
        <w:rPr>
          <w:rFonts w:hint="eastAsia" w:ascii="黑体" w:hAnsi="Times New Roman" w:eastAsia="黑体"/>
          <w:sz w:val="72"/>
          <w:szCs w:val="72"/>
          <w:lang w:eastAsia="zh-CN"/>
        </w:rPr>
      </w:pPr>
    </w:p>
    <w:p>
      <w:pPr>
        <w:keepNext/>
        <w:keepLines/>
        <w:autoSpaceDE w:val="0"/>
        <w:autoSpaceDN w:val="0"/>
        <w:adjustRightInd w:val="0"/>
        <w:spacing w:line="560" w:lineRule="exact"/>
        <w:ind w:firstLine="640"/>
        <w:rPr>
          <w:rFonts w:hint="eastAsia" w:ascii="宋体" w:hAnsi="Times New Roman" w:eastAsia="宋体"/>
          <w:b/>
          <w:bCs/>
          <w:sz w:val="32"/>
          <w:szCs w:val="24"/>
        </w:rPr>
      </w:pPr>
      <w:r>
        <w:rPr>
          <w:rFonts w:hint="eastAsia" w:ascii="宋体" w:hAnsi="Times New Roman" w:eastAsia="宋体"/>
          <w:b/>
          <w:bCs/>
          <w:sz w:val="32"/>
          <w:szCs w:val="24"/>
        </w:rPr>
        <w:t>1、2021年度岳阳市</w:t>
      </w:r>
      <w:r>
        <w:rPr>
          <w:rFonts w:hint="eastAsia" w:ascii="宋体" w:hAnsi="Times New Roman" w:eastAsia="宋体"/>
          <w:b/>
          <w:bCs/>
          <w:sz w:val="32"/>
          <w:szCs w:val="24"/>
          <w:lang w:eastAsia="zh-CN"/>
        </w:rPr>
        <w:t>交通运输</w:t>
      </w:r>
      <w:r>
        <w:rPr>
          <w:rFonts w:hint="eastAsia" w:ascii="宋体" w:hAnsi="Times New Roman" w:eastAsia="宋体"/>
          <w:b/>
          <w:bCs/>
          <w:sz w:val="32"/>
          <w:szCs w:val="24"/>
        </w:rPr>
        <w:t>局(本级)部门决算公开表格</w:t>
      </w:r>
    </w:p>
    <w:p>
      <w:pPr>
        <w:spacing w:line="800" w:lineRule="exact"/>
        <w:ind w:firstLine="632"/>
        <w:jc w:val="left"/>
        <w:rPr>
          <w:rFonts w:ascii="黑体" w:eastAsia="黑体" w:cs="黑体"/>
          <w:color w:val="000000"/>
          <w:kern w:val="0"/>
          <w:sz w:val="70"/>
          <w:szCs w:val="70"/>
        </w:rPr>
      </w:pPr>
      <w:r>
        <w:rPr>
          <w:rFonts w:hint="eastAsia" w:ascii="宋体" w:hAnsi="Times New Roman" w:eastAsia="宋体"/>
          <w:b/>
          <w:bCs/>
          <w:sz w:val="32"/>
          <w:szCs w:val="24"/>
        </w:rPr>
        <w:t>2、202</w:t>
      </w:r>
      <w:r>
        <w:rPr>
          <w:rFonts w:hint="eastAsia" w:ascii="宋体" w:hAnsi="Times New Roman" w:eastAsia="宋体"/>
          <w:b/>
          <w:bCs/>
          <w:sz w:val="32"/>
          <w:szCs w:val="24"/>
          <w:lang w:val="en-US" w:eastAsia="zh-CN"/>
        </w:rPr>
        <w:t>1</w:t>
      </w:r>
      <w:r>
        <w:rPr>
          <w:rFonts w:hint="eastAsia" w:ascii="宋体" w:hAnsi="Times New Roman" w:eastAsia="宋体"/>
          <w:b/>
          <w:bCs/>
          <w:sz w:val="32"/>
          <w:szCs w:val="24"/>
        </w:rPr>
        <w:t>年度</w:t>
      </w:r>
      <w:r>
        <w:rPr>
          <w:rFonts w:hint="eastAsia" w:ascii="宋体" w:hAnsi="Times New Roman" w:eastAsia="宋体"/>
          <w:b/>
          <w:bCs/>
          <w:sz w:val="32"/>
          <w:szCs w:val="24"/>
          <w:lang w:eastAsia="zh-CN"/>
        </w:rPr>
        <w:t>岳阳市交通运输</w:t>
      </w:r>
      <w:r>
        <w:rPr>
          <w:rFonts w:hint="eastAsia" w:ascii="宋体" w:hAnsi="Times New Roman" w:eastAsia="宋体"/>
          <w:b/>
          <w:bCs/>
          <w:sz w:val="32"/>
          <w:szCs w:val="24"/>
        </w:rPr>
        <w:t>局(本级)部门整体支出绩效评价报告</w:t>
      </w:r>
      <w:r>
        <w:rPr>
          <w:rFonts w:hint="eastAsia" w:ascii="宋体" w:hAnsi="Times New Roman" w:eastAsia="宋体"/>
          <w:sz w:val="32"/>
          <w:szCs w:val="24"/>
          <w:lang w:val="zh-CN"/>
        </w:rPr>
        <w:t xml:space="preserve"> </w:t>
      </w: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a4X5+z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8F6FC7"/>
    <w:multiLevelType w:val="singleLevel"/>
    <w:tmpl w:val="AB8F6FC7"/>
    <w:lvl w:ilvl="0" w:tentative="0">
      <w:start w:val="1"/>
      <w:numFmt w:val="decimal"/>
      <w:suff w:val="nothing"/>
      <w:lvlText w:val="%1、"/>
      <w:lvlJc w:val="left"/>
    </w:lvl>
  </w:abstractNum>
  <w:abstractNum w:abstractNumId="1">
    <w:nsid w:val="B16A298D"/>
    <w:multiLevelType w:val="singleLevel"/>
    <w:tmpl w:val="B16A298D"/>
    <w:lvl w:ilvl="0" w:tentative="0">
      <w:start w:val="9"/>
      <w:numFmt w:val="chineseCounting"/>
      <w:suff w:val="nothing"/>
      <w:lvlText w:val="%1、"/>
      <w:lvlJc w:val="left"/>
      <w:rPr>
        <w:rFonts w:hint="eastAsia"/>
      </w:rPr>
    </w:lvl>
  </w:abstractNum>
  <w:abstractNum w:abstractNumId="2">
    <w:nsid w:val="050B75B0"/>
    <w:multiLevelType w:val="singleLevel"/>
    <w:tmpl w:val="050B75B0"/>
    <w:lvl w:ilvl="0" w:tentative="0">
      <w:start w:val="5"/>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2ED6439"/>
    <w:rsid w:val="0348203F"/>
    <w:rsid w:val="03CC044E"/>
    <w:rsid w:val="05633A58"/>
    <w:rsid w:val="06B411F0"/>
    <w:rsid w:val="0846266B"/>
    <w:rsid w:val="087403E0"/>
    <w:rsid w:val="0AFA6BE2"/>
    <w:rsid w:val="0BE56081"/>
    <w:rsid w:val="0C58412B"/>
    <w:rsid w:val="0F464B6A"/>
    <w:rsid w:val="0FDD2C94"/>
    <w:rsid w:val="0FF673D6"/>
    <w:rsid w:val="107F65A5"/>
    <w:rsid w:val="13124F40"/>
    <w:rsid w:val="13BE003E"/>
    <w:rsid w:val="14003E7A"/>
    <w:rsid w:val="17A87124"/>
    <w:rsid w:val="17FD6605"/>
    <w:rsid w:val="1A8D2668"/>
    <w:rsid w:val="1BBF0916"/>
    <w:rsid w:val="1E0F56B0"/>
    <w:rsid w:val="20FA75D5"/>
    <w:rsid w:val="21EB066F"/>
    <w:rsid w:val="27DB542D"/>
    <w:rsid w:val="28AF0A64"/>
    <w:rsid w:val="2B1C4484"/>
    <w:rsid w:val="2B627301"/>
    <w:rsid w:val="2B650539"/>
    <w:rsid w:val="2E5E5B0E"/>
    <w:rsid w:val="2EB795CF"/>
    <w:rsid w:val="33F41966"/>
    <w:rsid w:val="34D87291"/>
    <w:rsid w:val="35BABEE1"/>
    <w:rsid w:val="35F7674C"/>
    <w:rsid w:val="366364DD"/>
    <w:rsid w:val="366FBDC5"/>
    <w:rsid w:val="36743FDF"/>
    <w:rsid w:val="370B6762"/>
    <w:rsid w:val="37F77E19"/>
    <w:rsid w:val="39732412"/>
    <w:rsid w:val="3A25803D"/>
    <w:rsid w:val="3EFE1CF5"/>
    <w:rsid w:val="3F631060"/>
    <w:rsid w:val="3FFBBA0C"/>
    <w:rsid w:val="409F344F"/>
    <w:rsid w:val="43E11731"/>
    <w:rsid w:val="448C042E"/>
    <w:rsid w:val="45EA0D10"/>
    <w:rsid w:val="45F9639D"/>
    <w:rsid w:val="48ED43E7"/>
    <w:rsid w:val="49196B54"/>
    <w:rsid w:val="4943361B"/>
    <w:rsid w:val="49C20A3F"/>
    <w:rsid w:val="4B8247B4"/>
    <w:rsid w:val="4DAF9443"/>
    <w:rsid w:val="4DC96D67"/>
    <w:rsid w:val="4DED7EDB"/>
    <w:rsid w:val="50F45E6D"/>
    <w:rsid w:val="54FA177F"/>
    <w:rsid w:val="569BEBC8"/>
    <w:rsid w:val="56A61714"/>
    <w:rsid w:val="56D56A70"/>
    <w:rsid w:val="56F9D5A3"/>
    <w:rsid w:val="56FFD5D3"/>
    <w:rsid w:val="5A1915F7"/>
    <w:rsid w:val="5AAC5DCD"/>
    <w:rsid w:val="5DC2194D"/>
    <w:rsid w:val="5E370642"/>
    <w:rsid w:val="5FDE5A04"/>
    <w:rsid w:val="60A907EA"/>
    <w:rsid w:val="6145544E"/>
    <w:rsid w:val="62C9745E"/>
    <w:rsid w:val="642C5076"/>
    <w:rsid w:val="654443FB"/>
    <w:rsid w:val="65D35DD2"/>
    <w:rsid w:val="676F252E"/>
    <w:rsid w:val="68454FC5"/>
    <w:rsid w:val="68F833DE"/>
    <w:rsid w:val="6BFF6FC6"/>
    <w:rsid w:val="6E6F33AD"/>
    <w:rsid w:val="6EFA7707"/>
    <w:rsid w:val="6FEF19A1"/>
    <w:rsid w:val="6FFDFC56"/>
    <w:rsid w:val="72F52E30"/>
    <w:rsid w:val="7376B40E"/>
    <w:rsid w:val="73F56FBD"/>
    <w:rsid w:val="746E7947"/>
    <w:rsid w:val="74F4BDB5"/>
    <w:rsid w:val="759FD445"/>
    <w:rsid w:val="75F8FC35"/>
    <w:rsid w:val="75FFF0BC"/>
    <w:rsid w:val="761A2F1C"/>
    <w:rsid w:val="76635094"/>
    <w:rsid w:val="776B8122"/>
    <w:rsid w:val="77EF2A8C"/>
    <w:rsid w:val="77FFD7FF"/>
    <w:rsid w:val="78640DF9"/>
    <w:rsid w:val="795D2798"/>
    <w:rsid w:val="799C7B22"/>
    <w:rsid w:val="79E34983"/>
    <w:rsid w:val="7A7CE25A"/>
    <w:rsid w:val="7AFF5DDD"/>
    <w:rsid w:val="7B6F06DC"/>
    <w:rsid w:val="7BFB675E"/>
    <w:rsid w:val="7BFD2FA7"/>
    <w:rsid w:val="7BFF94A4"/>
    <w:rsid w:val="7C306CCB"/>
    <w:rsid w:val="7CCE02EB"/>
    <w:rsid w:val="7CFBD5F5"/>
    <w:rsid w:val="7D479904"/>
    <w:rsid w:val="7D573A61"/>
    <w:rsid w:val="7D5F7669"/>
    <w:rsid w:val="7DBDC295"/>
    <w:rsid w:val="7DBF4DD3"/>
    <w:rsid w:val="7DD20528"/>
    <w:rsid w:val="7DFFB141"/>
    <w:rsid w:val="7E33A999"/>
    <w:rsid w:val="7E536A77"/>
    <w:rsid w:val="7E57F637"/>
    <w:rsid w:val="7E7F0702"/>
    <w:rsid w:val="7EFE53A4"/>
    <w:rsid w:val="7F1639F9"/>
    <w:rsid w:val="7F3F0799"/>
    <w:rsid w:val="7F7F8248"/>
    <w:rsid w:val="7F864E10"/>
    <w:rsid w:val="7F949AB3"/>
    <w:rsid w:val="7F9B0080"/>
    <w:rsid w:val="7FBE9BB7"/>
    <w:rsid w:val="7FEA2809"/>
    <w:rsid w:val="8D231D5C"/>
    <w:rsid w:val="95DB8A8A"/>
    <w:rsid w:val="9CDF832D"/>
    <w:rsid w:val="9F532A85"/>
    <w:rsid w:val="ADF7B034"/>
    <w:rsid w:val="AFEEF99B"/>
    <w:rsid w:val="B4B52EA4"/>
    <w:rsid w:val="B5CAAF50"/>
    <w:rsid w:val="B7363D47"/>
    <w:rsid w:val="B7FEE6EE"/>
    <w:rsid w:val="B9CFA07F"/>
    <w:rsid w:val="BB9FE985"/>
    <w:rsid w:val="BBFF8FAD"/>
    <w:rsid w:val="BDBE276D"/>
    <w:rsid w:val="BEFB5248"/>
    <w:rsid w:val="BFE77735"/>
    <w:rsid w:val="BFED2AE3"/>
    <w:rsid w:val="BFFFABF1"/>
    <w:rsid w:val="D73F9358"/>
    <w:rsid w:val="D7BBAAED"/>
    <w:rsid w:val="D7DF165E"/>
    <w:rsid w:val="DB1974EF"/>
    <w:rsid w:val="DC8A6814"/>
    <w:rsid w:val="DF763C5D"/>
    <w:rsid w:val="DFDF3CCC"/>
    <w:rsid w:val="DFFBE464"/>
    <w:rsid w:val="DFFF3F18"/>
    <w:rsid w:val="E3CFF219"/>
    <w:rsid w:val="E9F6CB23"/>
    <w:rsid w:val="EDFD3232"/>
    <w:rsid w:val="EEABC000"/>
    <w:rsid w:val="EF77A2CE"/>
    <w:rsid w:val="EFEB26E8"/>
    <w:rsid w:val="EFFF1A14"/>
    <w:rsid w:val="F7BDC6F0"/>
    <w:rsid w:val="F7F6A5FD"/>
    <w:rsid w:val="F7FFD42F"/>
    <w:rsid w:val="F85B4E44"/>
    <w:rsid w:val="FA1CCA65"/>
    <w:rsid w:val="FAF79D5C"/>
    <w:rsid w:val="FAFFEBB3"/>
    <w:rsid w:val="FBDBA13D"/>
    <w:rsid w:val="FBEE14BB"/>
    <w:rsid w:val="FBF9C72B"/>
    <w:rsid w:val="FCA780FA"/>
    <w:rsid w:val="FDFF1262"/>
    <w:rsid w:val="FEEE373C"/>
    <w:rsid w:val="FEFB2E19"/>
    <w:rsid w:val="FF9F35C8"/>
    <w:rsid w:val="FFAB4262"/>
    <w:rsid w:val="FFAF5A75"/>
    <w:rsid w:val="FFDE5C37"/>
    <w:rsid w:val="FFF53FB2"/>
    <w:rsid w:val="FFF6E8CD"/>
    <w:rsid w:val="FFF9F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3"/>
    <w:semiHidden/>
    <w:qFormat/>
    <w:uiPriority w:val="99"/>
    <w:rPr>
      <w:sz w:val="18"/>
      <w:szCs w:val="18"/>
    </w:rPr>
  </w:style>
  <w:style w:type="paragraph" w:customStyle="1" w:styleId="13">
    <w:name w:val="HTML Preformatted"/>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1452</Words>
  <Characters>8281</Characters>
  <Lines>69</Lines>
  <Paragraphs>19</Paragraphs>
  <TotalTime>56</TotalTime>
  <ScaleCrop>false</ScaleCrop>
  <LinksUpToDate>false</LinksUpToDate>
  <CharactersWithSpaces>9714</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xjkp</cp:lastModifiedBy>
  <cp:lastPrinted>2022-10-10T00:56:00Z</cp:lastPrinted>
  <dcterms:modified xsi:type="dcterms:W3CDTF">2022-10-10T14:29:19Z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90EB12D664524F20A64C9613469CDD20</vt:lpwstr>
  </property>
</Properties>
</file>