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36"/>
                <w:szCs w:val="36"/>
                <w:u w:val="none"/>
              </w:rPr>
            </w:pPr>
            <w:r>
              <w:rPr>
                <w:rFonts w:hint="eastAsia" w:ascii="方正小标宋简体" w:hAnsi="方正小标宋简体" w:eastAsia="方正小标宋简体" w:cs="方正小标宋简体"/>
                <w:i w:val="0"/>
                <w:iCs w:val="0"/>
                <w:color w:val="auto"/>
                <w:kern w:val="0"/>
                <w:sz w:val="36"/>
                <w:szCs w:val="36"/>
                <w:u w:val="none"/>
                <w:lang w:val="en-US" w:eastAsia="zh-CN" w:bidi="ar"/>
              </w:rPr>
              <w:t>交警支队2021年度单位预算公开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5000" w:type="pct"/>
            <w:tcBorders>
              <w:top w:val="nil"/>
              <w:left w:val="nil"/>
              <w:bottom w:val="nil"/>
              <w:right w:val="nil"/>
            </w:tcBorders>
            <w:shd w:val="clear" w:color="auto" w:fill="auto"/>
            <w:vAlign w:val="center"/>
          </w:tcPr>
          <w:p>
            <w:pPr>
              <w:keepNext w:val="0"/>
              <w:keepLines w:val="0"/>
              <w:widowControl/>
              <w:numPr>
                <w:ilvl w:val="0"/>
                <w:numId w:val="1"/>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2021年单位预算说明</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第二部分  单位预算公开表格</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一、收支总表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二、收入总表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三、支出总表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六、财政拨款收支总表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七、一般公共预算支出表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十四、一般公共预算“三公”经费支出表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十五、政府性基金预算支出表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十八、国有资产经营预算支出表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二十一、支出预算项目明细表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二十三、部门(单位)整体支出预算绩效目标申报表</w:t>
            </w:r>
          </w:p>
          <w:p>
            <w:pPr>
              <w:keepNext w:val="0"/>
              <w:keepLines w:val="0"/>
              <w:widowControl/>
              <w:numPr>
                <w:numId w:val="0"/>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cs="仿宋_GB2312"/>
                <w:i w:val="0"/>
                <w:iCs w:val="0"/>
                <w:color w:val="auto"/>
                <w:kern w:val="0"/>
                <w:sz w:val="28"/>
                <w:szCs w:val="28"/>
                <w:u w:val="none"/>
                <w:lang w:val="en-US" w:eastAsia="zh-CN" w:bidi="ar"/>
              </w:rPr>
              <w:t>二十四、一般公共预算基本支出总表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注：以上单位预算公开报表中，空表表示本单位无相关收支情况。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第一部分    2021年单位预算说明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一、单位基本概况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（一）职能职责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指导全市城乡道路交通安全管理、交通安全宣传教育、交通指挥；负责维护城乡交通秩序，处理交通事故；负责预防、控制和打击涉车、涉路的违法犯罪；协同打击城乡非法营运的机动车辆；负责机动车辆管理和驾驶人管理工作；参与道理建设中的交通安全设施的规划、设置；负责重大警保卫任务交通管理以及静态交通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（二）机构设置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岳阳市公安局交通警察支队为岳阳市公安局直属独立核算副处级二级机构，内设12个科所室、5个业务指导大队、9个勤务大队。现有在职民警396人，辅警526人，临聘人员74人。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numPr>
                <w:ilvl w:val="0"/>
                <w:numId w:val="2"/>
              </w:numPr>
              <w:suppressLineNumbers w:val="0"/>
              <w:ind w:left="560" w:leftChars="0" w:firstLine="0" w:firstLineChars="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黑体" w:hAnsi="宋体" w:eastAsia="黑体" w:cs="黑体"/>
                <w:i w:val="0"/>
                <w:iCs w:val="0"/>
                <w:color w:val="auto"/>
                <w:kern w:val="0"/>
                <w:sz w:val="28"/>
                <w:szCs w:val="28"/>
                <w:u w:val="none"/>
                <w:lang w:val="en-US" w:eastAsia="zh-CN" w:bidi="ar"/>
              </w:rPr>
              <w:t>单位收支总体情况</w:t>
            </w:r>
          </w:p>
          <w:p>
            <w:pPr>
              <w:keepNext w:val="0"/>
              <w:keepLines w:val="0"/>
              <w:widowControl/>
              <w:suppressLineNumbers w:val="0"/>
              <w:jc w:val="left"/>
              <w:textAlignment w:val="center"/>
              <w:rPr>
                <w:rFonts w:hint="default" w:ascii="仿宋_GB2312" w:hAnsi="宋体" w:eastAsia="仿宋_GB2312" w:cs="仿宋_GB2312"/>
                <w:i w:val="0"/>
                <w:iCs w:val="0"/>
                <w:color w:val="auto"/>
                <w:kern w:val="0"/>
                <w:sz w:val="28"/>
                <w:szCs w:val="28"/>
                <w:u w:val="none"/>
                <w:lang w:val="en-US" w:eastAsia="zh-CN" w:bidi="ar"/>
              </w:rPr>
            </w:pPr>
            <w:r>
              <w:rPr>
                <w:rFonts w:hint="eastAsia" w:ascii="仿宋_GB2312" w:hAnsi="宋体" w:eastAsia="仿宋_GB2312" w:cs="仿宋_GB2312"/>
                <w:i w:val="0"/>
                <w:iCs w:val="0"/>
                <w:color w:val="auto"/>
                <w:kern w:val="0"/>
                <w:sz w:val="28"/>
                <w:szCs w:val="28"/>
                <w:u w:val="none"/>
                <w:lang w:val="en-US" w:eastAsia="zh-CN" w:bidi="ar"/>
              </w:rPr>
              <w:t xml:space="preserve">    </w:t>
            </w:r>
            <w:r>
              <w:rPr>
                <w:rFonts w:hint="eastAsia" w:ascii="仿宋_GB2312" w:hAnsi="宋体" w:cs="仿宋_GB2312"/>
                <w:i w:val="0"/>
                <w:iCs w:val="0"/>
                <w:color w:val="auto"/>
                <w:kern w:val="0"/>
                <w:sz w:val="28"/>
                <w:szCs w:val="28"/>
                <w:u w:val="none"/>
                <w:lang w:val="en-US" w:eastAsia="zh-CN" w:bidi="ar"/>
              </w:rPr>
              <w:t xml:space="preserve"> 本单位为二级预算单位，没有预算独立、财务独立核算的下属预算单位，因此纳入2021年部门预算公开范围的为本单位本级预算。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（一）收入预算</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 xml:space="preserve">    包括一般公共预算、政府性基金、国有资本经营预算等财政拨款收入，以及经营收入、事业收入等单位资金。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本单位收入预算15,909.36万元，其中，一般公共预算拨款15,909.36万元，政府性基金预算拨款0.00万元（所以公开的附件15-17为空表），国有资本经营预算拨款0.00万元（所以公开的附件18为空表），财政专户管理资金0.00万元（所以公开的附件19-20为空表），上级补助收入0.00万元，事业单位经营收入0.00万元，其他收入0.00万元，上年结转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8"/>
                <w:szCs w:val="28"/>
                <w:u w:val="none"/>
                <w:lang w:val="en-US"/>
              </w:rPr>
            </w:pPr>
            <w:r>
              <w:rPr>
                <w:rFonts w:hint="eastAsia" w:ascii="仿宋_GB2312" w:hAnsi="宋体" w:eastAsia="仿宋_GB2312" w:cs="仿宋_GB2312"/>
                <w:i w:val="0"/>
                <w:iCs w:val="0"/>
                <w:color w:val="auto"/>
                <w:kern w:val="0"/>
                <w:sz w:val="28"/>
                <w:szCs w:val="28"/>
                <w:u w:val="none"/>
                <w:lang w:val="en-US" w:eastAsia="zh-CN" w:bidi="ar"/>
              </w:rPr>
              <w:t xml:space="preserve">    收入较去年增加1020.55万元，增幅6.9%，原因是</w:t>
            </w:r>
            <w:r>
              <w:rPr>
                <w:rFonts w:hint="eastAsia" w:ascii="仿宋_GB2312" w:hAnsi="宋体" w:cs="仿宋_GB2312"/>
                <w:i w:val="0"/>
                <w:iCs w:val="0"/>
                <w:color w:val="auto"/>
                <w:kern w:val="0"/>
                <w:sz w:val="28"/>
                <w:szCs w:val="28"/>
                <w:u w:val="none"/>
                <w:lang w:val="en-US" w:eastAsia="zh-CN" w:bidi="ar"/>
              </w:rPr>
              <w:t>人员增加，以及智能交通建设款、非税收入和办案费的增加。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2021年本单位支出预算15,909.36万元，其中，公共安全支出14,684.16万元，社会保障和就业支出518.55万元，卫生健康支出343.99万元，住房保障支出362.66万元。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支出较去年增加1020.55万元，其中基本支出较去年增加289.86万元，原因是人员变动</w:t>
            </w:r>
            <w:r>
              <w:rPr>
                <w:rFonts w:hint="eastAsia" w:ascii="仿宋_GB2312" w:hAnsi="宋体" w:cs="仿宋_GB2312"/>
                <w:i w:val="0"/>
                <w:iCs w:val="0"/>
                <w:color w:val="auto"/>
                <w:kern w:val="0"/>
                <w:sz w:val="28"/>
                <w:szCs w:val="28"/>
                <w:u w:val="none"/>
                <w:lang w:val="en-US" w:eastAsia="zh-CN" w:bidi="ar"/>
              </w:rPr>
              <w:t>和工勤人员经费增加</w:t>
            </w:r>
            <w:r>
              <w:rPr>
                <w:rFonts w:hint="eastAsia" w:ascii="仿宋_GB2312" w:hAnsi="宋体" w:eastAsia="仿宋_GB2312" w:cs="仿宋_GB2312"/>
                <w:i w:val="0"/>
                <w:iCs w:val="0"/>
                <w:color w:val="auto"/>
                <w:kern w:val="0"/>
                <w:sz w:val="28"/>
                <w:szCs w:val="28"/>
                <w:u w:val="none"/>
                <w:lang w:val="en-US" w:eastAsia="zh-CN" w:bidi="ar"/>
              </w:rPr>
              <w:t>；项目支出较去年增加730.69万元，原因是智能交通建设款</w:t>
            </w:r>
            <w:r>
              <w:rPr>
                <w:rFonts w:hint="eastAsia" w:ascii="仿宋_GB2312" w:hAnsi="宋体" w:cs="仿宋_GB2312"/>
                <w:i w:val="0"/>
                <w:iCs w:val="0"/>
                <w:color w:val="auto"/>
                <w:kern w:val="0"/>
                <w:sz w:val="28"/>
                <w:szCs w:val="28"/>
                <w:u w:val="none"/>
                <w:lang w:val="en-US" w:eastAsia="zh-CN" w:bidi="ar"/>
              </w:rPr>
              <w:t>和</w:t>
            </w:r>
            <w:r>
              <w:rPr>
                <w:rFonts w:hint="eastAsia" w:ascii="仿宋_GB2312" w:hAnsi="宋体" w:eastAsia="仿宋_GB2312" w:cs="仿宋_GB2312"/>
                <w:i w:val="0"/>
                <w:iCs w:val="0"/>
                <w:color w:val="auto"/>
                <w:kern w:val="0"/>
                <w:sz w:val="28"/>
                <w:szCs w:val="28"/>
                <w:u w:val="none"/>
                <w:lang w:val="en-US" w:eastAsia="zh-CN" w:bidi="ar"/>
              </w:rPr>
              <w:t>办案费增加。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三、一般公共预算拨款支出预算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一般公共预算拨款支出预算15,909.36万元，其中，公共安全支出14,684.16万元，占92.3%，社会保障和就业支出518.55万元，占3.3%，卫生健康支出343.99万元，占2.2%，住房保障支出362.66万元，占2.3%。具体安排情况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基本支出：2021年基本支出年初预算数为6,395.93万元，是指为保障单位机构正常运转、完成日常工作任务而发生的各项支出，包括用于基本工资、津贴补贴等人员经费以及办公费、印刷费、水电费、差旅费等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项目支出：2021年项目支出年初预算数为9,513.43万元，是指单位为完成特定行政工作任务或事业发展目标而发生的支出，包括有关业务工作经费、运行维护经费等。其中包括办案费2,700.00万元、偿还智能交通建设款2,500.00万元、道路交通管理1,496.94万元、人民警察加班、值勤岗位津贴718.40万元、非税收入征收成本605.00万元、涉案车辆社会停车场500.00万元、中央政法转移支付办案费428.09万元、道路交通设施维护300.00万元、上缴上级支出200.00万元、快处快赔35.00万元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四、政府性基金预算支出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2021年度本单位无政府性基金安排的支出，所以公开的附件15-17为空。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五、其他重要事项的情况说明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（一）机关运行经费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本单位2021年机关运行经费当年一般公共预算拨款165.10万元。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较去年增加0.56万元，增幅0.3%，原因是人员变动后公务交通补贴、工会经费、福利费略有变动</w:t>
            </w:r>
            <w:r>
              <w:rPr>
                <w:rFonts w:hint="eastAsia" w:ascii="仿宋_GB2312" w:hAnsi="宋体" w:cs="仿宋_GB2312"/>
                <w:i w:val="0"/>
                <w:iCs w:val="0"/>
                <w:color w:val="auto"/>
                <w:kern w:val="0"/>
                <w:sz w:val="28"/>
                <w:szCs w:val="2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（二）“三公”经费预算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8"/>
                <w:szCs w:val="28"/>
                <w:u w:val="none"/>
                <w:lang w:val="en-US"/>
              </w:rPr>
            </w:pPr>
            <w:r>
              <w:rPr>
                <w:rFonts w:hint="eastAsia" w:ascii="仿宋_GB2312" w:hAnsi="宋体" w:eastAsia="仿宋_GB2312" w:cs="仿宋_GB2312"/>
                <w:i w:val="0"/>
                <w:iCs w:val="0"/>
                <w:color w:val="auto"/>
                <w:kern w:val="0"/>
                <w:sz w:val="28"/>
                <w:szCs w:val="28"/>
                <w:u w:val="none"/>
                <w:lang w:val="en-US" w:eastAsia="zh-CN" w:bidi="ar"/>
              </w:rPr>
              <w:t xml:space="preserve">    本单位2021年“三公”经费预算数</w:t>
            </w:r>
            <w:r>
              <w:rPr>
                <w:rFonts w:hint="eastAsia" w:ascii="仿宋_GB2312" w:hAnsi="宋体" w:cs="仿宋_GB2312"/>
                <w:i w:val="0"/>
                <w:iCs w:val="0"/>
                <w:color w:val="auto"/>
                <w:kern w:val="0"/>
                <w:sz w:val="28"/>
                <w:szCs w:val="28"/>
                <w:u w:val="none"/>
                <w:lang w:val="en-US" w:eastAsia="zh-CN" w:bidi="ar"/>
              </w:rPr>
              <w:t>530</w:t>
            </w:r>
            <w:r>
              <w:rPr>
                <w:rFonts w:hint="eastAsia" w:ascii="仿宋_GB2312" w:hAnsi="宋体" w:eastAsia="仿宋_GB2312" w:cs="仿宋_GB2312"/>
                <w:i w:val="0"/>
                <w:iCs w:val="0"/>
                <w:color w:val="auto"/>
                <w:kern w:val="0"/>
                <w:sz w:val="28"/>
                <w:szCs w:val="28"/>
                <w:u w:val="none"/>
                <w:lang w:val="en-US" w:eastAsia="zh-CN" w:bidi="ar"/>
              </w:rPr>
              <w:t>.00万元，其中公务接待费20.00万元，因公出国（境）费0.00万元，公务用车购置及运行费5</w:t>
            </w:r>
            <w:r>
              <w:rPr>
                <w:rFonts w:hint="eastAsia" w:ascii="仿宋_GB2312" w:hAnsi="宋体" w:cs="仿宋_GB2312"/>
                <w:i w:val="0"/>
                <w:iCs w:val="0"/>
                <w:color w:val="auto"/>
                <w:kern w:val="0"/>
                <w:sz w:val="28"/>
                <w:szCs w:val="28"/>
                <w:u w:val="none"/>
                <w:lang w:val="en-US" w:eastAsia="zh-CN" w:bidi="ar"/>
              </w:rPr>
              <w:t>10</w:t>
            </w:r>
            <w:bookmarkStart w:id="0" w:name="_GoBack"/>
            <w:bookmarkEnd w:id="0"/>
            <w:r>
              <w:rPr>
                <w:rFonts w:hint="eastAsia" w:ascii="仿宋_GB2312" w:hAnsi="宋体" w:eastAsia="仿宋_GB2312" w:cs="仿宋_GB2312"/>
                <w:i w:val="0"/>
                <w:iCs w:val="0"/>
                <w:color w:val="auto"/>
                <w:kern w:val="0"/>
                <w:sz w:val="28"/>
                <w:szCs w:val="28"/>
                <w:u w:val="none"/>
                <w:lang w:val="en-US" w:eastAsia="zh-CN" w:bidi="ar"/>
              </w:rPr>
              <w:t>.00万元（其中公务用车购置费160.00万元，公务用车运行费350.00万元</w:t>
            </w:r>
            <w:r>
              <w:rPr>
                <w:rFonts w:hint="eastAsia" w:ascii="仿宋_GB2312" w:hAnsi="宋体" w:cs="仿宋_GB2312"/>
                <w:i w:val="0"/>
                <w:iCs w:val="0"/>
                <w:color w:val="auto"/>
                <w:kern w:val="0"/>
                <w:sz w:val="28"/>
                <w:szCs w:val="2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比上一年减少10万元，降低</w:t>
            </w:r>
            <w:r>
              <w:rPr>
                <w:rFonts w:hint="eastAsia" w:ascii="仿宋_GB2312" w:hAnsi="宋体" w:cs="仿宋_GB2312"/>
                <w:i w:val="0"/>
                <w:iCs w:val="0"/>
                <w:color w:val="auto"/>
                <w:kern w:val="0"/>
                <w:sz w:val="28"/>
                <w:szCs w:val="28"/>
                <w:u w:val="none"/>
                <w:lang w:val="en-US" w:eastAsia="zh-CN" w:bidi="ar"/>
              </w:rPr>
              <w:t>1.85</w:t>
            </w:r>
            <w:r>
              <w:rPr>
                <w:rFonts w:hint="eastAsia" w:ascii="仿宋_GB2312" w:hAnsi="宋体" w:eastAsia="仿宋_GB2312" w:cs="仿宋_GB2312"/>
                <w:i w:val="0"/>
                <w:iCs w:val="0"/>
                <w:color w:val="auto"/>
                <w:kern w:val="0"/>
                <w:sz w:val="28"/>
                <w:szCs w:val="28"/>
                <w:u w:val="none"/>
                <w:lang w:val="en-US" w:eastAsia="zh-CN" w:bidi="ar"/>
              </w:rPr>
              <w:t>%，主要原因是</w:t>
            </w:r>
            <w:r>
              <w:rPr>
                <w:rFonts w:hint="eastAsia" w:ascii="仿宋_GB2312" w:hAnsi="宋体" w:cs="仿宋_GB2312"/>
                <w:i w:val="0"/>
                <w:iCs w:val="0"/>
                <w:color w:val="auto"/>
                <w:kern w:val="0"/>
                <w:sz w:val="28"/>
                <w:szCs w:val="28"/>
                <w:u w:val="none"/>
                <w:lang w:val="en-US" w:eastAsia="zh-CN" w:bidi="ar"/>
              </w:rPr>
              <w:t>厉行节约，压减了</w:t>
            </w:r>
            <w:r>
              <w:rPr>
                <w:rFonts w:hint="eastAsia" w:ascii="仿宋_GB2312" w:hAnsi="宋体" w:eastAsia="仿宋_GB2312" w:cs="仿宋_GB2312"/>
                <w:i w:val="0"/>
                <w:iCs w:val="0"/>
                <w:color w:val="auto"/>
                <w:kern w:val="0"/>
                <w:sz w:val="28"/>
                <w:szCs w:val="28"/>
                <w:u w:val="none"/>
                <w:lang w:val="en-US" w:eastAsia="zh-CN" w:bidi="ar"/>
              </w:rPr>
              <w:t>公务车运行维护和公务接待费</w:t>
            </w:r>
            <w:r>
              <w:rPr>
                <w:rFonts w:hint="eastAsia" w:ascii="仿宋_GB2312" w:hAnsi="宋体" w:cs="仿宋_GB2312"/>
                <w:i w:val="0"/>
                <w:iCs w:val="0"/>
                <w:color w:val="auto"/>
                <w:kern w:val="0"/>
                <w:sz w:val="28"/>
                <w:szCs w:val="2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（三）一般性支出情况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2021年度本单位未计划召开会议；2021年度本单位未计划组织培训。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2021年度本单位未计划举办节庆、晚会、论坛、赛事活动。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（四）政府采购情况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本单位2021年政府采购预算总额4465万元，其中工程类</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万元，货物类1216万元，服务类3249万元。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（五）国有资产占有使用及新增资产配置情况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截至上一年12月底，本单位共有车辆71辆，其中执勤执法用车66辆，一般公务用车5辆，其他用车0辆。单位价值50万元以上通用设备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台，单位价值100万元以上专用设备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2021年拟报废处置公务用车</w:t>
            </w:r>
            <w:r>
              <w:rPr>
                <w:rFonts w:hint="eastAsia" w:ascii="仿宋_GB2312" w:hAnsi="宋体" w:cs="仿宋_GB2312"/>
                <w:i w:val="0"/>
                <w:iCs w:val="0"/>
                <w:color w:val="auto"/>
                <w:kern w:val="0"/>
                <w:sz w:val="28"/>
                <w:szCs w:val="28"/>
                <w:u w:val="none"/>
                <w:lang w:val="en-US" w:eastAsia="zh-CN" w:bidi="ar"/>
              </w:rPr>
              <w:t>9</w:t>
            </w:r>
            <w:r>
              <w:rPr>
                <w:rFonts w:hint="eastAsia" w:ascii="仿宋_GB2312" w:hAnsi="宋体" w:eastAsia="仿宋_GB2312" w:cs="仿宋_GB2312"/>
                <w:i w:val="0"/>
                <w:iCs w:val="0"/>
                <w:color w:val="auto"/>
                <w:kern w:val="0"/>
                <w:sz w:val="28"/>
                <w:szCs w:val="28"/>
                <w:u w:val="none"/>
                <w:lang w:val="en-US" w:eastAsia="zh-CN" w:bidi="ar"/>
              </w:rPr>
              <w:t>辆，拟新增配置车辆</w:t>
            </w:r>
            <w:r>
              <w:rPr>
                <w:rFonts w:hint="eastAsia" w:ascii="仿宋_GB2312" w:hAnsi="宋体" w:cs="仿宋_GB2312"/>
                <w:i w:val="0"/>
                <w:iCs w:val="0"/>
                <w:color w:val="auto"/>
                <w:kern w:val="0"/>
                <w:sz w:val="28"/>
                <w:szCs w:val="28"/>
                <w:u w:val="none"/>
                <w:lang w:val="en-US" w:eastAsia="zh-CN" w:bidi="ar"/>
              </w:rPr>
              <w:t>9</w:t>
            </w:r>
            <w:r>
              <w:rPr>
                <w:rFonts w:hint="eastAsia" w:ascii="仿宋_GB2312" w:hAnsi="宋体" w:eastAsia="仿宋_GB2312" w:cs="仿宋_GB2312"/>
                <w:i w:val="0"/>
                <w:iCs w:val="0"/>
                <w:color w:val="auto"/>
                <w:kern w:val="0"/>
                <w:sz w:val="28"/>
                <w:szCs w:val="28"/>
                <w:u w:val="none"/>
                <w:lang w:val="en-US" w:eastAsia="zh-CN" w:bidi="ar"/>
              </w:rPr>
              <w:t>辆，其中领导干部用车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辆，一般公务用车</w:t>
            </w:r>
            <w:r>
              <w:rPr>
                <w:rFonts w:hint="eastAsia" w:ascii="仿宋_GB2312" w:hAnsi="宋体" w:cs="仿宋_GB2312"/>
                <w:i w:val="0"/>
                <w:iCs w:val="0"/>
                <w:color w:val="auto"/>
                <w:kern w:val="0"/>
                <w:sz w:val="28"/>
                <w:szCs w:val="28"/>
                <w:u w:val="none"/>
                <w:lang w:val="en-US" w:eastAsia="zh-CN" w:bidi="ar"/>
              </w:rPr>
              <w:t>9</w:t>
            </w:r>
            <w:r>
              <w:rPr>
                <w:rFonts w:hint="eastAsia" w:ascii="仿宋_GB2312" w:hAnsi="宋体" w:eastAsia="仿宋_GB2312" w:cs="仿宋_GB2312"/>
                <w:i w:val="0"/>
                <w:iCs w:val="0"/>
                <w:color w:val="auto"/>
                <w:kern w:val="0"/>
                <w:sz w:val="28"/>
                <w:szCs w:val="28"/>
                <w:u w:val="none"/>
                <w:lang w:val="en-US" w:eastAsia="zh-CN" w:bidi="ar"/>
              </w:rPr>
              <w:t>辆，其他用车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辆，主要用于执勤执法，资金来源为自筹。</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 xml:space="preserve">    2021年拟新增配备单位价值50万元以上通用设备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台，单位价值100万元以上专用设备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（六）预算绩效目标说明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本单位所有支出实行绩效目标管理。纳入2021年单位整体支出绩效目标的金额为15,909.36万元，其中，基本支出6,395.93万元，项目支出9,513.43万元，绩效目标详见文尾附表中预算公开表格的表22-23。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六、名词解释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第二部分  单位预算公开表格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5000" w:type="pct"/>
            <w:tcBorders>
              <w:top w:val="nil"/>
              <w:left w:val="nil"/>
              <w:bottom w:val="nil"/>
              <w:right w:val="nil"/>
            </w:tcBorders>
            <w:shd w:val="clear" w:color="auto" w:fill="auto"/>
            <w:vAlign w:val="center"/>
          </w:tcPr>
          <w:p>
            <w:pPr>
              <w:keepNext w:val="0"/>
              <w:keepLines w:val="0"/>
              <w:widowControl/>
              <w:numPr>
                <w:ilvl w:val="0"/>
                <w:numId w:val="3"/>
              </w:numPr>
              <w:suppressLineNumbers w:val="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eastAsia="仿宋_GB2312" w:cs="仿宋_GB2312"/>
                <w:i w:val="0"/>
                <w:iCs w:val="0"/>
                <w:color w:val="auto"/>
                <w:kern w:val="0"/>
                <w:sz w:val="28"/>
                <w:szCs w:val="28"/>
                <w:u w:val="none"/>
                <w:lang w:val="en-US" w:eastAsia="zh-CN" w:bidi="ar"/>
              </w:rPr>
              <w:t>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二、收入总表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三、支出总表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六、财政拨款收支总表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七、一般公共预算支出表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十四、一般公共预算“三公”经费支出表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十五、政府性基金预算支出表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十八、国有资产经营预算支出表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二十一、支出预算项目明细表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二十三、部门(单位)整体支出预算绩效目标申报表</w:t>
            </w:r>
          </w:p>
          <w:p>
            <w:pPr>
              <w:keepNext w:val="0"/>
              <w:keepLines w:val="0"/>
              <w:widowControl/>
              <w:numPr>
                <w:numId w:val="0"/>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cs="仿宋_GB2312"/>
                <w:i w:val="0"/>
                <w:iCs w:val="0"/>
                <w:color w:val="auto"/>
                <w:kern w:val="0"/>
                <w:sz w:val="28"/>
                <w:szCs w:val="28"/>
                <w:u w:val="none"/>
                <w:lang w:val="en-US" w:eastAsia="zh-CN" w:bidi="ar"/>
              </w:rPr>
              <w:t>二十四、一般公共预算基本支出总表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注：以上单位预算公开报表中，空表表示本单位无相关收支情况。</w:t>
            </w:r>
          </w:p>
        </w:tc>
      </w:tr>
    </w:tbl>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F6F9A"/>
    <w:multiLevelType w:val="singleLevel"/>
    <w:tmpl w:val="BDBF6F9A"/>
    <w:lvl w:ilvl="0" w:tentative="0">
      <w:start w:val="1"/>
      <w:numFmt w:val="chineseCounting"/>
      <w:suff w:val="nothing"/>
      <w:lvlText w:val="%1、"/>
      <w:lvlJc w:val="left"/>
      <w:rPr>
        <w:rFonts w:hint="eastAsia"/>
      </w:rPr>
    </w:lvl>
  </w:abstractNum>
  <w:abstractNum w:abstractNumId="1">
    <w:nsid w:val="4B675744"/>
    <w:multiLevelType w:val="singleLevel"/>
    <w:tmpl w:val="4B675744"/>
    <w:lvl w:ilvl="0" w:tentative="0">
      <w:start w:val="2"/>
      <w:numFmt w:val="chineseCounting"/>
      <w:suff w:val="nothing"/>
      <w:lvlText w:val="%1、"/>
      <w:lvlJc w:val="left"/>
      <w:pPr>
        <w:ind w:left="560" w:leftChars="0" w:firstLine="0" w:firstLineChars="0"/>
      </w:pPr>
      <w:rPr>
        <w:rFonts w:hint="eastAsia"/>
      </w:rPr>
    </w:lvl>
  </w:abstractNum>
  <w:abstractNum w:abstractNumId="2">
    <w:nsid w:val="702A77E7"/>
    <w:multiLevelType w:val="singleLevel"/>
    <w:tmpl w:val="702A77E7"/>
    <w:lvl w:ilvl="0" w:tentative="0">
      <w:start w:val="1"/>
      <w:numFmt w:val="chineseCounting"/>
      <w:suff w:val="space"/>
      <w:lvlText w:val="第%1部分"/>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5ZDU3NTdhZGE3ZjllOGE1M2EzYTk3MmVjYjRhMDkifQ=="/>
  </w:docVars>
  <w:rsids>
    <w:rsidRoot w:val="48885009"/>
    <w:rsid w:val="00AD3675"/>
    <w:rsid w:val="017F5C35"/>
    <w:rsid w:val="021B163F"/>
    <w:rsid w:val="02282330"/>
    <w:rsid w:val="032416C0"/>
    <w:rsid w:val="060318FF"/>
    <w:rsid w:val="060F4036"/>
    <w:rsid w:val="0618237D"/>
    <w:rsid w:val="0834033F"/>
    <w:rsid w:val="09AD4173"/>
    <w:rsid w:val="0AB100FE"/>
    <w:rsid w:val="0FA638D0"/>
    <w:rsid w:val="104D4694"/>
    <w:rsid w:val="16490F5F"/>
    <w:rsid w:val="1757400A"/>
    <w:rsid w:val="1BDD4B1E"/>
    <w:rsid w:val="20C079C8"/>
    <w:rsid w:val="21C81DCC"/>
    <w:rsid w:val="26C22AA4"/>
    <w:rsid w:val="27A10913"/>
    <w:rsid w:val="29D477B9"/>
    <w:rsid w:val="2A6B0EB3"/>
    <w:rsid w:val="312E36D8"/>
    <w:rsid w:val="31A830F5"/>
    <w:rsid w:val="325925CC"/>
    <w:rsid w:val="3474171E"/>
    <w:rsid w:val="349B4BD8"/>
    <w:rsid w:val="34A71D15"/>
    <w:rsid w:val="35B16B66"/>
    <w:rsid w:val="36C26D87"/>
    <w:rsid w:val="3B51265F"/>
    <w:rsid w:val="3B8E39E8"/>
    <w:rsid w:val="3E471E20"/>
    <w:rsid w:val="44051DAD"/>
    <w:rsid w:val="47C47D13"/>
    <w:rsid w:val="48885009"/>
    <w:rsid w:val="4B2772B4"/>
    <w:rsid w:val="4E542F0D"/>
    <w:rsid w:val="4FF53ACC"/>
    <w:rsid w:val="555B14CE"/>
    <w:rsid w:val="556560EE"/>
    <w:rsid w:val="59EF2A8B"/>
    <w:rsid w:val="676C3F80"/>
    <w:rsid w:val="67B34EB9"/>
    <w:rsid w:val="684E77D6"/>
    <w:rsid w:val="707F6E1E"/>
    <w:rsid w:val="71A30B93"/>
    <w:rsid w:val="749F1AE5"/>
    <w:rsid w:val="75BB63EA"/>
    <w:rsid w:val="76322A03"/>
    <w:rsid w:val="770F11C8"/>
    <w:rsid w:val="77846D70"/>
    <w:rsid w:val="79325440"/>
    <w:rsid w:val="7E2D0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80" w:lineRule="exact"/>
      <w:ind w:firstLine="0" w:firstLineChars="0"/>
      <w:jc w:val="both"/>
    </w:pPr>
    <w:rPr>
      <w:rFonts w:ascii="Times New Roman" w:hAnsi="Times New Roman" w:eastAsia="仿宋_GB2312" w:cstheme="minorBidi"/>
      <w:kern w:val="2"/>
      <w:sz w:val="28"/>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ind w:firstLine="643" w:firstLineChars="200"/>
      <w:outlineLvl w:val="1"/>
    </w:pPr>
    <w:rPr>
      <w:rFonts w:ascii="Arial" w:hAnsi="Arial" w:eastAsia="黑体" w:cs="Times New Roman"/>
      <w:b/>
      <w:sz w:val="32"/>
    </w:rPr>
  </w:style>
  <w:style w:type="paragraph" w:styleId="3">
    <w:name w:val="heading 3"/>
    <w:basedOn w:val="1"/>
    <w:next w:val="1"/>
    <w:link w:val="6"/>
    <w:semiHidden/>
    <w:unhideWhenUsed/>
    <w:qFormat/>
    <w:uiPriority w:val="0"/>
    <w:pPr>
      <w:keepNext/>
      <w:keepLines/>
      <w:spacing w:before="260" w:beforeLines="0" w:beforeAutospacing="0" w:after="260" w:afterLines="0" w:afterAutospacing="0" w:line="413" w:lineRule="auto"/>
      <w:outlineLvl w:val="2"/>
    </w:pPr>
    <w:rPr>
      <w:rFonts w:ascii="Calibri" w:hAnsi="Calibri" w:eastAsia="楷体_GB2312" w:cs="Arial"/>
      <w:b/>
      <w:sz w:val="32"/>
      <w:szCs w:val="2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character" w:customStyle="1" w:styleId="6">
    <w:name w:val="标题 3 Char"/>
    <w:link w:val="3"/>
    <w:uiPriority w:val="0"/>
    <w:rPr>
      <w:rFonts w:ascii="Calibri" w:hAnsi="Calibri" w:eastAsia="楷体_GB2312" w:cs="Arial"/>
      <w:b/>
      <w:sz w:val="3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3233</Words>
  <Characters>3622</Characters>
  <Lines>0</Lines>
  <Paragraphs>0</Paragraphs>
  <TotalTime>1</TotalTime>
  <ScaleCrop>false</ScaleCrop>
  <LinksUpToDate>false</LinksUpToDate>
  <CharactersWithSpaces>3792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2022-06-06T11:01:00Z</dcterms:created>
  <dc:creator>German Phillip</dc:creator>
  <cp:lastModifiedBy>lenovo</cp:lastModifiedBy>
  <dcterms:modified xsi:type="dcterms:W3CDTF">2022-09-06T01:45:09Z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866D0C884FCE43B690E2ADCF1F102F35</vt:lpwstr>
  </property>
</Properties>
</file>