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rFonts w:hint="eastAsia"/>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spacing w:beforeLines="0" w:afterLines="0"/>
        <w:jc w:val="center"/>
        <w:rPr>
          <w:rFonts w:hint="default" w:eastAsia="Times New Roman"/>
          <w:color w:val="000000"/>
          <w:kern w:val="0"/>
          <w:sz w:val="84"/>
          <w:szCs w:val="24"/>
          <w:highlight w:val="white"/>
          <w:lang w:val="en-US"/>
        </w:rPr>
      </w:pPr>
      <w:r>
        <w:rPr>
          <w:rFonts w:hint="eastAsia" w:ascii="黑体" w:hAnsi="黑体" w:eastAsia="黑体"/>
          <w:color w:val="auto"/>
          <w:sz w:val="84"/>
          <w:szCs w:val="24"/>
          <w:highlight w:val="white"/>
          <w:lang w:val="zh-CN"/>
        </w:rPr>
        <w:t>岳阳市不动产产权交易中心</w:t>
      </w:r>
      <w:r>
        <w:rPr>
          <w:rFonts w:hint="eastAsia" w:ascii="黑体" w:hAnsi="黑体" w:eastAsia="黑体"/>
          <w:color w:val="000000"/>
          <w:kern w:val="0"/>
          <w:sz w:val="84"/>
          <w:szCs w:val="24"/>
          <w:highlight w:val="white"/>
          <w:lang w:val="en-US"/>
        </w:rPr>
        <w:t>部门决算</w:t>
      </w:r>
    </w:p>
    <w:p>
      <w:pPr>
        <w:pStyle w:val="11"/>
        <w:jc w:val="center"/>
        <w:rPr>
          <w:sz w:val="84"/>
          <w:szCs w:val="84"/>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both"/>
        <w:rPr>
          <w:b/>
          <w:sz w:val="36"/>
          <w:szCs w:val="28"/>
        </w:rPr>
      </w:pPr>
    </w:p>
    <w:p>
      <w:pPr>
        <w:pStyle w:val="11"/>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ascii="黑体" w:hAnsi="黑体" w:eastAsia="黑体" w:cs="黑体"/>
          <w:b/>
          <w:color w:val="auto"/>
          <w:sz w:val="28"/>
          <w:szCs w:val="28"/>
          <w:highlight w:val="white"/>
          <w:lang w:val="zh-CN"/>
        </w:rPr>
        <w:t>岳阳市不动产产权交易中心</w:t>
      </w:r>
      <w:r>
        <w:rPr>
          <w:rFonts w:hint="eastAsia" w:ascii="黑体" w:hAnsi="黑体" w:eastAsia="黑体" w:cs="黑体"/>
          <w:b/>
          <w:color w:val="000000"/>
          <w:kern w:val="0"/>
          <w:sz w:val="28"/>
          <w:szCs w:val="28"/>
          <w:highlight w:val="white"/>
          <w:lang w:val="en-US"/>
        </w:rPr>
        <w:t>概况</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sz w:val="72"/>
          <w:szCs w:val="72"/>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pStyle w:val="11"/>
        <w:jc w:val="center"/>
        <w:rPr>
          <w:sz w:val="84"/>
          <w:szCs w:val="84"/>
        </w:rPr>
      </w:pPr>
      <w:r>
        <w:rPr>
          <w:rFonts w:hint="eastAsia"/>
          <w:sz w:val="84"/>
          <w:szCs w:val="84"/>
        </w:rPr>
        <w:t>第一部分</w:t>
      </w:r>
      <w:r>
        <w:rPr>
          <w:sz w:val="84"/>
          <w:szCs w:val="84"/>
        </w:rPr>
        <w:t xml:space="preserve"> </w:t>
      </w:r>
    </w:p>
    <w:p>
      <w:pPr>
        <w:pStyle w:val="11"/>
        <w:jc w:val="center"/>
        <w:rPr>
          <w:sz w:val="84"/>
          <w:szCs w:val="84"/>
        </w:rPr>
      </w:pPr>
    </w:p>
    <w:p>
      <w:pPr>
        <w:pStyle w:val="11"/>
        <w:jc w:val="center"/>
        <w:rPr>
          <w:rFonts w:ascii="黑体" w:hAnsi="黑体" w:eastAsia="黑体"/>
          <w:sz w:val="32"/>
          <w:szCs w:val="32"/>
        </w:rPr>
      </w:pPr>
      <w:r>
        <w:rPr>
          <w:rFonts w:hint="eastAsia"/>
          <w:sz w:val="84"/>
          <w:szCs w:val="84"/>
          <w:lang w:eastAsia="zh-CN"/>
        </w:rPr>
        <w:t>岳阳市不动产产权交易中心</w:t>
      </w:r>
      <w:r>
        <w:rPr>
          <w:rFonts w:hint="eastAsia"/>
          <w:sz w:val="84"/>
          <w:szCs w:val="84"/>
        </w:rPr>
        <w:t>概况</w:t>
      </w: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27" w:firstLineChars="196"/>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建设房地产交易网签备案系统，负责商品房和存量房买卖合同示范文本推广和备案，办理网签备案系统入网认证；负责商品房项目现售备案，负责楼盘表管理，商品房买卖合同、存量房买卖合同、房地产租赁合同、房地产抵押合同的网签备案及其变更、撤销工作；负责加强房地产中介管理，做好中介机构备案，加强存量房交易资金监管；负责落实房地产成交价格申报制度，定期组织测算各类房屋的重置价格。</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6"/>
        <w:shd w:val="clear" w:color="auto" w:fill="FFFFFF"/>
        <w:spacing w:line="480" w:lineRule="auto"/>
        <w:ind w:firstLine="320" w:firstLineChars="100"/>
        <w:jc w:val="both"/>
        <w:rPr>
          <w:rFonts w:hint="eastAsia" w:asciiTheme="minorEastAsia" w:hAnsiTheme="minorEastAsia" w:eastAsiaTheme="minorEastAsia"/>
          <w:bCs/>
          <w:i/>
          <w:iCs/>
          <w:color w:val="FF0000"/>
          <w:kern w:val="0"/>
          <w:sz w:val="32"/>
          <w:szCs w:val="32"/>
          <w:lang w:eastAsia="zh-CN"/>
        </w:rPr>
      </w:pPr>
      <w:r>
        <w:rPr>
          <w:rFonts w:hint="eastAsia" w:asciiTheme="minorEastAsia" w:hAnsiTheme="minorEastAsia"/>
          <w:bCs/>
          <w:kern w:val="0"/>
          <w:sz w:val="32"/>
          <w:szCs w:val="32"/>
        </w:rPr>
        <w:t>（一）内设机构设置。</w:t>
      </w:r>
      <w:r>
        <w:rPr>
          <w:rFonts w:hint="eastAsia" w:cs="黑体" w:asciiTheme="minorEastAsia" w:hAnsiTheme="minorEastAsia" w:eastAsiaTheme="minorEastAsia"/>
          <w:color w:val="000000"/>
          <w:kern w:val="0"/>
          <w:sz w:val="32"/>
          <w:szCs w:val="32"/>
          <w:lang w:val="en-US" w:eastAsia="zh-CN" w:bidi="ar-SA"/>
        </w:rPr>
        <w:t>我中心隶属于不动产登记中心的正科级二级机构。全称：岳阳市不动产产权交易中心，设全额拨款事业编制16名，设主任1名，副主任4名，现有在编在岗人员14名，劳务派遣人员1名，退休人员16名。内设科室有：办公室、财务科、法规科、新建商品房市场科、存量房市场科。</w:t>
      </w:r>
    </w:p>
    <w:p>
      <w:pPr>
        <w:widowControl/>
        <w:numPr>
          <w:ilvl w:val="0"/>
          <w:numId w:val="2"/>
        </w:numPr>
        <w:spacing w:line="600" w:lineRule="exact"/>
        <w:rPr>
          <w:rFonts w:asciiTheme="minorEastAsia" w:hAnsiTheme="minorEastAsia"/>
          <w:bCs/>
          <w:kern w:val="0"/>
          <w:sz w:val="32"/>
          <w:szCs w:val="32"/>
        </w:rPr>
      </w:pPr>
      <w:r>
        <w:rPr>
          <w:rFonts w:hint="eastAsia" w:asciiTheme="minorEastAsia" w:hAnsiTheme="minorEastAsia"/>
          <w:bCs/>
          <w:kern w:val="0"/>
          <w:sz w:val="32"/>
          <w:szCs w:val="32"/>
        </w:rPr>
        <w:t>决算单位构成。</w:t>
      </w:r>
      <w:r>
        <w:rPr>
          <w:rFonts w:hint="eastAsia" w:asciiTheme="minorEastAsia" w:hAnsiTheme="minorEastAsia"/>
          <w:bCs/>
          <w:kern w:val="0"/>
          <w:sz w:val="32"/>
          <w:szCs w:val="32"/>
          <w:lang w:val="zh-CN"/>
        </w:rPr>
        <w:t>岳阳市不动产产权交易中心2021</w:t>
      </w:r>
      <w:r>
        <w:rPr>
          <w:rFonts w:hint="eastAsia" w:asciiTheme="minorEastAsia" w:hAnsiTheme="minorEastAsia"/>
          <w:bCs/>
          <w:kern w:val="0"/>
          <w:sz w:val="32"/>
          <w:szCs w:val="32"/>
        </w:rPr>
        <w:t>年部门决算汇总公开单位构成包括：</w:t>
      </w:r>
      <w:r>
        <w:rPr>
          <w:rFonts w:hint="eastAsia" w:asciiTheme="minorEastAsia" w:hAnsiTheme="minorEastAsia"/>
          <w:bCs/>
          <w:kern w:val="0"/>
          <w:sz w:val="32"/>
          <w:szCs w:val="32"/>
          <w:lang w:val="zh-CN"/>
        </w:rPr>
        <w:t>岳阳市不动产产权交易中心单位202</w:t>
      </w:r>
      <w:r>
        <w:rPr>
          <w:rFonts w:hint="eastAsia" w:asciiTheme="minorEastAsia" w:hAnsiTheme="minorEastAsia"/>
          <w:bCs/>
          <w:kern w:val="0"/>
          <w:sz w:val="32"/>
          <w:szCs w:val="32"/>
          <w:lang w:val="en-US" w:eastAsia="zh-CN"/>
        </w:rPr>
        <w:t>1</w:t>
      </w:r>
      <w:r>
        <w:rPr>
          <w:rFonts w:hint="eastAsia" w:asciiTheme="minorEastAsia" w:hAnsiTheme="minorEastAsia"/>
          <w:bCs/>
          <w:kern w:val="0"/>
          <w:sz w:val="32"/>
          <w:szCs w:val="32"/>
          <w:lang w:val="zh-CN"/>
        </w:rPr>
        <w:t>年部门决算公开单位</w:t>
      </w:r>
      <w:r>
        <w:rPr>
          <w:rFonts w:hint="eastAsia" w:asciiTheme="minorEastAsia" w:hAnsiTheme="minorEastAsia"/>
          <w:bCs/>
          <w:kern w:val="0"/>
          <w:sz w:val="32"/>
          <w:szCs w:val="32"/>
          <w:lang w:val="zh-CN" w:eastAsia="zh-CN"/>
        </w:rPr>
        <w:t>不包含下属单位或机构</w:t>
      </w:r>
      <w:r>
        <w:rPr>
          <w:rFonts w:hint="eastAsia" w:asciiTheme="minorEastAsia" w:hAnsiTheme="minorEastAsia"/>
          <w:bCs/>
          <w:kern w:val="0"/>
          <w:sz w:val="32"/>
          <w:szCs w:val="32"/>
          <w:lang w:val="en-US"/>
        </w:rPr>
        <w:t>。</w:t>
      </w:r>
    </w:p>
    <w:p>
      <w:pPr>
        <w:jc w:val="center"/>
        <w:rPr>
          <w:sz w:val="72"/>
          <w:szCs w:val="72"/>
        </w:rPr>
      </w:pPr>
    </w:p>
    <w:p>
      <w:pPr>
        <w:pStyle w:val="2"/>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sz w:val="72"/>
          <w:szCs w:val="72"/>
        </w:rPr>
      </w:pPr>
      <w:r>
        <w:rPr>
          <w:rFonts w:hint="eastAsia"/>
          <w:sz w:val="72"/>
          <w:szCs w:val="72"/>
          <w:lang w:eastAsia="zh-CN"/>
        </w:rPr>
        <w:t>（见附件）</w:t>
      </w: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jc w:val="both"/>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p>
    <w:p>
      <w:pPr>
        <w:pStyle w:val="11"/>
        <w:rPr>
          <w:rFonts w:hAnsi="黑体"/>
          <w:b/>
          <w:sz w:val="32"/>
          <w:szCs w:val="32"/>
        </w:rPr>
      </w:pPr>
      <w:r>
        <w:rPr>
          <w:rFonts w:hint="eastAsia" w:hAnsi="黑体"/>
          <w:b/>
          <w:sz w:val="32"/>
          <w:szCs w:val="32"/>
        </w:rPr>
        <w:t>一、收入支出决算总体情况说明</w:t>
      </w:r>
    </w:p>
    <w:p>
      <w:pPr>
        <w:keepNext/>
        <w:keepLines/>
        <w:spacing w:beforeLines="0" w:afterLines="0"/>
        <w:ind w:firstLine="641"/>
        <w:rPr>
          <w:rFonts w:hint="eastAsia" w:asciiTheme="minorEastAsia" w:hAnsiTheme="minorEastAsia" w:eastAsiaTheme="minorEastAsia"/>
          <w:sz w:val="32"/>
          <w:szCs w:val="32"/>
          <w:lang w:eastAsia="zh-CN"/>
        </w:rPr>
      </w:pPr>
      <w:r>
        <w:rPr>
          <w:rFonts w:hint="eastAsia" w:cs="黑体" w:asciiTheme="minorEastAsia" w:hAnsiTheme="minorEastAsia" w:eastAsiaTheme="minorEastAsia"/>
          <w:color w:val="000000"/>
          <w:kern w:val="0"/>
          <w:sz w:val="32"/>
          <w:szCs w:val="32"/>
          <w:lang w:val="en-US" w:eastAsia="zh-CN" w:bidi="ar-SA"/>
        </w:rPr>
        <w:t>2021年度收、支总计274.8</w:t>
      </w:r>
      <w:r>
        <w:rPr>
          <w:rFonts w:hint="eastAsia" w:cs="黑体" w:asciiTheme="minorEastAsia" w:hAnsiTheme="minorEastAsia"/>
          <w:color w:val="000000"/>
          <w:kern w:val="0"/>
          <w:sz w:val="32"/>
          <w:szCs w:val="32"/>
          <w:lang w:val="en-US" w:eastAsia="zh-CN" w:bidi="ar-SA"/>
        </w:rPr>
        <w:t>2</w:t>
      </w:r>
      <w:r>
        <w:rPr>
          <w:rFonts w:hint="eastAsia" w:cs="黑体" w:asciiTheme="minorEastAsia" w:hAnsiTheme="minorEastAsia" w:eastAsiaTheme="minorEastAsia"/>
          <w:color w:val="000000"/>
          <w:kern w:val="0"/>
          <w:sz w:val="32"/>
          <w:szCs w:val="32"/>
          <w:lang w:val="en-US" w:eastAsia="zh-CN" w:bidi="ar-SA"/>
        </w:rPr>
        <w:t>万元。与上年相比，减少33.1</w:t>
      </w:r>
      <w:r>
        <w:rPr>
          <w:rFonts w:hint="eastAsia" w:cs="黑体" w:asciiTheme="minorEastAsia" w:hAnsiTheme="minorEastAsia"/>
          <w:color w:val="000000"/>
          <w:kern w:val="0"/>
          <w:sz w:val="32"/>
          <w:szCs w:val="32"/>
          <w:lang w:val="en-US" w:eastAsia="zh-CN" w:bidi="ar-SA"/>
        </w:rPr>
        <w:t>5</w:t>
      </w:r>
      <w:r>
        <w:rPr>
          <w:rFonts w:hint="eastAsia" w:cs="黑体" w:asciiTheme="minorEastAsia" w:hAnsiTheme="minorEastAsia" w:eastAsiaTheme="minorEastAsia"/>
          <w:color w:val="000000"/>
          <w:kern w:val="0"/>
          <w:sz w:val="32"/>
          <w:szCs w:val="32"/>
          <w:lang w:val="en-US" w:eastAsia="zh-CN" w:bidi="ar-SA"/>
        </w:rPr>
        <w:t>万元，减少10.76%，主要是因为:其它收入-上级补助经费拨款减少。</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252.81</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176.28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69.73</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76.53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30.27</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274.82</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274.82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2021年度财政拨款收、支总计</w:t>
      </w:r>
      <w:r>
        <w:rPr>
          <w:rFonts w:hint="eastAsia" w:asciiTheme="minorEastAsia" w:hAnsiTheme="minorEastAsia" w:eastAsiaTheme="minorEastAsia"/>
          <w:sz w:val="32"/>
          <w:szCs w:val="32"/>
          <w:lang w:val="en-US" w:eastAsia="zh-CN"/>
        </w:rPr>
        <w:t>177.37</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43.39</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32.38</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一般公共预算财政拨款收入增加。</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177.37</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64.53</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44.48</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33.47</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一般公共预算财政拨款收入增加</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keepNext/>
        <w:keepLines/>
        <w:spacing w:beforeLines="0" w:afterLines="0"/>
        <w:ind w:firstLine="641"/>
        <w:rPr>
          <w:rFonts w:hint="eastAsia" w:asciiTheme="minorEastAsia" w:hAnsiTheme="minorEastAsia" w:eastAsiaTheme="minorEastAsia"/>
          <w:sz w:val="32"/>
          <w:szCs w:val="32"/>
          <w:lang w:val="en-US"/>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177.37</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val="en-US"/>
        </w:rPr>
        <w:t>社会保障和就业（类）支出</w:t>
      </w:r>
      <w:r>
        <w:rPr>
          <w:rFonts w:hint="eastAsia" w:asciiTheme="minorEastAsia" w:hAnsiTheme="minorEastAsia"/>
          <w:sz w:val="32"/>
          <w:szCs w:val="32"/>
          <w:lang w:val="en-US" w:eastAsia="zh-CN"/>
        </w:rPr>
        <w:t>16.99</w:t>
      </w:r>
      <w:r>
        <w:rPr>
          <w:rFonts w:hint="eastAsia" w:asciiTheme="minorEastAsia" w:hAnsiTheme="minorEastAsia" w:eastAsiaTheme="minorEastAsia"/>
          <w:sz w:val="32"/>
          <w:szCs w:val="32"/>
          <w:lang w:val="en-US"/>
        </w:rPr>
        <w:t>万元，占</w:t>
      </w:r>
      <w:r>
        <w:rPr>
          <w:rFonts w:hint="eastAsia" w:asciiTheme="minorEastAsia" w:hAnsiTheme="minorEastAsia" w:eastAsiaTheme="minorEastAsia"/>
          <w:sz w:val="32"/>
          <w:szCs w:val="32"/>
          <w:lang w:val="en-US" w:eastAsia="zh-CN"/>
        </w:rPr>
        <w:t>9.58</w:t>
      </w:r>
      <w:r>
        <w:rPr>
          <w:rFonts w:hint="eastAsia" w:asciiTheme="minorEastAsia" w:hAnsiTheme="minorEastAsia" w:eastAsiaTheme="minorEastAsia"/>
          <w:sz w:val="32"/>
          <w:szCs w:val="32"/>
          <w:lang w:val="en-US"/>
        </w:rPr>
        <w:t>%；卫生健康（类）支出</w:t>
      </w:r>
      <w:r>
        <w:rPr>
          <w:rFonts w:hint="eastAsia" w:asciiTheme="minorEastAsia" w:hAnsiTheme="minorEastAsia" w:eastAsiaTheme="minorEastAsia"/>
          <w:sz w:val="32"/>
          <w:szCs w:val="32"/>
          <w:lang w:val="en-US" w:eastAsia="zh-CN"/>
        </w:rPr>
        <w:t>6.12</w:t>
      </w:r>
      <w:r>
        <w:rPr>
          <w:rFonts w:hint="eastAsia" w:asciiTheme="minorEastAsia" w:hAnsiTheme="minorEastAsia" w:eastAsiaTheme="minorEastAsia"/>
          <w:sz w:val="32"/>
          <w:szCs w:val="32"/>
          <w:lang w:val="en-US"/>
        </w:rPr>
        <w:t>万元，占</w:t>
      </w:r>
      <w:r>
        <w:rPr>
          <w:rFonts w:hint="eastAsia" w:asciiTheme="minorEastAsia" w:hAnsiTheme="minorEastAsia" w:eastAsiaTheme="minorEastAsia"/>
          <w:sz w:val="32"/>
          <w:szCs w:val="32"/>
          <w:lang w:val="en-US" w:eastAsia="zh-CN"/>
        </w:rPr>
        <w:t>3.45</w:t>
      </w:r>
      <w:r>
        <w:rPr>
          <w:rFonts w:hint="eastAsia" w:asciiTheme="minorEastAsia" w:hAnsiTheme="minorEastAsia" w:eastAsiaTheme="minorEastAsia"/>
          <w:sz w:val="32"/>
          <w:szCs w:val="32"/>
          <w:lang w:val="en-US"/>
        </w:rPr>
        <w:t>%；城乡社区（类）支出</w:t>
      </w:r>
      <w:r>
        <w:rPr>
          <w:rFonts w:hint="eastAsia" w:asciiTheme="minorEastAsia" w:hAnsiTheme="minorEastAsia" w:eastAsiaTheme="minorEastAsia"/>
          <w:sz w:val="32"/>
          <w:szCs w:val="32"/>
          <w:lang w:val="en-US" w:eastAsia="zh-CN"/>
        </w:rPr>
        <w:t>38.24</w:t>
      </w:r>
      <w:r>
        <w:rPr>
          <w:rFonts w:hint="eastAsia" w:asciiTheme="minorEastAsia" w:hAnsiTheme="minorEastAsia" w:eastAsiaTheme="minorEastAsia"/>
          <w:sz w:val="32"/>
          <w:szCs w:val="32"/>
          <w:lang w:val="en-US"/>
        </w:rPr>
        <w:t>万元，占</w:t>
      </w:r>
      <w:r>
        <w:rPr>
          <w:rFonts w:hint="eastAsia" w:asciiTheme="minorEastAsia" w:hAnsiTheme="minorEastAsia" w:eastAsiaTheme="minorEastAsia"/>
          <w:sz w:val="32"/>
          <w:szCs w:val="32"/>
          <w:lang w:val="en-US" w:eastAsia="zh-CN"/>
        </w:rPr>
        <w:t>21.56</w:t>
      </w:r>
      <w:r>
        <w:rPr>
          <w:rFonts w:hint="eastAsia" w:asciiTheme="minorEastAsia" w:hAnsiTheme="minorEastAsia" w:eastAsiaTheme="minorEastAsia"/>
          <w:sz w:val="32"/>
          <w:szCs w:val="32"/>
          <w:lang w:val="en-US"/>
        </w:rPr>
        <w:t>%；</w:t>
      </w:r>
      <w:r>
        <w:rPr>
          <w:rFonts w:hint="eastAsia" w:asciiTheme="minorEastAsia" w:hAnsiTheme="minorEastAsia"/>
          <w:sz w:val="32"/>
          <w:szCs w:val="32"/>
          <w:lang w:val="en-US" w:eastAsia="zh-CN"/>
        </w:rPr>
        <w:t>自</w:t>
      </w:r>
      <w:r>
        <w:rPr>
          <w:rFonts w:hint="eastAsia" w:asciiTheme="minorEastAsia" w:hAnsiTheme="minorEastAsia" w:eastAsiaTheme="minorEastAsia"/>
          <w:sz w:val="32"/>
          <w:szCs w:val="32"/>
          <w:lang w:val="en-US"/>
        </w:rPr>
        <w:t>然资源海洋气象等（类）支出</w:t>
      </w:r>
      <w:r>
        <w:rPr>
          <w:rFonts w:hint="eastAsia" w:asciiTheme="minorEastAsia" w:hAnsiTheme="minorEastAsia" w:eastAsiaTheme="minorEastAsia"/>
          <w:sz w:val="32"/>
          <w:szCs w:val="32"/>
          <w:lang w:val="en-US" w:eastAsia="zh-CN"/>
        </w:rPr>
        <w:t>116.02</w:t>
      </w:r>
      <w:r>
        <w:rPr>
          <w:rFonts w:hint="eastAsia" w:asciiTheme="minorEastAsia" w:hAnsiTheme="minorEastAsia" w:eastAsiaTheme="minorEastAsia"/>
          <w:sz w:val="32"/>
          <w:szCs w:val="32"/>
          <w:lang w:val="en-US"/>
        </w:rPr>
        <w:t>万元，占</w:t>
      </w:r>
      <w:r>
        <w:rPr>
          <w:rFonts w:hint="eastAsia" w:asciiTheme="minorEastAsia" w:hAnsiTheme="minorEastAsia" w:eastAsiaTheme="minorEastAsia"/>
          <w:sz w:val="32"/>
          <w:szCs w:val="32"/>
          <w:lang w:val="en-US" w:eastAsia="zh-CN"/>
        </w:rPr>
        <w:t>65.41</w:t>
      </w:r>
      <w:r>
        <w:rPr>
          <w:rFonts w:hint="eastAsia" w:asciiTheme="minorEastAsia" w:hAnsiTheme="minorEastAsia" w:eastAsiaTheme="minorEastAsia"/>
          <w:sz w:val="32"/>
          <w:szCs w:val="32"/>
          <w:lang w:val="en-US"/>
        </w:rPr>
        <w:t>%；</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keepNext/>
        <w:keepLines/>
        <w:suppressLineNumbers/>
        <w:spacing w:beforeLines="0" w:afterLines="0"/>
        <w:ind w:left="0" w:leftChars="0" w:firstLine="640" w:firstLineChars="200"/>
        <w:jc w:val="both"/>
        <w:rPr>
          <w:rFonts w:hint="eastAsia" w:asciiTheme="minorEastAsia" w:hAnsiTheme="minorEastAsia" w:eastAsiaTheme="minorEastAsia" w:cstheme="minorBidi"/>
          <w:color w:val="auto"/>
          <w:kern w:val="2"/>
          <w:sz w:val="32"/>
          <w:szCs w:val="32"/>
          <w:lang w:val="en-US" w:eastAsia="zh-CN" w:bidi="ar-SA"/>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153.53</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177.37</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115.53</w:t>
      </w:r>
      <w:r>
        <w:rPr>
          <w:rFonts w:hint="eastAsia" w:asciiTheme="minorEastAsia" w:hAnsiTheme="minorEastAsia" w:eastAsiaTheme="minorEastAsia"/>
          <w:sz w:val="32"/>
          <w:szCs w:val="32"/>
        </w:rPr>
        <w:t>%，其中：</w:t>
      </w:r>
      <w:r>
        <w:rPr>
          <w:rFonts w:hint="eastAsia" w:ascii="仿宋" w:hAnsi="仿宋" w:eastAsia="仿宋" w:cs="仿宋"/>
          <w:color w:val="auto"/>
          <w:kern w:val="0"/>
          <w:sz w:val="28"/>
          <w:szCs w:val="28"/>
          <w:lang w:val="en-US"/>
        </w:rPr>
        <w:t xml:space="preserve"> </w:t>
      </w:r>
    </w:p>
    <w:p>
      <w:pPr>
        <w:pStyle w:val="11"/>
        <w:ind w:firstLine="640" w:firstLineChars="200"/>
        <w:rPr>
          <w:rFonts w:hint="eastAsia" w:asciiTheme="minorEastAsia" w:hAnsiTheme="minorEastAsia" w:eastAsiaTheme="minorEastAsia" w:cstheme="minorBidi"/>
          <w:color w:val="auto"/>
          <w:kern w:val="2"/>
          <w:sz w:val="32"/>
          <w:szCs w:val="32"/>
          <w:lang w:val="en-US" w:eastAsia="zh-CN" w:bidi="ar-SA"/>
        </w:rPr>
      </w:pPr>
      <w:r>
        <w:rPr>
          <w:rFonts w:hint="eastAsia" w:asciiTheme="minorEastAsia" w:hAnsiTheme="minorEastAsia" w:eastAsiaTheme="minorEastAsia" w:cstheme="minorBidi"/>
          <w:color w:val="auto"/>
          <w:kern w:val="2"/>
          <w:sz w:val="32"/>
          <w:szCs w:val="32"/>
          <w:lang w:val="en-US" w:eastAsia="zh-CN" w:bidi="ar-SA"/>
        </w:rPr>
        <w:t>1、社会保障和就业支出（类）行政事业单位养老支出（款）机关事业单位基本养老保险缴费支出（项）。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16.05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15.38</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95.82</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eastAsia="zh-CN"/>
        </w:rPr>
        <w:t>预算指标结余</w:t>
      </w:r>
      <w:r>
        <w:rPr>
          <w:rFonts w:hint="eastAsia" w:asciiTheme="minorEastAsia" w:hAnsiTheme="minorEastAsia" w:eastAsiaTheme="minorEastAsia"/>
          <w:sz w:val="32"/>
          <w:szCs w:val="32"/>
          <w:lang w:val="en-US" w:eastAsia="zh-CN"/>
        </w:rPr>
        <w:t>0.67万元</w:t>
      </w:r>
      <w:r>
        <w:rPr>
          <w:rFonts w:hint="eastAsia" w:asciiTheme="minorEastAsia" w:hAnsiTheme="minorEastAsia" w:eastAsiaTheme="minorEastAsia"/>
          <w:sz w:val="32"/>
          <w:szCs w:val="32"/>
          <w:lang w:val="en-US"/>
        </w:rPr>
        <w:t>。</w:t>
      </w:r>
    </w:p>
    <w:p>
      <w:pPr>
        <w:pStyle w:val="11"/>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2、社会保障和就业支出（类）抚恤（款）其他优抚支出（项）。</w:t>
      </w:r>
    </w:p>
    <w:p>
      <w:pPr>
        <w:pStyle w:val="11"/>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0.26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年终追加指标。</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rPr>
        <w:t>社会保障和就业支出</w:t>
      </w:r>
      <w:r>
        <w:rPr>
          <w:rFonts w:hint="eastAsia" w:asciiTheme="minorEastAsia" w:hAnsiTheme="minorEastAsia" w:eastAsiaTheme="minorEastAsia"/>
          <w:sz w:val="32"/>
          <w:szCs w:val="32"/>
        </w:rPr>
        <w:t>（类）残疾人事业（款）其他残疾人事业支出（项）。</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1.36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1.36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等于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eastAsia="zh-CN"/>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、卫生健康支出（类）行政事业单位医疗（款） 事业单位医疗（项）。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7.43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6.12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82.37</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小于</w:t>
      </w:r>
      <w:r>
        <w:rPr>
          <w:rFonts w:hint="eastAsia" w:asciiTheme="minorEastAsia" w:hAnsiTheme="minorEastAsia" w:eastAsiaTheme="minorEastAsia"/>
          <w:sz w:val="32"/>
          <w:szCs w:val="32"/>
        </w:rPr>
        <w:t>年初预算数的主要原因是</w:t>
      </w:r>
      <w:r>
        <w:rPr>
          <w:rFonts w:hint="eastAsia" w:asciiTheme="minorEastAsia" w:hAnsiTheme="minorEastAsia" w:eastAsiaTheme="minorEastAsia"/>
          <w:sz w:val="32"/>
          <w:szCs w:val="32"/>
          <w:lang w:val="en-US" w:eastAsia="zh-CN"/>
        </w:rPr>
        <w:t>预算指标结余1.31万元</w:t>
      </w:r>
      <w:r>
        <w:rPr>
          <w:rFonts w:hint="eastAsia" w:asciiTheme="minorEastAsia" w:hAnsiTheme="minorEastAsia" w:eastAsiaTheme="minorEastAsia"/>
          <w:sz w:val="32"/>
          <w:szCs w:val="32"/>
          <w:lang w:val="en-US"/>
        </w:rPr>
        <w:t>。</w:t>
      </w:r>
    </w:p>
    <w:p>
      <w:pPr>
        <w:numPr>
          <w:ilvl w:val="0"/>
          <w:numId w:val="3"/>
        </w:numPr>
        <w:ind w:firstLine="640"/>
        <w:rPr>
          <w:rFonts w:hint="eastAsia" w:ascii="宋体" w:hAnsi="宋体"/>
          <w:color w:val="auto"/>
          <w:sz w:val="32"/>
          <w:szCs w:val="24"/>
          <w:lang w:val="en-US"/>
        </w:rPr>
      </w:pPr>
      <w:r>
        <w:rPr>
          <w:rFonts w:hint="eastAsia" w:ascii="宋体" w:hAnsi="宋体"/>
          <w:color w:val="auto"/>
          <w:sz w:val="32"/>
          <w:szCs w:val="24"/>
          <w:lang w:val="en-US"/>
        </w:rPr>
        <w:t>城乡社区支出（类）其他城乡社区支出（款）其他城乡社区支出（项）。</w:t>
      </w:r>
    </w:p>
    <w:p>
      <w:pPr>
        <w:numPr>
          <w:ilvl w:val="0"/>
          <w:numId w:val="0"/>
        </w:numPr>
        <w:ind w:firstLine="640" w:firstLineChars="200"/>
        <w:rPr>
          <w:rFonts w:hint="eastAsia" w:asciiTheme="minorEastAsia" w:hAnsiTheme="minorEastAsia" w:eastAsiaTheme="minorEastAsia"/>
          <w:sz w:val="32"/>
          <w:szCs w:val="32"/>
          <w:lang w:val="en-US" w:eastAsia="zh-CN"/>
        </w:rPr>
      </w:pPr>
      <w:r>
        <w:rPr>
          <w:rFonts w:hint="eastAsia" w:ascii="宋体" w:hAnsi="宋体"/>
          <w:color w:val="auto"/>
          <w:sz w:val="32"/>
          <w:szCs w:val="24"/>
          <w:lang w:val="en-US"/>
        </w:rPr>
        <w:t>年初预算为0万元，支出决算为38.24万元，</w:t>
      </w:r>
      <w:r>
        <w:rPr>
          <w:rFonts w:hint="eastAsia" w:asciiTheme="minorEastAsia" w:hAnsiTheme="minorEastAsia" w:eastAsiaTheme="minorEastAsia"/>
          <w:sz w:val="32"/>
          <w:szCs w:val="32"/>
        </w:rPr>
        <w:t>由于预算数为0，无法计算百分比，</w:t>
      </w:r>
      <w:r>
        <w:rPr>
          <w:rFonts w:hint="eastAsia" w:ascii="宋体" w:hAnsi="宋体"/>
          <w:color w:val="auto"/>
          <w:sz w:val="32"/>
          <w:szCs w:val="24"/>
          <w:lang w:val="en-US"/>
        </w:rPr>
        <w:t>决算数大于预算数的主要原因是</w:t>
      </w:r>
      <w:r>
        <w:rPr>
          <w:rFonts w:hint="eastAsia" w:asciiTheme="minorEastAsia" w:hAnsiTheme="minorEastAsia"/>
          <w:sz w:val="32"/>
          <w:szCs w:val="32"/>
          <w:lang w:eastAsia="zh-CN"/>
        </w:rPr>
        <w:t>年终追加指标。</w:t>
      </w:r>
      <w:r>
        <w:rPr>
          <w:rFonts w:hint="eastAsia" w:ascii="宋体" w:hAnsi="宋体"/>
          <w:color w:val="auto"/>
          <w:sz w:val="32"/>
          <w:szCs w:val="24"/>
          <w:lang w:val="en-US"/>
        </w:rPr>
        <w:t xml:space="preserve">  </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rPr>
        <w:t>自然资源海洋气象等支出（类）自然资源事务（款）行政运行（项）</w:t>
      </w:r>
      <w:r>
        <w:rPr>
          <w:rFonts w:hint="eastAsia" w:asciiTheme="minorEastAsia" w:hAnsiTheme="minorEastAsia" w:eastAsiaTheme="minorEastAsia"/>
          <w:sz w:val="32"/>
          <w:szCs w:val="32"/>
        </w:rPr>
        <w:t>。</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116.65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116.02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99.46</w:t>
      </w:r>
      <w:r>
        <w:rPr>
          <w:rFonts w:hint="eastAsia" w:asciiTheme="minorEastAsia" w:hAnsiTheme="minorEastAsia" w:eastAsiaTheme="minorEastAsia"/>
          <w:sz w:val="32"/>
          <w:szCs w:val="32"/>
        </w:rPr>
        <w:t>%，决算数小于年初预算数的主要原因是严格落实“过紧日子”要求，持续压缩一般性支出</w:t>
      </w:r>
      <w:r>
        <w:rPr>
          <w:rFonts w:hint="eastAsia" w:asciiTheme="minorEastAsia" w:hAnsiTheme="minorEastAsia" w:eastAsiaTheme="minorEastAsia"/>
          <w:sz w:val="32"/>
          <w:szCs w:val="32"/>
          <w:lang w:val="en-US"/>
        </w:rPr>
        <w:t>。</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177.37</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162.15</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91.42</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15.23</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8.58</w:t>
      </w:r>
      <w:r>
        <w:rPr>
          <w:rFonts w:hint="eastAsia" w:asciiTheme="minorEastAsia" w:hAnsiTheme="minorEastAsia" w:eastAsiaTheme="minor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万元，由于预算数为0，无法计算百分比，其中：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万元，由于预算数为0，无法计算百分比。</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万元，由于预算数为0，无法计算百分比。</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万元，由于预算数为0，无法计算百分比。</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万元，由于预算数为0，无法计算百分比。</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sz w:val="32"/>
          <w:szCs w:val="32"/>
        </w:rPr>
        <w:t>其中：</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val="en-US" w:eastAsia="zh-CN"/>
        </w:rPr>
        <w:t>0</w:t>
      </w:r>
      <w:r>
        <w:rPr>
          <w:rFonts w:hint="eastAsia" w:asciiTheme="minorEastAsia" w:hAnsiTheme="minorEastAsia"/>
          <w:sz w:val="32"/>
          <w:szCs w:val="32"/>
        </w:rPr>
        <w:t>（单位本级或某二级机构）更新公务用车</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万元，截止2021年12月31日，我单位开支财政拨款的公务用车保有量为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11"/>
        <w:rPr>
          <w:rFonts w:hint="eastAsia" w:hAnsi="黑体"/>
          <w:b/>
          <w:sz w:val="32"/>
          <w:szCs w:val="32"/>
        </w:rPr>
      </w:pPr>
      <w:r>
        <w:rPr>
          <w:rFonts w:hint="eastAsia" w:hAnsi="黑体"/>
          <w:b/>
          <w:sz w:val="32"/>
          <w:szCs w:val="32"/>
        </w:rPr>
        <w:t>八、政府性基金预算收入支出决算情况</w:t>
      </w:r>
    </w:p>
    <w:p>
      <w:pPr>
        <w:pStyle w:val="11"/>
        <w:ind w:firstLine="640" w:firstLineChars="200"/>
        <w:rPr>
          <w:rFonts w:hint="eastAsia" w:asciiTheme="minorEastAsia" w:hAnsiTheme="minorEastAsia" w:eastAsiaTheme="minorEastAsia"/>
          <w:sz w:val="32"/>
          <w:szCs w:val="32"/>
          <w:lang w:val="en-US" w:eastAsia="zh-CN"/>
        </w:rPr>
      </w:pPr>
      <w:r>
        <w:rPr>
          <w:rFonts w:hint="eastAsia" w:hAnsi="黑体"/>
          <w:b/>
          <w:sz w:val="32"/>
          <w:szCs w:val="32"/>
          <w:lang w:val="en-US" w:eastAsia="zh-CN"/>
        </w:rPr>
        <w:t xml:space="preserve"> </w:t>
      </w:r>
      <w:r>
        <w:rPr>
          <w:rFonts w:hint="eastAsia" w:asciiTheme="minorEastAsia" w:hAnsiTheme="minorEastAsia" w:eastAsiaTheme="minorEastAsia"/>
          <w:sz w:val="32"/>
          <w:szCs w:val="32"/>
          <w:lang w:val="en-US" w:eastAsia="zh-CN"/>
        </w:rPr>
        <w:t>2021年度</w:t>
      </w:r>
      <w:r>
        <w:rPr>
          <w:rFonts w:hint="eastAsia" w:asciiTheme="minorEastAsia" w:hAnsiTheme="minorEastAsia" w:eastAsiaTheme="minorEastAsia"/>
          <w:sz w:val="32"/>
          <w:szCs w:val="32"/>
          <w:lang w:val="en-US"/>
        </w:rPr>
        <w:t>本单位没有使用政府性基金预算财政拨款安排的收支</w:t>
      </w:r>
      <w:r>
        <w:rPr>
          <w:rFonts w:hint="eastAsia" w:asciiTheme="minorEastAsia" w:hAnsiTheme="minorEastAsia" w:eastAsiaTheme="minorEastAsia"/>
          <w:sz w:val="32"/>
          <w:szCs w:val="32"/>
          <w:lang w:val="en-US" w:eastAsia="zh-CN"/>
        </w:rPr>
        <w:t>。</w:t>
      </w:r>
    </w:p>
    <w:p>
      <w:pPr>
        <w:pStyle w:val="11"/>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2021年度政府性基金预算财政拨款收入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 xml:space="preserve">    </w:t>
      </w:r>
    </w:p>
    <w:p>
      <w:pPr>
        <w:pStyle w:val="11"/>
        <w:numPr>
          <w:ilvl w:val="0"/>
          <w:numId w:val="4"/>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zh-CN"/>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lang w:val="zh-CN"/>
        </w:rPr>
        <w:t>年本单位没有使用国有资本经营预算安排的支出。</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2021年度国有资本经营预算财政拨款</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1"/>
        <w:rPr>
          <w:rFonts w:hAnsi="黑体"/>
          <w:b/>
          <w:sz w:val="32"/>
          <w:szCs w:val="32"/>
        </w:rPr>
      </w:pPr>
      <w:r>
        <w:rPr>
          <w:rFonts w:hint="eastAsia" w:hAnsi="黑体"/>
          <w:b/>
          <w:sz w:val="32"/>
          <w:szCs w:val="32"/>
        </w:rPr>
        <w:t>十、机关运行经费支出说明</w:t>
      </w:r>
    </w:p>
    <w:p>
      <w:pPr>
        <w:keepNext/>
        <w:keepLines/>
        <w:spacing w:beforeLines="0" w:afterLines="0"/>
        <w:ind w:firstLine="640"/>
        <w:rPr>
          <w:rFonts w:hint="eastAsia" w:asciiTheme="minorEastAsia" w:hAnsiTheme="minorEastAsia" w:eastAsiaTheme="minorEastAsia"/>
          <w:sz w:val="32"/>
          <w:szCs w:val="32"/>
        </w:rPr>
      </w:pPr>
      <w:r>
        <w:rPr>
          <w:rFonts w:hint="eastAsia" w:cs="黑体" w:asciiTheme="minorEastAsia" w:hAnsiTheme="minorEastAsia" w:eastAsiaTheme="minorEastAsia"/>
          <w:color w:val="000000"/>
          <w:kern w:val="0"/>
          <w:sz w:val="32"/>
          <w:szCs w:val="32"/>
          <w:lang w:val="en-US" w:eastAsia="zh-CN" w:bidi="ar-SA"/>
        </w:rPr>
        <w:t>岳阳市不动产产权交易中心单位性质为财政补助事业单位，部门决算报表没有机关运行经费统计数据。</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年本部门开支会议费0万元，开支培训费0万元。本单位202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年没有召开会议，也没有进行培训。</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年本部门未举办节庆、晚会、论坛、赛事活动，开支0万元。</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无此类开支</w:t>
      </w:r>
      <w:r>
        <w:rPr>
          <w:rFonts w:hint="eastAsia" w:asciiTheme="minorEastAsia" w:hAnsiTheme="minorEastAsia" w:eastAsiaTheme="minorEastAsia"/>
          <w:sz w:val="32"/>
          <w:szCs w:val="32"/>
          <w:lang w:val="en-US"/>
        </w:rPr>
        <w:t>。</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2021年度</w:t>
      </w:r>
      <w:r>
        <w:rPr>
          <w:rFonts w:hint="eastAsia" w:asciiTheme="minorEastAsia" w:hAnsiTheme="minorEastAsia" w:eastAsiaTheme="minorEastAsia"/>
          <w:sz w:val="32"/>
          <w:szCs w:val="32"/>
          <w:lang w:val="en-US"/>
        </w:rPr>
        <w:t>本</w:t>
      </w:r>
      <w:r>
        <w:rPr>
          <w:rFonts w:hint="eastAsia" w:asciiTheme="minorEastAsia" w:hAnsiTheme="minorEastAsia" w:eastAsiaTheme="minorEastAsia"/>
          <w:sz w:val="32"/>
          <w:szCs w:val="32"/>
          <w:lang w:val="en-US" w:eastAsia="zh-CN"/>
        </w:rPr>
        <w:t>部门</w:t>
      </w:r>
      <w:r>
        <w:rPr>
          <w:rFonts w:hint="eastAsia" w:asciiTheme="minorEastAsia" w:hAnsiTheme="minorEastAsia" w:eastAsiaTheme="minorEastAsia"/>
          <w:sz w:val="32"/>
          <w:szCs w:val="32"/>
          <w:lang w:val="en-US"/>
        </w:rPr>
        <w:t>无政府采购。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bookmarkStart w:id="0" w:name="_GoBack"/>
      <w:bookmarkEnd w:id="0"/>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1"/>
        <w:rPr>
          <w:rFonts w:hint="eastAsia"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spacing w:line="600" w:lineRule="exact"/>
        <w:ind w:firstLine="640" w:firstLineChars="200"/>
        <w:rPr>
          <w:rFonts w:hint="eastAsia" w:ascii="宋体" w:hAnsi="宋体" w:cs="Times New Roman"/>
          <w:color w:val="auto"/>
          <w:sz w:val="32"/>
          <w:szCs w:val="24"/>
          <w:highlight w:val="white"/>
          <w:lang w:val="en-US" w:eastAsia="zh-CN" w:bidi="ar-SA"/>
        </w:rPr>
      </w:pPr>
      <w:r>
        <w:rPr>
          <w:rFonts w:hint="eastAsia" w:ascii="宋体" w:hAnsi="宋体" w:cs="Times New Roman"/>
          <w:color w:val="auto"/>
          <w:sz w:val="32"/>
          <w:szCs w:val="24"/>
          <w:highlight w:val="white"/>
          <w:lang w:val="en-US" w:eastAsia="zh-CN" w:bidi="ar-SA"/>
        </w:rPr>
        <w:t>我单位所有支出实行绩效目标管理。纳入2021年部门整体支出绩效目标的金额为153.53万元，其中，基本支出153.53万元。</w:t>
      </w:r>
      <w:r>
        <w:rPr>
          <w:rFonts w:hint="eastAsia" w:ascii="宋体" w:hAnsi="宋体"/>
          <w:color w:val="auto"/>
          <w:sz w:val="32"/>
          <w:szCs w:val="24"/>
        </w:rPr>
        <w:t>实际情况详见文尾附表中《岳阳市</w:t>
      </w:r>
      <w:r>
        <w:rPr>
          <w:rFonts w:hint="eastAsia" w:ascii="宋体" w:hAnsi="宋体"/>
          <w:color w:val="auto"/>
          <w:sz w:val="32"/>
          <w:szCs w:val="24"/>
          <w:lang w:val="en-US" w:eastAsia="zh-CN"/>
        </w:rPr>
        <w:t>不动产产权交易中心</w:t>
      </w:r>
      <w:r>
        <w:rPr>
          <w:rFonts w:hint="eastAsia" w:ascii="宋体" w:hAnsi="宋体"/>
          <w:color w:val="auto"/>
          <w:sz w:val="32"/>
          <w:szCs w:val="24"/>
        </w:rPr>
        <w:t>202</w:t>
      </w:r>
      <w:r>
        <w:rPr>
          <w:rFonts w:hint="eastAsia" w:ascii="宋体" w:hAnsi="宋体"/>
          <w:color w:val="auto"/>
          <w:sz w:val="32"/>
          <w:szCs w:val="24"/>
          <w:lang w:val="en-US" w:eastAsia="zh-CN"/>
        </w:rPr>
        <w:t>1</w:t>
      </w:r>
      <w:r>
        <w:rPr>
          <w:rFonts w:hint="eastAsia" w:ascii="宋体" w:hAnsi="宋体"/>
          <w:color w:val="auto"/>
          <w:sz w:val="32"/>
          <w:szCs w:val="24"/>
        </w:rPr>
        <w:t>年度单位整体支出绩效情况表》</w:t>
      </w:r>
      <w:r>
        <w:rPr>
          <w:rFonts w:hint="eastAsia" w:ascii="宋体" w:hAnsi="宋体"/>
          <w:color w:val="auto"/>
          <w:sz w:val="32"/>
          <w:szCs w:val="24"/>
          <w:lang w:eastAsia="zh-CN"/>
        </w:rPr>
        <w:t>。</w:t>
      </w:r>
    </w:p>
    <w:p>
      <w:pPr>
        <w:pStyle w:val="11"/>
        <w:ind w:firstLine="960" w:firstLineChars="300"/>
        <w:rPr>
          <w:rFonts w:hint="eastAsia" w:ascii="宋体" w:hAnsi="宋体" w:cs="Times New Roman" w:eastAsiaTheme="minorEastAsia"/>
          <w:color w:val="auto"/>
          <w:kern w:val="2"/>
          <w:sz w:val="32"/>
          <w:szCs w:val="24"/>
          <w:highlight w:val="white"/>
          <w:lang w:val="en-US" w:eastAsia="zh-CN" w:bidi="ar-SA"/>
        </w:rPr>
      </w:pPr>
      <w:r>
        <w:rPr>
          <w:rFonts w:hint="eastAsia" w:ascii="宋体" w:hAnsi="宋体" w:cs="Times New Roman" w:eastAsiaTheme="minorEastAsia"/>
          <w:color w:val="auto"/>
          <w:kern w:val="2"/>
          <w:sz w:val="32"/>
          <w:szCs w:val="24"/>
          <w:highlight w:val="white"/>
          <w:lang w:val="en-US" w:eastAsia="zh-CN" w:bidi="ar-SA"/>
        </w:rPr>
        <w:t>2021年我单位无项目支出，故未开展项目自评，无自评结果。</w:t>
      </w:r>
    </w:p>
    <w:p>
      <w:pPr>
        <w:pStyle w:val="11"/>
        <w:rPr>
          <w:rFonts w:hint="eastAsia" w:ascii="宋体" w:hAnsi="宋体" w:cs="Times New Roman" w:eastAsiaTheme="minorEastAsia"/>
          <w:color w:val="auto"/>
          <w:kern w:val="2"/>
          <w:sz w:val="32"/>
          <w:szCs w:val="24"/>
          <w:highlight w:val="white"/>
          <w:lang w:val="en-US" w:eastAsia="zh-CN" w:bidi="ar-SA"/>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财政拨款收入：指本级财政当年拨付的资金。</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政府性基金预算财政拨款收入：指本级财政当年拨付的政府性基金预算资金。</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其他收入：指除上述“财政拨款收入”、“上级补助收入”、“事业收入”、“经营收入”、“附属单位上缴收入”等以外的收入。</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使用非财政拨款结余：指事业单位在当年的“财政拨款收入”、“财政拨款结转和结余资金”、“上级补助收入”、“事业收入”、“经营收入”、“附属单位上缴收入”、“其他收入”不足以安排当年支出情况下，使用以前年度积累的使用非财政拨款结余弥补收支差额的资金（事业单位当年收支相抵后按国家规定提取、用于弥补以后年度收支差额的非财政拨款结余）。</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上年结转和结余：指以前年度尚未完成、结转到本年按有关规定继续使用的资金。</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结余分配：指事业单位按规定对非财政补助结余资金提取的职工福利基金、事业基金和缴纳的所得税，以及减少单位按规定应缴回的基本建设竣工项目结余资金。</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年末结转和结余资金：指本年度或以前年度预算安排、因客观条件发生变化无法按原计划实施，需要延迟到以后年度按有关规定继续使用的资金。</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卫生健康支出（类）：是指用于医疗卫生与计划生育方面的支出，包括保障机构正常运转、完成日常和特定的工作任务或事业发展目标的支出。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城乡社区支出（类）：是指用于城乡社区事务支出，包括保障机构正常运转、完成日常和特定的工作任务或事业发展目标的支出。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资源勘探信息等支出（类）：是指用于资源勘探、制造业、建筑业、工业信息等方面支出，包括保障机构正常运转、完成日常和特定的工作任务或事业发展目标的支出。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自然资源海洋气象等支出（类）：是指用于自然资源、海洋、测绘、气象等公益服务事业方面的支出，包括保障机构正常运转、完成日常和特定的工作任务或事业发展目标的支出。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灾害防治及应急管理支出（类）：是指用于反映政府用于自然灾害防治、安全生产监管及应急管理等方面的支出，包括保障机构正常运转、完成日常和特定的工作任务或事业发展目标的支出。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其他支出（类）：是指用于反映除上述项目以外其他不能划分到具体功能科目中的支出项目，包括保障机构正常运转、完成日常和特定的工作任务或事业发展目标的支出。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基本支出：指保障机构正常运转、完成支日常工作任务而发生的人员支出和公用支出。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项目支出：指在基本支出之外为完成特定行政任务和事业发展目标所发生的支出。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工资福利支出：反映单位开支的在职职工和编制外长期聘用人员的各类劳动报酬，以及为上述人员缴纳的各项社会保险费等。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津贴补贴：反映经国家批准建立的机关事业单位艰苦边远地区津贴、机关工作人员地区附加津贴、机关工作人员岗位津贴、事业单位工作人员特殊岗位津贴补贴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奖金：反映机关工作人员年终一次性奖金。</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伙食补助费：反映单位发给职工的伙食补助费，如误餐补助等。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绩效工资：反映事业单位工作人员的绩效工资。</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机关事业单位基本养老保险缴费：反映机关事业单位缴纳的基本养老保险费。由单位代扣的工作人员基本养老保险缴费，不在此科目反映。</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职业年金缴费：反映机关事业单位实际缴纳的职业年金支出。由单位代扣的工作人员职业年金缴费，不在此科目反映。</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职工基本医疗保险缴费：反映单位为职工缴纳的基本医疗保险费。</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公务员医疗补助缴费：反映按规定可享受公务员医疗补助单位为职工缴纳的公务员医疗补助费。</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其他社会保障缴费：反映单位为职工缴纳的基本医疗、失业、工伤、生育等社会保险费，残疾人就业保障金，军队（含武警）为军人缴纳的伤亡、退役医疗等社会保险费。</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住房公积金：反映行政事业单位按人力资源和社会保障部、财政部规定的基本工资和津贴补贴以及规定比例为职工缴纳的住房公积金。</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医疗费：反映未参加医疗保险单位的医疗经费和单位按规定为职工支出的其他医疗费用。</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商品和服务支出：反映单位购买商品和服务的支出（不包括用于购置固定资产的支出、战略性和应急储备支出）。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办公费：反映单位购买按财务会计制度规定不符合固定资产确认标准的日常办公用品、书报杂志等支出。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印刷费：反映单位的印刷费支出。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咨询费：反映单位咨询方面的支出。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水费：反映单位支付的水费、污水处理费等支出。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电费：反映单位的电费支出。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邮电费：反映单位开支的信函、包裹、货物等物品的邮寄费及电话费、电报费、传真费、网络通讯费等。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取暖费：反映单位取暖用燃料费、热力费、炉具购置费、锅炉临时工的工资、节煤奖以及由单位支付的未实行职工住房采暖补贴改革的在职职工和离退休人员宿舍取暖费。</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物业管理费：反映单位开支的办公用房以及未实行职工住宅物业服务改革的在职职工和离退休人员宿舍等的物业管理费，包括综合治理、绿化、卫生等方面的支出。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差旅费：反映单位工作人员出差发生的城市间交通费、住宿费、伙食补贴费和市内交通费。</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维修(护)费：反映单位日常开支的固定资产（不包括车船等交通工具）修理和维护费用，网络信息系统运行与维护费用，以及按规定提取的修购基金。</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租赁费：反映租赁办公用房、宿舍、专用通讯网以及其他设备等方面的费用。</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会议费：反映会议中按规定开支的住宿费、伙食费、会议室租金、交通费、文件印刷费、医药费等。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培训费：反映除因公出国（境）培训费以外的各类培训支出。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公务接待费：反映单位按规定开支的各类公务接待（含外宾接待）费用。</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劳务费：反映支付给单位和个人的劳务费用，如临时聘用人员、钟点工工资，稿费、翻译费，评审费等。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委托业务费：反映因委托外单位办理业务而支付的委托业务费。</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工会经费：反映单位按规定提取的工会经费。</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福利费：反映单位按规定提取的福利费。</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公务用车运行维护费：反映单位按规定保留的公务用车燃料费、维修费、过桥过路费、保险费、安全奖励费用等支出。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其他交通费用：反映单位除公务用车运行维护费以外的其他交通费用。如公务交通补贴，租车费用、出租车费用，飞机、船舶等的燃料费、维修费、保险费等。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税金及附加费用：反映单位提供劳务或销售产品应负担的税金及附加费用，包括营业税、消费税、城市维护建设税、资源税和教育附加等。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其他商品和服务支出：反映上述科目未包括的日常公用支出。如行政赔偿费和诉讼费、国内组织的会员费、来访费、广告宣传、其他劳务费及离休人员特需费、公用经费等。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对个人和家庭的补助：反映政府用于对个人和家庭的补助支出。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退休费：反映行政事业单位和军队移交政府安置的退休人员的退休费和其他补贴。</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抚恤金：反映按规定开支的烈士遗属、牺牲病故人员遗属的一次性和定期抚恤金，伤残人员的抚恤金，离退休人员等其他人员的各项抚恤金。</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助学金：反映各类学校学生助学金、奖学金、学生贷款、出国留学（实习）人员生活费，青少年业余体校学员伙食补助费和生活费补贴，按照协议由我方负担或享受我方奖学金的来华留学生、进修生生活费等。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奖励金：反映政府各部门的奖励支出，如对个体私营经济的奖励、计划生育目标责任奖励、独生子女父母奖励等。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其他对个人和家庭的补助支出：反映未包括在上述科目的对个人和家庭的补助支出，如婴幼儿补贴、职工探亲旅费、退职人员及随行家属路费、符合条件的退役回乡义务兵一次性建房补助、符合安置条件的城镇退役士兵自谋职业的一次性经济补助费、对农户的生产经营补贴、保障性住房租金补贴等。</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办公设备购置：反映用于购置并按财务会计制度规定纳入固定资产核算范围的办公家具和办公设备的支出，以及按规定提取的修购基金。</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专用设备购置：反映用于购置具有专门用途、并按财务会计制度规定纳入固定资产核算范围的各类专用设备的支出。如通信设备、发电设备、交通监控设备、卫星转发器、气象设备、进出口监管设备等，以及按规定提取的修购基金。</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信息网络及软件购置更新：反映政府用于信息网络方面的支出。如计算机硬件、软件购置、开发、应用支出等，如果购建的计算机硬件、软件等不符合财务会计制度规定的固定资产确认标准的，不在此科目反映。</w:t>
      </w:r>
    </w:p>
    <w:p>
      <w:pPr>
        <w:autoSpaceDE w:val="0"/>
        <w:autoSpaceDN w:val="0"/>
        <w:adjustRightInd w:val="0"/>
        <w:ind w:firstLine="640" w:firstLineChars="200"/>
        <w:jc w:val="left"/>
        <w:rPr>
          <w:rFonts w:hint="eastAsia" w:ascii="宋体" w:hAnsi="宋体" w:cs="黑体"/>
          <w:color w:val="000000"/>
          <w:kern w:val="0"/>
          <w:sz w:val="32"/>
          <w:szCs w:val="32"/>
          <w:lang w:val="en-US"/>
        </w:rPr>
      </w:pPr>
      <w:r>
        <w:rPr>
          <w:rFonts w:hint="eastAsia" w:ascii="宋体" w:hAnsi="宋体" w:cs="黑体"/>
          <w:color w:val="000000"/>
          <w:kern w:val="0"/>
          <w:sz w:val="32"/>
          <w:szCs w:val="32"/>
          <w:lang w:val="en-US"/>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pStyle w:val="2"/>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pStyle w:val="2"/>
      </w:pPr>
    </w:p>
    <w:p>
      <w:pPr>
        <w:rPr>
          <w:rFonts w:cs="黑体" w:asciiTheme="minorEastAsia" w:hAnsiTheme="minorEastAsia"/>
          <w:color w:val="000000"/>
          <w:kern w:val="0"/>
          <w:sz w:val="32"/>
          <w:szCs w:val="32"/>
        </w:rPr>
      </w:pPr>
    </w:p>
    <w:p>
      <w:pPr>
        <w:shd w:val="clear" w:color="auto" w:fill="FFFFFF"/>
        <w:spacing w:line="720" w:lineRule="atLeast"/>
        <w:ind w:firstLine="300"/>
        <w:jc w:val="center"/>
        <w:rPr>
          <w:rFonts w:hint="eastAsia" w:ascii="宋体" w:hAnsi="宋体" w:cs="宋体"/>
          <w:color w:val="333333"/>
          <w:kern w:val="0"/>
          <w:sz w:val="44"/>
          <w:szCs w:val="44"/>
        </w:rPr>
      </w:pPr>
    </w:p>
    <w:p>
      <w:pPr>
        <w:shd w:val="clear" w:color="auto" w:fill="FFFFFF"/>
        <w:spacing w:line="720" w:lineRule="atLeast"/>
        <w:ind w:firstLine="300"/>
        <w:jc w:val="center"/>
        <w:rPr>
          <w:rFonts w:hint="eastAsia" w:ascii="宋体" w:hAnsi="宋体" w:cs="宋体"/>
          <w:color w:val="333333"/>
          <w:kern w:val="0"/>
          <w:sz w:val="44"/>
          <w:szCs w:val="44"/>
          <w:lang w:val="en-US" w:eastAsia="zh-CN"/>
        </w:rPr>
      </w:pPr>
      <w:r>
        <w:rPr>
          <w:rFonts w:hint="eastAsia" w:ascii="宋体" w:hAnsi="宋体" w:cs="宋体"/>
          <w:color w:val="333333"/>
          <w:kern w:val="0"/>
          <w:sz w:val="44"/>
          <w:szCs w:val="44"/>
        </w:rPr>
        <w:t>岳阳市</w:t>
      </w:r>
      <w:r>
        <w:rPr>
          <w:rFonts w:hint="eastAsia" w:ascii="宋体" w:hAnsi="宋体" w:cs="宋体"/>
          <w:color w:val="333333"/>
          <w:kern w:val="0"/>
          <w:sz w:val="44"/>
          <w:szCs w:val="44"/>
          <w:lang w:eastAsia="zh-CN"/>
        </w:rPr>
        <w:t>不动产产权交易中心</w:t>
      </w:r>
    </w:p>
    <w:p>
      <w:pPr>
        <w:shd w:val="clear" w:color="auto" w:fill="FFFFFF"/>
        <w:spacing w:line="720" w:lineRule="atLeast"/>
        <w:ind w:firstLine="300"/>
        <w:jc w:val="center"/>
        <w:rPr>
          <w:rFonts w:hint="eastAsia" w:ascii="宋体" w:hAnsi="宋体" w:cs="宋体"/>
          <w:color w:val="333333"/>
          <w:kern w:val="0"/>
          <w:sz w:val="21"/>
          <w:szCs w:val="21"/>
        </w:rPr>
      </w:pPr>
      <w:r>
        <w:rPr>
          <w:rFonts w:hint="eastAsia" w:ascii="宋体" w:hAnsi="宋体" w:cs="Times New Roman"/>
          <w:color w:val="333333"/>
          <w:kern w:val="0"/>
          <w:sz w:val="44"/>
          <w:szCs w:val="44"/>
        </w:rPr>
        <w:t>202</w:t>
      </w:r>
      <w:r>
        <w:rPr>
          <w:rFonts w:hint="eastAsia" w:ascii="宋体" w:hAnsi="宋体" w:cs="Times New Roman"/>
          <w:color w:val="333333"/>
          <w:kern w:val="0"/>
          <w:sz w:val="44"/>
          <w:szCs w:val="44"/>
          <w:lang w:val="en-US" w:eastAsia="zh-CN"/>
        </w:rPr>
        <w:t>1</w:t>
      </w:r>
      <w:r>
        <w:rPr>
          <w:rFonts w:hint="eastAsia" w:ascii="宋体" w:hAnsi="宋体" w:cs="Times New Roman"/>
          <w:color w:val="333333"/>
          <w:kern w:val="0"/>
          <w:sz w:val="44"/>
          <w:szCs w:val="44"/>
        </w:rPr>
        <w:t>年部门整体支出绩效情况表</w:t>
      </w:r>
    </w:p>
    <w:p>
      <w:pPr>
        <w:shd w:val="clear" w:color="auto" w:fill="FFFFFF"/>
        <w:spacing w:line="450" w:lineRule="atLeast"/>
        <w:ind w:firstLine="544"/>
        <w:jc w:val="left"/>
        <w:rPr>
          <w:rFonts w:hint="eastAsia" w:ascii="微软雅黑" w:hAnsi="微软雅黑" w:eastAsia="微软雅黑" w:cs="宋体"/>
          <w:color w:val="333333"/>
          <w:kern w:val="0"/>
          <w:sz w:val="21"/>
          <w:szCs w:val="21"/>
        </w:rPr>
      </w:pPr>
      <w:r>
        <w:rPr>
          <w:rFonts w:hint="default" w:eastAsia="微软雅黑" w:cs="Times New Roman"/>
          <w:b/>
          <w:color w:val="333333"/>
          <w:kern w:val="0"/>
          <w:sz w:val="28"/>
          <w:szCs w:val="28"/>
        </w:rPr>
        <w:t> </w:t>
      </w:r>
    </w:p>
    <w:tbl>
      <w:tblPr>
        <w:tblStyle w:val="7"/>
        <w:tblW w:w="93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黑体" w:hAnsi="黑体" w:eastAsia="黑体" w:cs="黑体"/>
                <w:color w:val="000000"/>
                <w:sz w:val="28"/>
                <w:szCs w:val="28"/>
              </w:rPr>
              <w:t>一、单位基本概况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人员编制</w:t>
            </w:r>
          </w:p>
        </w:tc>
        <w:tc>
          <w:tcPr>
            <w:tcW w:w="3561" w:type="dxa"/>
            <w:gridSpan w:val="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16</w:t>
            </w:r>
          </w:p>
        </w:tc>
        <w:tc>
          <w:tcPr>
            <w:tcW w:w="715"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实有人数</w:t>
            </w:r>
          </w:p>
        </w:tc>
        <w:tc>
          <w:tcPr>
            <w:tcW w:w="3464" w:type="dxa"/>
            <w:gridSpan w:val="7"/>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120" w:hRule="atLeast"/>
          <w:jc w:val="center"/>
        </w:trPr>
        <w:tc>
          <w:tcPr>
            <w:tcW w:w="1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职能职责概述</w:t>
            </w:r>
          </w:p>
        </w:tc>
        <w:tc>
          <w:tcPr>
            <w:tcW w:w="7740" w:type="dxa"/>
            <w:gridSpan w:val="18"/>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rPr>
              <w:t>主要职能是建设房地产交易网签备案系统，负责商品房和存量房买卖合同示范文本推广和备案，办理网签备案系统入网认证；负责商品房项目现售备案，负责楼盘表管理，商品房买卖合同、存量房买卖合同、房地产租赁合同、房地产抵押合同的网签备案及其变更、撤销工作；负责加强房地产中介管理，做好中介机构备案，加强存量房交易资金监管；负责落实房地产成交价格申报制度，定期组织测算各类房屋的重置价格</w:t>
            </w:r>
            <w:r>
              <w:rPr>
                <w:rFonts w:hint="eastAsia" w:ascii="仿宋_GB2312" w:hAnsi="仿宋_GB2312" w:eastAsia="仿宋_GB2312" w:cs="仿宋_GB2312"/>
                <w:color w:val="000000"/>
                <w:sz w:val="21"/>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78" w:hRule="atLeast"/>
          <w:jc w:val="center"/>
        </w:trPr>
        <w:tc>
          <w:tcPr>
            <w:tcW w:w="1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年度主要</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工作内容</w:t>
            </w:r>
          </w:p>
        </w:tc>
        <w:tc>
          <w:tcPr>
            <w:tcW w:w="7740" w:type="dxa"/>
            <w:gridSpan w:val="18"/>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1、促进增速提效，持续优化营商环境</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2、</w:t>
            </w:r>
            <w:r>
              <w:rPr>
                <w:rFonts w:hint="eastAsia" w:ascii="仿宋_GB2312" w:hAnsi="仿宋_GB2312" w:eastAsia="仿宋_GB2312" w:cs="仿宋_GB2312"/>
                <w:color w:val="000000"/>
                <w:sz w:val="21"/>
                <w:szCs w:val="21"/>
                <w:lang w:eastAsia="zh-CN"/>
              </w:rPr>
              <w:t>实行多措并举，逐步加强市场监管。</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3、旨在标本兼治，集中化解信访问题。</w:t>
            </w:r>
          </w:p>
          <w:p>
            <w:pPr>
              <w:autoSpaceDN w:val="0"/>
              <w:spacing w:line="320" w:lineRule="exact"/>
              <w:jc w:val="left"/>
              <w:textAlignment w:val="center"/>
              <w:rPr>
                <w:rFonts w:hint="eastAsia"/>
                <w:b/>
                <w:bCs/>
                <w:lang w:eastAsia="zh-CN"/>
              </w:rPr>
            </w:pPr>
            <w:r>
              <w:rPr>
                <w:rFonts w:hint="eastAsia" w:ascii="仿宋_GB2312" w:hAnsi="仿宋_GB2312" w:eastAsia="仿宋_GB2312" w:cs="仿宋_GB2312"/>
                <w:color w:val="000000"/>
                <w:sz w:val="21"/>
                <w:szCs w:val="21"/>
                <w:lang w:val="en-US" w:eastAsia="zh-CN"/>
              </w:rPr>
              <w:t>4、</w:t>
            </w:r>
            <w:r>
              <w:rPr>
                <w:rFonts w:hint="default" w:ascii="仿宋_GB2312" w:hAnsi="仿宋_GB2312" w:eastAsia="仿宋_GB2312" w:cs="仿宋_GB2312"/>
                <w:color w:val="000000"/>
                <w:sz w:val="21"/>
                <w:szCs w:val="21"/>
                <w:lang w:val="en-US" w:eastAsia="zh-CN"/>
              </w:rPr>
              <w:t>着力夯基垒台，聚力开展党史教育</w:t>
            </w:r>
            <w:r>
              <w:rPr>
                <w:rFonts w:hint="eastAsia" w:ascii="仿宋_GB2312" w:hAnsi="仿宋_GB2312" w:eastAsia="仿宋_GB2312" w:cs="仿宋_GB2312"/>
                <w:color w:val="00000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515" w:hRule="atLeast"/>
          <w:jc w:val="center"/>
        </w:trPr>
        <w:tc>
          <w:tcPr>
            <w:tcW w:w="1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4"/>
                <w:szCs w:val="24"/>
                <w:lang w:eastAsia="zh-CN"/>
              </w:rPr>
              <w:t>总体运行情况及取得的成绩</w:t>
            </w:r>
          </w:p>
        </w:tc>
        <w:tc>
          <w:tcPr>
            <w:tcW w:w="7740" w:type="dxa"/>
            <w:gridSpan w:val="18"/>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1、全市中心城区办理新建商品房备案业务21429件，办理存量房网签备案5935，成交总面积：631678.01㎡；成交总金额：337229.73万元。完成租赁合同备案业务数8笔，面积8397.64㎡，涉税租赁金额439.6840万元。</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2、推进网签备案系统建设，加强合同备案退房管理，持续优化营商环境，加强涉房市场监督管理。</w:t>
            </w:r>
          </w:p>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3、全年已协调处理12345政府投诉平台及市长信箱的涉房纠纷145起，有效防控了购房矛盾，将问题处理在萌芽状态，为维护我市房地产市场的稳定作出了一定贡献。</w:t>
            </w:r>
          </w:p>
          <w:p>
            <w:pPr>
              <w:pStyle w:val="2"/>
              <w:rPr>
                <w:rFonts w:hint="default"/>
                <w:lang w:val="en-US" w:eastAsia="zh-CN"/>
              </w:rPr>
            </w:pPr>
            <w:r>
              <w:rPr>
                <w:rFonts w:hint="eastAsia" w:ascii="仿宋_GB2312" w:hAnsi="仿宋_GB2312" w:eastAsia="仿宋_GB2312" w:cs="仿宋_GB2312"/>
                <w:color w:val="000000"/>
                <w:sz w:val="21"/>
                <w:szCs w:val="21"/>
                <w:lang w:val="en-US" w:eastAsia="zh-CN"/>
              </w:rPr>
              <w:t>4、</w:t>
            </w: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p>
          <w:p>
            <w:pPr>
              <w:autoSpaceDN w:val="0"/>
              <w:spacing w:line="320" w:lineRule="exact"/>
              <w:jc w:val="left"/>
              <w:textAlignment w:val="center"/>
              <w:rPr>
                <w:rFonts w:hint="default" w:ascii="仿宋_GB2312" w:hAnsi="仿宋_GB2312" w:eastAsia="仿宋_GB2312" w:cs="仿宋_GB2312"/>
                <w:color w:val="000000"/>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color w:val="000000"/>
                <w:sz w:val="24"/>
                <w:szCs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vMerge w:val="restart"/>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收入合计</w:t>
            </w:r>
          </w:p>
        </w:tc>
        <w:tc>
          <w:tcPr>
            <w:tcW w:w="7740" w:type="dxa"/>
            <w:gridSpan w:val="18"/>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654" w:type="dxa"/>
            <w:vMerge w:val="continue"/>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548" w:type="dxa"/>
            <w:gridSpan w:val="4"/>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上年结转</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公共财</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政拨款</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政府基金拨款</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纳入专户管理的非税收入</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拨款</w:t>
            </w:r>
          </w:p>
        </w:tc>
        <w:tc>
          <w:tcPr>
            <w:tcW w:w="1548"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其他</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54" w:hRule="atLeast"/>
          <w:jc w:val="center"/>
        </w:trPr>
        <w:tc>
          <w:tcPr>
            <w:tcW w:w="1654"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274.82</w:t>
            </w:r>
          </w:p>
        </w:tc>
        <w:tc>
          <w:tcPr>
            <w:tcW w:w="1548" w:type="dxa"/>
            <w:gridSpan w:val="4"/>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22.01</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176.28</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548"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76.53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394" w:type="dxa"/>
            <w:gridSpan w:val="1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color w:val="000000"/>
                <w:sz w:val="24"/>
                <w:szCs w:val="24"/>
              </w:rPr>
              <w:t>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6" w:hRule="atLeast"/>
          <w:jc w:val="center"/>
        </w:trPr>
        <w:tc>
          <w:tcPr>
            <w:tcW w:w="1700" w:type="dxa"/>
            <w:gridSpan w:val="2"/>
            <w:vMerge w:val="restart"/>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支出合计</w:t>
            </w:r>
          </w:p>
        </w:tc>
        <w:tc>
          <w:tcPr>
            <w:tcW w:w="1419" w:type="dxa"/>
            <w:gridSpan w:val="2"/>
            <w:vMerge w:val="restart"/>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基本支出</w:t>
            </w:r>
          </w:p>
        </w:tc>
        <w:tc>
          <w:tcPr>
            <w:tcW w:w="2811" w:type="dxa"/>
            <w:gridSpan w:val="8"/>
            <w:tcBorders>
              <w:top w:val="single" w:color="000000" w:sz="4" w:space="0"/>
              <w:left w:val="single" w:color="auto" w:sz="4" w:space="0"/>
              <w:bottom w:val="single" w:color="auto"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c>
          <w:tcPr>
            <w:tcW w:w="1413" w:type="dxa"/>
            <w:gridSpan w:val="3"/>
            <w:vMerge w:val="restart"/>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项目支出</w:t>
            </w:r>
          </w:p>
        </w:tc>
        <w:tc>
          <w:tcPr>
            <w:tcW w:w="2051" w:type="dxa"/>
            <w:gridSpan w:val="4"/>
            <w:tcBorders>
              <w:top w:val="single" w:color="000000" w:sz="4" w:space="0"/>
              <w:left w:val="single" w:color="auto" w:sz="4" w:space="0"/>
              <w:bottom w:val="single" w:color="auto"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00" w:type="dxa"/>
            <w:gridSpan w:val="2"/>
            <w:vMerge w:val="continue"/>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419" w:type="dxa"/>
            <w:gridSpan w:val="2"/>
            <w:vMerge w:val="continue"/>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401" w:type="dxa"/>
            <w:gridSpan w:val="4"/>
            <w:tcBorders>
              <w:top w:val="single" w:color="auto"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人员支出</w:t>
            </w:r>
          </w:p>
        </w:tc>
        <w:tc>
          <w:tcPr>
            <w:tcW w:w="1410" w:type="dxa"/>
            <w:gridSpan w:val="4"/>
            <w:tcBorders>
              <w:top w:val="single" w:color="auto"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公用支出</w:t>
            </w:r>
          </w:p>
        </w:tc>
        <w:tc>
          <w:tcPr>
            <w:tcW w:w="1413" w:type="dxa"/>
            <w:gridSpan w:val="3"/>
            <w:vMerge w:val="continue"/>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061" w:type="dxa"/>
            <w:gridSpan w:val="3"/>
            <w:tcBorders>
              <w:top w:val="single" w:color="auto"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当年结余</w:t>
            </w:r>
          </w:p>
        </w:tc>
        <w:tc>
          <w:tcPr>
            <w:tcW w:w="990" w:type="dxa"/>
            <w:tcBorders>
              <w:top w:val="single" w:color="auto"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24" w:hRule="atLeast"/>
          <w:jc w:val="center"/>
        </w:trPr>
        <w:tc>
          <w:tcPr>
            <w:tcW w:w="1700" w:type="dxa"/>
            <w:gridSpan w:val="2"/>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274.82</w:t>
            </w:r>
          </w:p>
        </w:tc>
        <w:tc>
          <w:tcPr>
            <w:tcW w:w="1410" w:type="dxa"/>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274.82</w:t>
            </w:r>
          </w:p>
        </w:tc>
        <w:tc>
          <w:tcPr>
            <w:tcW w:w="1410"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default" w:ascii="仿宋_GB2312" w:hAnsi="仿宋_GB2312" w:eastAsia="仿宋_GB2312" w:cs="仿宋_GB2312"/>
                <w:color w:val="000000"/>
                <w:sz w:val="24"/>
                <w:szCs w:val="24"/>
                <w:lang w:val="en-US" w:eastAsia="zh-CN"/>
              </w:rPr>
              <w:t>245.89</w:t>
            </w:r>
          </w:p>
        </w:tc>
        <w:tc>
          <w:tcPr>
            <w:tcW w:w="141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28.93</w:t>
            </w:r>
          </w:p>
        </w:tc>
        <w:tc>
          <w:tcPr>
            <w:tcW w:w="1413" w:type="dxa"/>
            <w:gridSpan w:val="3"/>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061" w:type="dxa"/>
            <w:gridSpan w:val="3"/>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both"/>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-22.01</w:t>
            </w:r>
          </w:p>
        </w:tc>
        <w:tc>
          <w:tcPr>
            <w:tcW w:w="990" w:type="dxa"/>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三公经费合计</w:t>
            </w:r>
          </w:p>
        </w:tc>
        <w:tc>
          <w:tcPr>
            <w:tcW w:w="7694" w:type="dxa"/>
            <w:gridSpan w:val="17"/>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923" w:type="dxa"/>
            <w:gridSpan w:val="4"/>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公务接待费</w:t>
            </w:r>
          </w:p>
        </w:tc>
        <w:tc>
          <w:tcPr>
            <w:tcW w:w="1923"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公务用车运维费</w:t>
            </w:r>
          </w:p>
        </w:tc>
        <w:tc>
          <w:tcPr>
            <w:tcW w:w="1923"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公务用车购置费</w:t>
            </w:r>
          </w:p>
        </w:tc>
        <w:tc>
          <w:tcPr>
            <w:tcW w:w="1925"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24" w:hRule="atLeast"/>
          <w:jc w:val="center"/>
        </w:trPr>
        <w:tc>
          <w:tcPr>
            <w:tcW w:w="1700" w:type="dxa"/>
            <w:gridSpan w:val="2"/>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923" w:type="dxa"/>
            <w:gridSpan w:val="4"/>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923"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923"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1925"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固定资产合计</w:t>
            </w:r>
          </w:p>
        </w:tc>
        <w:tc>
          <w:tcPr>
            <w:tcW w:w="5331" w:type="dxa"/>
            <w:gridSpan w:val="12"/>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c>
          <w:tcPr>
            <w:tcW w:w="2363" w:type="dxa"/>
            <w:gridSpan w:val="5"/>
            <w:vMerge w:val="restart"/>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665" w:type="dxa"/>
            <w:gridSpan w:val="5"/>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在用固定资产</w:t>
            </w:r>
          </w:p>
        </w:tc>
        <w:tc>
          <w:tcPr>
            <w:tcW w:w="2666" w:type="dxa"/>
            <w:gridSpan w:val="7"/>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出租固定资产</w:t>
            </w:r>
          </w:p>
        </w:tc>
        <w:tc>
          <w:tcPr>
            <w:tcW w:w="2363" w:type="dxa"/>
            <w:gridSpan w:val="5"/>
            <w:vMerge w:val="continue"/>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49" w:hRule="atLeast"/>
          <w:jc w:val="center"/>
        </w:trPr>
        <w:tc>
          <w:tcPr>
            <w:tcW w:w="1700" w:type="dxa"/>
            <w:gridSpan w:val="2"/>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562.02</w:t>
            </w:r>
          </w:p>
        </w:tc>
        <w:tc>
          <w:tcPr>
            <w:tcW w:w="2665" w:type="dxa"/>
            <w:gridSpan w:val="5"/>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265.16</w:t>
            </w:r>
          </w:p>
        </w:tc>
        <w:tc>
          <w:tcPr>
            <w:tcW w:w="2666" w:type="dxa"/>
            <w:gridSpan w:val="7"/>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c>
          <w:tcPr>
            <w:tcW w:w="2363" w:type="dxa"/>
            <w:gridSpan w:val="5"/>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296.86</w:t>
            </w:r>
          </w:p>
        </w:tc>
      </w:tr>
    </w:tbl>
    <w:p>
      <w:pPr>
        <w:pStyle w:val="2"/>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FC5F40D2"/>
    <w:multiLevelType w:val="singleLevel"/>
    <w:tmpl w:val="FC5F40D2"/>
    <w:lvl w:ilvl="0" w:tentative="0">
      <w:start w:val="2"/>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1CD92B0"/>
    <w:multiLevelType w:val="singleLevel"/>
    <w:tmpl w:val="61CD92B0"/>
    <w:lvl w:ilvl="0" w:tentative="0">
      <w:start w:val="5"/>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hMTI0MTA5ZjllYjE0NWQ2ZDUwNTc2ZTc2NGMxYTE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3891527"/>
    <w:rsid w:val="04184D59"/>
    <w:rsid w:val="05633A58"/>
    <w:rsid w:val="06B411F0"/>
    <w:rsid w:val="087403E0"/>
    <w:rsid w:val="09A43C94"/>
    <w:rsid w:val="0BE56081"/>
    <w:rsid w:val="121F76D9"/>
    <w:rsid w:val="126003FA"/>
    <w:rsid w:val="13BE003E"/>
    <w:rsid w:val="13DF2809"/>
    <w:rsid w:val="16893E20"/>
    <w:rsid w:val="17A87124"/>
    <w:rsid w:val="195A44ED"/>
    <w:rsid w:val="1A501D28"/>
    <w:rsid w:val="1CF637C1"/>
    <w:rsid w:val="1DAC08F6"/>
    <w:rsid w:val="1E595086"/>
    <w:rsid w:val="1E5A7AD4"/>
    <w:rsid w:val="1E7C4B5F"/>
    <w:rsid w:val="1FCF2865"/>
    <w:rsid w:val="26882595"/>
    <w:rsid w:val="26B91640"/>
    <w:rsid w:val="27DB542D"/>
    <w:rsid w:val="292012AD"/>
    <w:rsid w:val="318A49A8"/>
    <w:rsid w:val="366364DD"/>
    <w:rsid w:val="370B6762"/>
    <w:rsid w:val="3AE87D4D"/>
    <w:rsid w:val="3E04481D"/>
    <w:rsid w:val="3E857907"/>
    <w:rsid w:val="45B3259C"/>
    <w:rsid w:val="45F9639D"/>
    <w:rsid w:val="48ED43E7"/>
    <w:rsid w:val="4AF965F4"/>
    <w:rsid w:val="4C4B51F8"/>
    <w:rsid w:val="500E459E"/>
    <w:rsid w:val="512A0C17"/>
    <w:rsid w:val="52D862CB"/>
    <w:rsid w:val="569357FD"/>
    <w:rsid w:val="59132D10"/>
    <w:rsid w:val="5BD34716"/>
    <w:rsid w:val="5CC62004"/>
    <w:rsid w:val="60A907EA"/>
    <w:rsid w:val="6145544E"/>
    <w:rsid w:val="69F20E82"/>
    <w:rsid w:val="6C7F60B9"/>
    <w:rsid w:val="70F727E4"/>
    <w:rsid w:val="71261326"/>
    <w:rsid w:val="74F31E31"/>
    <w:rsid w:val="75736ACE"/>
    <w:rsid w:val="773A3D47"/>
    <w:rsid w:val="775B6E37"/>
    <w:rsid w:val="782C1D9A"/>
    <w:rsid w:val="78F01F62"/>
    <w:rsid w:val="79F006ED"/>
    <w:rsid w:val="7AC20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9172</Words>
  <Characters>9653</Characters>
  <Lines>69</Lines>
  <Paragraphs>19</Paragraphs>
  <TotalTime>1</TotalTime>
  <ScaleCrop>false</ScaleCrop>
  <LinksUpToDate>false</LinksUpToDate>
  <CharactersWithSpaces>9678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f</cp:lastModifiedBy>
  <cp:lastPrinted>2022-07-27T12:55:00Z</cp:lastPrinted>
  <dcterms:modified xsi:type="dcterms:W3CDTF">2023-09-21T07:17:05Z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195550C37B4C45A9B3DA07F63EFDFA49</vt:lpwstr>
  </property>
</Properties>
</file>