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4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6699"/>
                <w:spacing w:val="0"/>
                <w:sz w:val="27"/>
                <w:szCs w:val="27"/>
                <w:shd w:val="clear" w:fill="FFFFFF"/>
              </w:rPr>
              <w:t>岳阳市2021年度部门整体支出绩效评价自评报告</w:t>
            </w:r>
            <w:r>
              <w:rPr>
                <w:rFonts w:hint="eastAsia" w:ascii="宋体" w:hAnsi="宋体" w:eastAsia="宋体" w:cs="宋体"/>
                <w:i w:val="0"/>
                <w:iCs w:val="0"/>
                <w:caps w:val="0"/>
                <w:color w:val="333333"/>
                <w:spacing w:val="0"/>
                <w:kern w:val="0"/>
                <w:sz w:val="19"/>
                <w:szCs w:val="19"/>
                <w:u w:val="none"/>
                <w:lang w:val="en-US" w:eastAsia="zh-CN" w:bidi="ar"/>
              </w:rPr>
              <w:fldChar w:fldCharType="begin"/>
            </w:r>
            <w:r>
              <w:rPr>
                <w:rFonts w:hint="eastAsia" w:ascii="宋体" w:hAnsi="宋体" w:eastAsia="宋体" w:cs="宋体"/>
                <w:i w:val="0"/>
                <w:iCs w:val="0"/>
                <w:caps w:val="0"/>
                <w:color w:val="333333"/>
                <w:spacing w:val="0"/>
                <w:kern w:val="0"/>
                <w:sz w:val="19"/>
                <w:szCs w:val="19"/>
                <w:u w:val="none"/>
                <w:lang w:val="en-US" w:eastAsia="zh-CN" w:bidi="ar"/>
              </w:rPr>
              <w:instrText xml:space="preserve"> HYPERLINK "http://yysw.yueyang.gov.cn/8293/8307/javascript:void(0);" \o "分享到微信" </w:instrText>
            </w:r>
            <w:r>
              <w:rPr>
                <w:rFonts w:hint="eastAsia" w:ascii="宋体" w:hAnsi="宋体" w:eastAsia="宋体" w:cs="宋体"/>
                <w:i w:val="0"/>
                <w:iCs w:val="0"/>
                <w:caps w:val="0"/>
                <w:color w:val="333333"/>
                <w:spacing w:val="0"/>
                <w:kern w:val="0"/>
                <w:sz w:val="19"/>
                <w:szCs w:val="19"/>
                <w:u w:val="none"/>
                <w:lang w:val="en-US" w:eastAsia="zh-CN" w:bidi="ar"/>
              </w:rPr>
              <w:fldChar w:fldCharType="separate"/>
            </w:r>
            <w:r>
              <w:rPr>
                <w:rFonts w:hint="eastAsia" w:ascii="宋体" w:hAnsi="宋体" w:eastAsia="宋体" w:cs="宋体"/>
                <w:i w:val="0"/>
                <w:iCs w:val="0"/>
                <w:caps w:val="0"/>
                <w:color w:val="333333"/>
                <w:spacing w:val="0"/>
                <w:kern w:val="0"/>
                <w:sz w:val="19"/>
                <w:szCs w:val="19"/>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部门(单位)名称：  岳阳市商务粮食局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预 算 编 码：  701001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评价方式：部门（单位）绩效自评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评价机构：部门（单位）评价组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报告日期： 2021年 6 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岳阳市财政局（制）</w:t>
            </w:r>
          </w:p>
          <w:tbl>
            <w:tblPr>
              <w:tblStyle w:val="3"/>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926"/>
              <w:gridCol w:w="99"/>
              <w:gridCol w:w="19"/>
              <w:gridCol w:w="890"/>
              <w:gridCol w:w="197"/>
              <w:gridCol w:w="807"/>
              <w:gridCol w:w="270"/>
              <w:gridCol w:w="620"/>
              <w:gridCol w:w="982"/>
              <w:gridCol w:w="98"/>
              <w:gridCol w:w="85"/>
              <w:gridCol w:w="118"/>
              <w:gridCol w:w="890"/>
              <w:gridCol w:w="218"/>
              <w:gridCol w:w="128"/>
              <w:gridCol w:w="269"/>
              <w:gridCol w:w="67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一、部门（单位）基本概况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联系人</w:t>
                  </w:r>
                </w:p>
              </w:tc>
              <w:tc>
                <w:tcPr>
                  <w:tcW w:w="35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李思恬</w:t>
                  </w:r>
                </w:p>
              </w:tc>
              <w:tc>
                <w:tcPr>
                  <w:tcW w:w="14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联络电话</w:t>
                  </w:r>
                </w:p>
              </w:tc>
              <w:tc>
                <w:tcPr>
                  <w:tcW w:w="3345"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8688056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人员编制</w:t>
                  </w:r>
                </w:p>
              </w:tc>
              <w:tc>
                <w:tcPr>
                  <w:tcW w:w="35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94</w:t>
                  </w:r>
                </w:p>
              </w:tc>
              <w:tc>
                <w:tcPr>
                  <w:tcW w:w="14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实有人数</w:t>
                  </w:r>
                </w:p>
              </w:tc>
              <w:tc>
                <w:tcPr>
                  <w:tcW w:w="3345"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职能职责概述</w:t>
                  </w:r>
                </w:p>
              </w:tc>
              <w:tc>
                <w:tcPr>
                  <w:tcW w:w="8385" w:type="dxa"/>
                  <w:gridSpan w:val="1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贯彻执行国家国内外贸易、国际经济合作和区域经济合作的发展战略、政策，起草我市国内外贸易、招商引资、承接产业转移、对外援助、对外投资和对外经济合作的规范性文件草案、政策措施和实施办法，研究经济全球化、区域经济合作、现代流通方式的发展趋势和流通体制改革并提出建议，研究提出全市粮食宏观调控、总量平衡以及粮食流通的中长期规划和收储、动用市级储备粮的建议，拟订粮食流通体制改革方案并组织实施，推动国有粮食企业改革，研究提出现代粮食流通产业发展战略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负责推进流通产业结构调整，指导流通企业改革，促进商贸服务业和社区商业发展，提出促进商贸中小企业发展的政策建议，推动流通标准化和连锁经营、商业特许经营、物流配送、电子商务等现代流通方式的发展；拟订全市粮食流通管理办法，贯彻执行国家、省有关粮食流通管理的方针、政策和法律法规，按照国家有关政策和省、市政府统一部署，制定粮食流通、粮食库存监督检查制度并组织实施，负责对粮食收购、储存环节的粮食质量安全和原粮卫生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会同有关部门拟订全市粮食市场体系建设与发展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四)承担牵头协调整顿和规范市场经济秩序工作的责任，拟订规范市场秩序的政策；推动商贸领域信用建设，指导商业信用销售，配合省商务厅开展市场诚信公共服务平台建设工作；按有关规定对特殊流通行业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承担粮食监测预警和应急责任，负责全市粮食流通宏观调控工作，指导协调最低收购价等政策性粮食购销和粮食产销合作，保障军队粮食供应；编制粮食流通、仓储、加工设施建设规划，管理有关粮食流通设施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六)贯彻执行国家进出口商品、加工贸易管理办法和进出口管理商品、技术目录，拟订促进外贸增长方式转变的政策措施，指导贸易促进活动和外贸促进体系建设；贯彻执行国家对外技术贸易、出口管制以及鼓励技术和成套设备进出口的贸易政策，推进进出口贸易标准化工作；承担会展业促进与管理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(七)执行有关服务贸易发展规划并开展相关工作；组织实施促进服务出口、服务外包的政策措施，推动服务外包平台建设。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(八)贯彻执行我国多双边（含区域、自由贸易区）经贸合作战略和政策，推进我市与其他国家地区的经贸往来与投资贸易合作；负责全市商贸领域涉及世界贸易组织事务的协调工作。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(九)负责组织协调反倾销、反补贴、保障措施及其他与进出口公平贸易相关的工作，协助开展对外贸易调查和产业损害调查，指导协调产业安全应对工作。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指导全市招商引资和承接产业转移工作，拟订并组织实施招商引资和承接产业转移政策；依法监督外商投资企业执行有关法律法规规章、合同章程的情况并协调解决有关问题；规范招商引资活动；指导国家级、省级经济技术开发区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(十一)拟订并组织实施对外经济合作政策；依法管理和监督对外劳务合作等工作；组织实施市内人员出境就业管理政策，负责牵头外派劳务和境外就业人员的权益保护工作，拟订境外投资的管理办法和具体政策。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(十二)贯彻执行国家对外援助政策和方案，协调管理全市承担的对外援助项目；协调管理多双边对我市的无偿援助和赠款(不含财政合作项目外国政府及国际金融组织的赠款)等发展合作业务。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三)负责粮食流通的行业管理，制定并组织实施全市粮食产业发展规划，优化粮食资源配置和产业布局；提出粮食收购市场准入标准建议，指导县市区粮食行政管理部门对从事粮食收购的企业实行备案管理。指导粮食流通的科技进步、技术改造和新技术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四)承担市级储备粮行政管理责任，会同有关部门研究提出市级储备粮的规模、总体布局、购销计划以及提出动用市、县级储备粮的建议，会同有关部门审批市级储备粮轮换计划并监督实施，监督检查全市范围内储备粮的数量、质量和储存安全，制定本市储备粮管理的技术规范并监督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(十五)贯彻执行国家对香港、澳门特别行政区和台湾地区的经贸规划、政策，指导我市对港、澳、台地区贸易和经贸合作活动，协调港、澳、台商投资管理工作。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(十六)承担全市商务粮食系统统计及其信息发布工作，提供信息咨询服务，指导全市流通领域信息网络和电子商务建设，指导全市商务粮食系统财务和内部审计工作。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(十七)负责市直所属企业事业单位的管理。按有关规定监督直属单位的国有资产，确保国有资产提质增值，依法依规完成直属企业改革改制工作。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（十八）组织实施重要物资收储、轮换和管理，管理粮食、棉花和食糖等储备职责；组织实施重要物资和应急储备物资收储、轮换和日常管理职责。（该项职能除粮油和猪肉储备外暂未移交我局）。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(十九)承办市委、市人民政府交办的其他事项。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（二十）流通领域行政执法职能随机构改革全部划入市市场监督管理局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年度主要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工作内容</w:t>
                  </w:r>
                </w:p>
              </w:tc>
              <w:tc>
                <w:tcPr>
                  <w:tcW w:w="8385" w:type="dxa"/>
                  <w:gridSpan w:val="1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任务1：社会消费品零售总额增长10%。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任务2：外贸进出口总额达461.82亿元。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任务3：内联引资总额达841亿美元。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任务4：完成市、县政府储备粮轮换任务5.4万吨。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任务5：完成“优质粮油工程”项目建设任务2.73亿元。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年度部门（单位）总体运行情况及取得的成绩</w:t>
                  </w:r>
                </w:p>
              </w:tc>
              <w:tc>
                <w:tcPr>
                  <w:tcW w:w="8385" w:type="dxa"/>
                  <w:gridSpan w:val="1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1、全市社会消费品零售总额1807.9亿元，同比增长14.9%，高于全省平均水平0.5个百分点，总量和增幅均居全省第3位。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2、进出口总额612.1亿元，同比增长45.9%，高于全省平均水平23.3个百分点，总量和增幅均居全省第2位。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3、内联引资到位资金1161亿元，同比增长27%，总量居全省第2位。实际使用外资4113万美元，同比增长25.5%。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二、部门（单位）收支情况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年度收入情况（万元）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收入合计</w:t>
                  </w:r>
                </w:p>
              </w:tc>
              <w:tc>
                <w:tcPr>
                  <w:tcW w:w="7260" w:type="dxa"/>
                  <w:gridSpan w:val="1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上年结转</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公共财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政拨款</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政府基</w:t>
                  </w:r>
                  <w:bookmarkStart w:id="1" w:name="_GoBack"/>
                  <w:bookmarkEnd w:id="1"/>
                  <w:r>
                    <w:rPr>
                      <w:sz w:val="21"/>
                      <w:szCs w:val="21"/>
                    </w:rPr>
                    <w:t>金拨款</w:t>
                  </w:r>
                </w:p>
              </w:tc>
              <w:tc>
                <w:tcPr>
                  <w:tcW w:w="18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纳入专户管理的非税收入拨款</w:t>
                  </w:r>
                </w:p>
              </w:tc>
              <w:tc>
                <w:tcPr>
                  <w:tcW w:w="13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收入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5640.5</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535.04</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5105.46</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8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1、局机关</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5307.44</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473.39</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4834.05</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8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333.06</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61.65</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271.41</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8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支出合计</w:t>
                  </w:r>
                </w:p>
              </w:tc>
              <w:tc>
                <w:tcPr>
                  <w:tcW w:w="5670" w:type="dxa"/>
                  <w:gridSpan w:val="9"/>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w:t>
                  </w:r>
                </w:p>
              </w:tc>
              <w:tc>
                <w:tcPr>
                  <w:tcW w:w="1575"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50"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基本支出</w:t>
                  </w:r>
                </w:p>
              </w:tc>
              <w:tc>
                <w:tcPr>
                  <w:tcW w:w="3240"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w:t>
                  </w:r>
                </w:p>
              </w:tc>
              <w:tc>
                <w:tcPr>
                  <w:tcW w:w="108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项目支出</w:t>
                  </w:r>
                </w:p>
              </w:tc>
              <w:tc>
                <w:tcPr>
                  <w:tcW w:w="720"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当年结余</w:t>
                  </w:r>
                </w:p>
              </w:tc>
              <w:tc>
                <w:tcPr>
                  <w:tcW w:w="85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累计结余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5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人员支出</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公用支出</w:t>
                  </w: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20"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5611.46</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2720.56</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2335.27</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385.29</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2890.9</w:t>
                  </w:r>
                </w:p>
              </w:tc>
              <w:tc>
                <w:tcPr>
                  <w:tcW w:w="7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29.04</w:t>
                  </w:r>
                </w:p>
              </w:tc>
              <w:tc>
                <w:tcPr>
                  <w:tcW w:w="8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29.04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1、局机关</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5278.40</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2544.70</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2175.97</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368.73</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2733.70</w:t>
                  </w:r>
                </w:p>
              </w:tc>
              <w:tc>
                <w:tcPr>
                  <w:tcW w:w="7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29.04</w:t>
                  </w:r>
                </w:p>
              </w:tc>
              <w:tc>
                <w:tcPr>
                  <w:tcW w:w="8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29.04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333.06</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175.86</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159.3</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16.56</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157.2</w:t>
                  </w:r>
                </w:p>
              </w:tc>
              <w:tc>
                <w:tcPr>
                  <w:tcW w:w="720"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0</w:t>
                  </w:r>
                </w:p>
              </w:tc>
              <w:tc>
                <w:tcPr>
                  <w:tcW w:w="8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三公经费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合计</w:t>
                  </w:r>
                </w:p>
              </w:tc>
              <w:tc>
                <w:tcPr>
                  <w:tcW w:w="7260" w:type="dxa"/>
                  <w:gridSpan w:val="1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公务接待费</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公务用车运维费</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公务用车购置费</w:t>
                  </w:r>
                </w:p>
              </w:tc>
              <w:tc>
                <w:tcPr>
                  <w:tcW w:w="265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因公出国费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53.13</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39.36</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13.77</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65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1、局机关</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13.29</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4.79</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8.50</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65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39.84</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34.57</w:t>
                  </w:r>
                </w:p>
              </w:tc>
              <w:tc>
                <w:tcPr>
                  <w:tcW w:w="108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5.27</w:t>
                  </w:r>
                </w:p>
              </w:tc>
              <w:tc>
                <w:tcPr>
                  <w:tcW w:w="216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65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机构名称</w:t>
                  </w:r>
                </w:p>
              </w:tc>
              <w:tc>
                <w:tcPr>
                  <w:tcW w:w="108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合计</w:t>
                  </w:r>
                </w:p>
              </w:tc>
              <w:tc>
                <w:tcPr>
                  <w:tcW w:w="6075" w:type="dxa"/>
                  <w:gridSpan w:val="11"/>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w:t>
                  </w:r>
                </w:p>
              </w:tc>
              <w:tc>
                <w:tcPr>
                  <w:tcW w:w="1185"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在用固定资产</w:t>
                  </w:r>
                </w:p>
              </w:tc>
              <w:tc>
                <w:tcPr>
                  <w:tcW w:w="3630"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出租固定资产</w:t>
                  </w:r>
                </w:p>
              </w:tc>
              <w:tc>
                <w:tcPr>
                  <w:tcW w:w="1185"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局机关及二级机构汇总</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1230.86</w:t>
                  </w:r>
                </w:p>
              </w:tc>
              <w:tc>
                <w:tcPr>
                  <w:tcW w:w="24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1230.86</w:t>
                  </w:r>
                </w:p>
              </w:tc>
              <w:tc>
                <w:tcPr>
                  <w:tcW w:w="3630"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8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1、局机关</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1178.38</w:t>
                  </w:r>
                </w:p>
              </w:tc>
              <w:tc>
                <w:tcPr>
                  <w:tcW w:w="24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1178.38</w:t>
                  </w:r>
                </w:p>
              </w:tc>
              <w:tc>
                <w:tcPr>
                  <w:tcW w:w="3630"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8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9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2、投资促进事务中心</w:t>
                  </w:r>
                </w:p>
              </w:tc>
              <w:tc>
                <w:tcPr>
                  <w:tcW w:w="108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52.48</w:t>
                  </w:r>
                </w:p>
              </w:tc>
              <w:tc>
                <w:tcPr>
                  <w:tcW w:w="24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52.48</w:t>
                  </w:r>
                </w:p>
              </w:tc>
              <w:tc>
                <w:tcPr>
                  <w:tcW w:w="3630"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8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整体支出绩效定性目标及实施计划完成情况</w:t>
                  </w:r>
                </w:p>
              </w:tc>
              <w:tc>
                <w:tcPr>
                  <w:tcW w:w="3765"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预期目标</w:t>
                  </w:r>
                </w:p>
              </w:tc>
              <w:tc>
                <w:tcPr>
                  <w:tcW w:w="4815" w:type="dxa"/>
                  <w:gridSpan w:val="9"/>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3765"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目标1：社会消费品零售总额增长10%。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目标2：外贸进出口总额达461.82亿元。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目标3：内联引资总额达841亿美元。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目标4：完成市、县政府储备粮轮换任务5.4万吨。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目标5：完成“优质粮油工程”项目建设任务2.73亿元。</w:t>
                  </w:r>
                </w:p>
              </w:tc>
              <w:tc>
                <w:tcPr>
                  <w:tcW w:w="4815" w:type="dxa"/>
                  <w:gridSpan w:val="9"/>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1、全市社会消费品零售总额1807.9亿元，同比增长14.9%，高于全省平均水平0.5个百分点，总量和增幅均居全省第3位。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2、进出口总额612.1亿元，同比增长45.9%，高于全省平均水平23.3个百分点，总量和增幅均居全省第2位。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3、内联引资到位资金1161亿元，同比增长27%，总量居全省第2位。实际使用外资4113万美元，同比增长25.5%。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整体支出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绩效定量目标及实施计划完成情况</w:t>
                  </w:r>
                </w:p>
              </w:tc>
              <w:tc>
                <w:tcPr>
                  <w:tcW w:w="29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评价内容</w:t>
                  </w: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绩效目标</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545" w:type="dxa"/>
                  <w:gridSpan w:val="4"/>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产出目标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（部门工作实绩，包含上级部门和市委市政府布置的重点工作、实事任务等，根据部门实际进行调整细化）</w:t>
                  </w:r>
                </w:p>
              </w:tc>
              <w:tc>
                <w:tcPr>
                  <w:tcW w:w="1410"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质量指标</w:t>
                  </w: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招商引资取得突破性进展</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引进“三类500强”项目26个，总投资357.7亿元。内联引资到位资金1161亿元，同比增长27%，总量居全省第2位。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41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开放型经济实现跨越式发展</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实际使用外资4113万美元，同比增长25.5%；全市进出口总额612.1亿元，同比增长45.9%。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410"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数量指标</w:t>
                  </w: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内贸流通持续稳定向好</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全年共完成社会消费品销售总额1807.9亿元，同比增长14.9%，高于全省平均水平0.5个百分点，总量和增幅均居全省第3位。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41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粮食轮换和粮油产业发展做取得新的进展</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全年共计完成市、县政府储备粮轮换任务5.4万吨；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全市完成“优质粮油工程”项目建设任务2.73亿元，其中争取中央财政补助资金5310万元。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545" w:type="dxa"/>
                  <w:gridSpan w:val="4"/>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效益目标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（预期实现的效益）</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社会效益</w:t>
                  </w: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行业安全迈进新的局面。</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全年安全生产形势稳定向好，无安全生产事故；社会治安综合治理成效明显，未发生一起大规模的集访、闹访和赴省进京上访事件，也无“黄赌毒”和邪教活动事件，中小商贸流通企业公共服务体系建设不断深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545"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社会公众或服务对象满意度</w:t>
                  </w:r>
                </w:p>
              </w:tc>
              <w:tc>
                <w:tcPr>
                  <w:tcW w:w="270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队伍建设得到新的加强。</w:t>
                  </w:r>
                </w:p>
              </w:tc>
              <w:tc>
                <w:tcPr>
                  <w:tcW w:w="292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党建工作全面加强，制定和完善了管理制度；认真组织开展了党支部书记“双述双评”活动；重点创新党建载体，实行“互联网+党建”，建立网上党组织，各支部建立微信群，实行网上管理党员、服务群众、宣传学习，拓展党建工作信息平台。配合开展“不忘初心、牢记使命”的主题教育活动，着力推进“红星云”手机移动平台学用活动开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98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绩效自评综合得分</w:t>
                  </w:r>
                </w:p>
              </w:tc>
              <w:tc>
                <w:tcPr>
                  <w:tcW w:w="7050" w:type="dxa"/>
                  <w:gridSpan w:val="1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98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98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评价等次</w:t>
                  </w:r>
                </w:p>
              </w:tc>
              <w:tc>
                <w:tcPr>
                  <w:tcW w:w="7050" w:type="dxa"/>
                  <w:gridSpan w:val="1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优秀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四、评价人员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姓  名</w:t>
                  </w:r>
                </w:p>
              </w:tc>
              <w:tc>
                <w:tcPr>
                  <w:tcW w:w="35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职务/职称</w:t>
                  </w:r>
                </w:p>
              </w:tc>
              <w:tc>
                <w:tcPr>
                  <w:tcW w:w="14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单  位</w:t>
                  </w:r>
                </w:p>
              </w:tc>
              <w:tc>
                <w:tcPr>
                  <w:tcW w:w="3345"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签  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周琳</w:t>
                  </w:r>
                </w:p>
              </w:tc>
              <w:tc>
                <w:tcPr>
                  <w:tcW w:w="35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中级经济师</w:t>
                  </w:r>
                </w:p>
              </w:tc>
              <w:tc>
                <w:tcPr>
                  <w:tcW w:w="14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商务粮食局</w:t>
                  </w:r>
                </w:p>
              </w:tc>
              <w:tc>
                <w:tcPr>
                  <w:tcW w:w="3345"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甘文</w:t>
                  </w:r>
                </w:p>
              </w:tc>
              <w:tc>
                <w:tcPr>
                  <w:tcW w:w="35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中级会计师</w:t>
                  </w:r>
                </w:p>
              </w:tc>
              <w:tc>
                <w:tcPr>
                  <w:tcW w:w="14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投资促进事务中心</w:t>
                  </w:r>
                </w:p>
              </w:tc>
              <w:tc>
                <w:tcPr>
                  <w:tcW w:w="3345"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3555"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47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3345"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评价组组长（签字）：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部门（单位）意见：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部门（单位）负责人（签章）：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035" w:type="dxa"/>
                  <w:gridSpan w:val="1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财政部门归口业务科室意见：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财政部门归口业务科室负责人（签章）：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填报人（签名）：周琳                     联系电话：8688056</w:t>
            </w:r>
          </w:p>
          <w:tbl>
            <w:tblPr>
              <w:tblStyle w:val="3"/>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29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9555"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五、评价报告综述（文字部分）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一、部门（单位）概况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（一）部门（单位）基本情况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岳阳市商务粮食局是在原商务局、粮食局和招商局基础上重新组建的政府工作部门，截止2021年12月31日，实际在编在岗干部职工共有87人，其中：行政人员70人，事业人员17人。离退休人员共计249人，其中离休7人，退休242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所属事业单位分别是独立核算的投资促进事务中心和非独立核算的军粮供应管理中心。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（二）部门（单位）整体支出规模、使用方向和主要内容、涉及范围等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根据2021年市本级部门预算批复，纳入2021年部门预算编制范围的二级预算单位包括：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1、岳阳市商务粮食局机关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2、投资促进事务中心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具体情况如下：单位：万元</w:t>
                  </w:r>
                </w:p>
                <w:tbl>
                  <w:tblPr>
                    <w:tblStyle w:val="3"/>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871"/>
                    <w:gridCol w:w="2635"/>
                    <w:gridCol w:w="17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8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收入</w:t>
                        </w:r>
                      </w:p>
                    </w:tc>
                    <w:tc>
                      <w:tcPr>
                        <w:tcW w:w="18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局机关</w:t>
                        </w:r>
                      </w:p>
                    </w:tc>
                    <w:tc>
                      <w:tcPr>
                        <w:tcW w:w="28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5307.44</w:t>
                        </w:r>
                      </w:p>
                    </w:tc>
                    <w:tc>
                      <w:tcPr>
                        <w:tcW w:w="18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5278.40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投资促进管理中心</w:t>
                        </w:r>
                      </w:p>
                    </w:tc>
                    <w:tc>
                      <w:tcPr>
                        <w:tcW w:w="28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333.06</w:t>
                        </w:r>
                      </w:p>
                    </w:tc>
                    <w:tc>
                      <w:tcPr>
                        <w:tcW w:w="18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333.06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合计</w:t>
                        </w:r>
                      </w:p>
                    </w:tc>
                    <w:tc>
                      <w:tcPr>
                        <w:tcW w:w="28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5640.50</w:t>
                        </w:r>
                      </w:p>
                    </w:tc>
                    <w:tc>
                      <w:tcPr>
                        <w:tcW w:w="18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5611.46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二、部门（单位）整体支出管理及使用情况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2021年度局机关基本支出2544.70万元，使用内容为人员经费和日常公用经费。其中人员经费支出2175.97万元，主要用于发放行政人员、事业人员、工勤人员以及临时工工资及津补贴；支付机关离退休员工的工资及津补贴、抚恤金、丧葬费、生活补助等；一般商品和服务支出368.73万元，主要用于保障机关正常运转所需开支的办公费、差旅费、招待费、会议费、公务用车运行维护费、物业管理费等。基本开支主要来自于年初预算拨款，其他来自于政策性工资绩效预算的追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1、专项资金安排落实、总投入等情况分析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局机关项目支出2733.70万元，少部分为各项大型会议、大型维修等开支，大部分为电子商务专项资金、开放型经济专项资金、市场调控专项资金、招商引资专项资金等。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2、专项资金实际使用情况分析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对专项资金的管理我局建立了专项资金管理办法，遵循专款专用、单独核算的管理原则；专项项目的申报严格按照市财政资金管理的要求进行，专项资金财政拨款到位后及时进行了项目的开展和资金的投入，确保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3、专项资金管理情况分析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我局对专项资金的管理按照项目支出涉及的经济科目，根据财务管理办法的相关制度执行。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专项资金中涉及的项目招投标、政府采购事项，我局均严格按照要求进行，对公开招标的项目要求参与投标报价单位不少于三家，由局多个部门参与采购谈判，机关纪委全程监督，同时严格合同的签订，落实物资和服务的验收，做好资金支付的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三、部门（单位）专项组织实施情况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（一）专项组织情况分析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1、完善制度，规范管理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认真贯彻落实中央八项规定及市委、市政府厉行节约的精神，进一步规范机关作风、加强机关财务管理，对单位行政运行、内部控制、会议、差旅、培训等严格按政策管理执行。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2、严格执行预算，控制各项经费支出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（1）公务用车运行费：严格执行公车管理规定，公务用车一律实行派车登记制，单位所有公车实行定点维修，IC卡加油、统一保险制度，如实登记上报公务车辆情况，严禁公车私用。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（2）公务接待费用：严格接待审批程序，严格执行凭公函接待制度、禁酒禁烟，严格控制接待标准，杜绝大吃大喝及高消费娱乐，接待总额严格控制在市纪委、市财政下达的厉行节约预算标准之内。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（4）公务卡使用情况符合相关规定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公务卡使用按有关规定执行，全局职工全覆盖，费用开支基本实现公务卡结算。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（二）专项管理情况分析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1、提高全局意识。从领导到普通干部，全面增强厉行节约、减少行政成本的意识，强化危机感和责任感，提高工作效率、节约行政成本从一点一滴做起。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加强对会议经费的管理。按要求尽量精简会议，控制会议时间、规模、人数，尽量利用机关会议室，尽量召开电视电话会议，使用多媒体，会议归口办公室统一管理，会期不超过半天，会议的人数及标准严格按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4、加强对公务车辆的管理。执行公车改革政策，规范和控制公务用车、修理等行为。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控制公务接待费用。所有接待实行公函接待和审批制，严格控制接待标准、范围和次数，层层审批，严禁使用烟酒和饮料，坚持“务实节俭、高效透明、严格标准、有利公务”的原则，严禁大吃大喝、铺张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6、严格执行政府采购。优化政府采购领域的营商环境，进一步深化财政体制改革，严格遵守政府采购制度，并按政府采购规定实施，所有耗材及办公用品均通过政府采购平台进行采购。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四、部门（单位）整体支出绩效情况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2021年，面对错综复杂的国际形势和突如其来的新冠疫情，商务粮食部门在落实常态化疫情防控的基础上，采取超常措施，拿出超常劲头，及时调度、强化服务、督促整改，聚焦聚力抓好商务粮食工作，全市商务经济呈现稳中提质、稳中有进、稳中向好态势。岳阳市获评省政府2021年度落实粮食安全省长责任制真抓实干督查激励市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通过加强预算收支的管理，不断建立健全内部管理制度，梳理内部管理流程，部门整体支出管理情况得到了提升，部门整体支出绩效情况如下：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经济性评价方面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1、本年预算配置控制较好，财政供养人员控制在预算编制以内；三公经费控制得较好，相比去年决算和年初预算都有所减少。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预算执行方面，支出总额控制在预算总额以内，除专项预算的追加和政策性工资绩效预算的追加外，本年部门预算未进行预算相关事项的调整；我局预算内专项资金在取得市财政局的年度预算批复时一同进行了下达；追加的项目专项资金在取得市财政批复后随批复及时进行了下达；转移支付在收到专项资金时及时进行了拨付；不存在专项资金截留或滞留的情况；本年财政预算资金结余较小；财政拨款支出三公经费总体控制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预算管理方面，制度执行总体较为有效，仍需进一步强化；资金使用管理需进一步加强。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3、资产管理方面：建立了资产管理制度，对全局资产进行了详细的盘点，局办公室负责资产实物的登记，做好资产实物台账，加强对资产的管理。实现了实物资产的“一物一卡一条码”，总体执行较好。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4、商务经济指标运行方面：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千方百计稳定招商引资。全市内联引资引进到位资金1161亿元，同比增长27%，总量居全省第2。引进汇川技术、融创岳阳智谷、海大生物科技“三类500强”项目26个，总投资357.7亿元，其中深圳市汇川技术股份有限公司为首次落户湖南的民营企业500强。全面实施“负面清单”，帮助外资企业平等进入。2021年全市实际利用外资4113万美元，同比增长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坚持不移推动外贸发展。积极发挥自贸区、综保区、跨境电商综试区的带动作用，通过压责任、抓重点、优服务、拓市场，对外贸易持续增长，发展势头强劲。2021年，全市完成外贸进出口612.1亿元，同比增长45.9%，总量居全省第2位，增速居全省第2位。341家外贸企业产生业绩，比上年同期增加27家；共有180家企业实现“破零倍增”。城陵矶综保区完成进出口额498.7亿元，总量稳居全省7个海关特殊监管区域首位。岳阳连续五年入围“中国外贸百强城市”，排名全国第36位，居全省第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多措并举促进消费提升。2021年来，我们认真做好疫情防控，切实改善消费环境，积极推进消费升级，创新开展促销活动，先后举办“乐享消费·悦动巴陵”消费促进活动、湘北车展、“岳阳味道”美食季等活动，消费市场呈现结构优化升级，总体稳中向好发展态势。湘阴县、岳阳县和临湘市成功获批国家电子商务进农村综合示范县,我市6个县（市）已累计获批5个。2021年，全市完成社会消费品零售总额1807.9亿元，同比增长14.9%，增速居全省第3位，新增限额以上商贸企业（已通过省级审核）153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全力以赴保障粮食安全。严格执行收购政策，全市入统企业共计收购新粮83万吨，完成2021年度各级储备粮轮换236627吨，收购地方临储粮24121吨，建立了12720吨市、县两级成品粮储备规模和2000吨市级食用油储备。组织域内粮油加工企业参加“湘赣红”年货节、“食餐会”等系列全国性展会，成功举办“岳阳大米”区域公用品牌推介会，打造了“岳阳大米”“华容稻”“黄盖香米”“长乐甜酒”“汨罗棕子”等一批粮油区域公用品牌。加强政策性粮食收储和销售出库监管，开展了政策性粮油库存、早中晚稻收购、政策性粮食销售出库以及地方储备粮等政策性执行监督检查，强化粮食质量安全监管。目前，我们正按照省粮食和物资储备局、市纪委监委和市委巡察办的要求，认真开展粮食购销领域腐败问题专项整治自查自纠、专项巡察整改工作。《湖南省岳阳市守住管好“巴陵粮仓”，筑牢粮食安全底线》入选国家粮食安全省长责任制考核工作简报落实成效专刊，向全国推介经验。岳阳获评2021年度全省落实粮食安全省长责任制真抓实干督查激励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自贸建设成效初显。岳阳自贸片区88项改革试点任务已实施75项，实施率85.2%。形成了15项“首提首批首创”创新成果，“进口转关货物内河运费不计入完税价格审价创新模式”成为全省首个国家级创新案例。新注册企业2022家，共签约项目109个，合同引资756亿元。充分发挥观盛公司“一平台两机制”贸易融资创新引领作用，累计为109家企业提供外贸融资683亿元。扎实推进极简审批改革，97项省级经济社会管理权限全部承接到位，68项行政审批实现“一件事一次办”。在全省率先颁发首张食品经营备案登记证、首张市场主体住所申报承诺制营业执照，实施全省首宗“拿地即开工”项目，率先建成一站式法律服务体系。岳阳自贸片区精准施策助力企业纾困增效获省政府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6）党的建设全面加强。扎实开展党史学习教育，市委党史学习教育第十一巡回指导组组织组内11家单位在我局召开了党史学习教育经验交流座谈会，省委党史学习教育巡回指导组第十组对我局党史学习教育给予了“部署快、活动实、台账全、配合度高”的肯定和好评。着力强化基层党组织建设，严格落实“三会一课”、“双述双评”、组织生活会等制度，常态开展“巴陵先锋党员活动日”活动。完成了7个离退休支部换届选举，对全系统25名优秀共产党员、23名优秀党务工作者、7个先进基层党组织进行了表彰奖励，对13名生活困难党员、老党员进行了走访慰问。2021年，局离退休第五党支部被评选为全省先进基层党组织，局机关第一党支部被评为“市直机关先进基层党组织”。切实抓好党建带群团建设，组织机关干部职工开展了环王家河健步行、登山活动、拔河比赛，开展了“建党百年，学史力行，我为群众办实事”活动，参加了“潇湘家书”“千名书记讲党史”“光影铸魂”电影党课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根据部门整体支出绩效评价指标体系，本局2021年度评价得分99分。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（二）效率性评价和有效性评价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社会效率和有效性评价较好。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（三）社会公众满意度评价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社会公众满意度较好。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五、存在的主要问题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通过前述对我局整体支出情况的分析，反映出目前在整体支出的预算编制、执行和管理过程中，依然存在一些问题和不足：年初未作预算安排，但本年仍实际发生了少部分支出，预算的执行有待进一步加强。针对这些不足，我局将积极采取改进措施，持续改进，不断规范和强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六、改进措施和有关建议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针对上述存在的问题及我局整体支出管理工作的需要，拟实施的改进措施如下：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细化预算编制工作，认真做好预算的编制。进一步加强局机关各科室的预算管理意识，根据我局的年度工作重点和项目专项工作规划，严格按照预算编制的相关制度和要求，本着“勤俭节约、保障运转”的原则进行预算的编制。进一步提高预算编制的科学性、合理性、严谨性和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严格三公经费支出的审核审批流程。根据中央办公厅、国务院办公厅关于进一步做好党政机关厉行节约工作的通知精神，需进一步严控三公经费支出，严格控制三公经费的规模和比例，杜绝挪用和挤占其他预算资金行为；进一步细化三公经费的管理，抓好公车的节能降耗工作，进一步压缩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5、财务分析常态化。定期做好支出预算财务分析，及时对费用预算执行情况进行通报和预警，定期对下属预算单位的预算执行情况进行检查，做好部门整体支出预算评价工作。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6、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7、在项目资金及时到位的前提下，加快项目实施进度的推进，加强项目开展进度的跟踪，开展项目绩效评价，确保项目绩效目标的完成；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8、及时开展和财政的年度结余资金的对账工作，加强和财政的沟通，尽早取得上年结余资金结转的指标批复，以便年初相关工作的开展。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9、加强财务核算工作，提高财务的精细化管理，确保财务核算的真实、及时、准确、完整。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附件2-2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岳阳市财政支出绩效评价自评报告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评价类型：项目实施过程评价□ 项目完成结果评价√□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项目名称：     2021年市本级食品风险基金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项目单位：         岳阳市商务粮食局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主管部门：       市场运行和消费促进科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评价方式：部门（单位）绩效自评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评价机构：部门（单位）评价组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报告日期：2022年6月11日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岳阳市财政局（制）</w:t>
            </w:r>
          </w:p>
          <w:tbl>
            <w:tblPr>
              <w:tblStyle w:val="3"/>
              <w:tblW w:w="7294"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1039"/>
              <w:gridCol w:w="102"/>
              <w:gridCol w:w="487"/>
              <w:gridCol w:w="86"/>
              <w:gridCol w:w="1227"/>
              <w:gridCol w:w="12"/>
              <w:gridCol w:w="405"/>
              <w:gridCol w:w="155"/>
              <w:gridCol w:w="453"/>
              <w:gridCol w:w="631"/>
              <w:gridCol w:w="209"/>
              <w:gridCol w:w="620"/>
              <w:gridCol w:w="1121"/>
              <w:gridCol w:w="681"/>
              <w:gridCol w:w="6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一、项 目 基 本 概 况</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项目负责人</w:t>
                  </w:r>
                </w:p>
              </w:tc>
              <w:tc>
                <w:tcPr>
                  <w:tcW w:w="23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周珍</w:t>
                  </w:r>
                </w:p>
              </w:tc>
              <w:tc>
                <w:tcPr>
                  <w:tcW w:w="1084"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联系电话</w:t>
                  </w:r>
                </w:p>
              </w:tc>
              <w:tc>
                <w:tcPr>
                  <w:tcW w:w="2631"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18073045681</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项目地址</w:t>
                  </w:r>
                </w:p>
              </w:tc>
              <w:tc>
                <w:tcPr>
                  <w:tcW w:w="23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市人大办公楼11楼</w:t>
                  </w:r>
                </w:p>
              </w:tc>
              <w:tc>
                <w:tcPr>
                  <w:tcW w:w="1084"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邮  编</w:t>
                  </w:r>
                </w:p>
              </w:tc>
              <w:tc>
                <w:tcPr>
                  <w:tcW w:w="2631"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项目起止时间</w:t>
                  </w:r>
                </w:p>
              </w:tc>
              <w:tc>
                <w:tcPr>
                  <w:tcW w:w="6087" w:type="dxa"/>
                  <w:gridSpan w:val="1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2021  年 1 月起 至 2021 年 12 月止</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计划安排资金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（万元）</w:t>
                  </w:r>
                </w:p>
              </w:tc>
              <w:tc>
                <w:tcPr>
                  <w:tcW w:w="57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105</w:t>
                  </w:r>
                </w:p>
              </w:tc>
              <w:tc>
                <w:tcPr>
                  <w:tcW w:w="122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实际到位资金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（万元）</w:t>
                  </w:r>
                </w:p>
              </w:tc>
              <w:tc>
                <w:tcPr>
                  <w:tcW w:w="57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105</w:t>
                  </w:r>
                </w:p>
              </w:tc>
              <w:tc>
                <w:tcPr>
                  <w:tcW w:w="129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（万元）</w:t>
                  </w:r>
                </w:p>
              </w:tc>
              <w:tc>
                <w:tcPr>
                  <w:tcW w:w="6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105</w:t>
                  </w:r>
                </w:p>
              </w:tc>
              <w:tc>
                <w:tcPr>
                  <w:tcW w:w="112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（万元）</w:t>
                  </w:r>
                </w:p>
              </w:tc>
              <w:tc>
                <w:tcPr>
                  <w:tcW w:w="74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其中：中央财政</w:t>
                  </w:r>
                </w:p>
              </w:tc>
              <w:tc>
                <w:tcPr>
                  <w:tcW w:w="57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2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其中：中央财政</w:t>
                  </w:r>
                </w:p>
              </w:tc>
              <w:tc>
                <w:tcPr>
                  <w:tcW w:w="57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9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其中：中央财政</w:t>
                  </w:r>
                </w:p>
              </w:tc>
              <w:tc>
                <w:tcPr>
                  <w:tcW w:w="62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2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其中：中央财政</w:t>
                  </w:r>
                </w:p>
              </w:tc>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省财政</w:t>
                  </w:r>
                </w:p>
              </w:tc>
              <w:tc>
                <w:tcPr>
                  <w:tcW w:w="57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2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省财政</w:t>
                  </w:r>
                </w:p>
              </w:tc>
              <w:tc>
                <w:tcPr>
                  <w:tcW w:w="57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9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省财政</w:t>
                  </w:r>
                </w:p>
              </w:tc>
              <w:tc>
                <w:tcPr>
                  <w:tcW w:w="62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2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省财政</w:t>
                  </w:r>
                </w:p>
              </w:tc>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市财政</w:t>
                  </w:r>
                </w:p>
              </w:tc>
              <w:tc>
                <w:tcPr>
                  <w:tcW w:w="57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105</w:t>
                  </w:r>
                </w:p>
              </w:tc>
              <w:tc>
                <w:tcPr>
                  <w:tcW w:w="122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市财政</w:t>
                  </w:r>
                </w:p>
              </w:tc>
              <w:tc>
                <w:tcPr>
                  <w:tcW w:w="57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105</w:t>
                  </w:r>
                </w:p>
              </w:tc>
              <w:tc>
                <w:tcPr>
                  <w:tcW w:w="129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市财政</w:t>
                  </w:r>
                </w:p>
              </w:tc>
              <w:tc>
                <w:tcPr>
                  <w:tcW w:w="62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2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市财政</w:t>
                  </w:r>
                </w:p>
              </w:tc>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0</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县市区财政</w:t>
                  </w:r>
                </w:p>
              </w:tc>
              <w:tc>
                <w:tcPr>
                  <w:tcW w:w="57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2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县市区财政</w:t>
                  </w:r>
                </w:p>
              </w:tc>
              <w:tc>
                <w:tcPr>
                  <w:tcW w:w="57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9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县市区财政</w:t>
                  </w:r>
                </w:p>
              </w:tc>
              <w:tc>
                <w:tcPr>
                  <w:tcW w:w="62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2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县市区财政</w:t>
                  </w:r>
                </w:p>
              </w:tc>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4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其它</w:t>
                  </w:r>
                </w:p>
              </w:tc>
              <w:tc>
                <w:tcPr>
                  <w:tcW w:w="57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2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其它</w:t>
                  </w:r>
                </w:p>
              </w:tc>
              <w:tc>
                <w:tcPr>
                  <w:tcW w:w="57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9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其它</w:t>
                  </w:r>
                </w:p>
              </w:tc>
              <w:tc>
                <w:tcPr>
                  <w:tcW w:w="62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12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其它</w:t>
                  </w:r>
                </w:p>
              </w:tc>
              <w:tc>
                <w:tcPr>
                  <w:tcW w:w="681"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二、项目支出明细情况</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支出内容</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实际支出数</w:t>
                  </w:r>
                </w:p>
              </w:tc>
              <w:tc>
                <w:tcPr>
                  <w:tcW w:w="1853"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会计凭证号</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备注</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生活必需品应急储备补贴资金</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15万元</w:t>
                  </w:r>
                </w:p>
              </w:tc>
              <w:tc>
                <w:tcPr>
                  <w:tcW w:w="1853"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保障重要生活必需品市场供应工作经费</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10万元</w:t>
                  </w:r>
                </w:p>
              </w:tc>
              <w:tc>
                <w:tcPr>
                  <w:tcW w:w="1853"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猪肉储备、监测工作经费</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5万元</w:t>
                  </w:r>
                </w:p>
              </w:tc>
              <w:tc>
                <w:tcPr>
                  <w:tcW w:w="1853"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猪肉储备补贴</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60万元</w:t>
                  </w:r>
                </w:p>
              </w:tc>
              <w:tc>
                <w:tcPr>
                  <w:tcW w:w="1853"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其中，市级生猪活体储备补贴30万元，市级冷冻猪肉储备补贴30万元</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支出合计</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90万元</w:t>
                  </w:r>
                </w:p>
              </w:tc>
              <w:tc>
                <w:tcPr>
                  <w:tcW w:w="1853"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剩下15万元的明细如下：市民族宗教事务局的回民补贴10万元以及机动5万元。</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三、项目绩效自评情况</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项目绩效定性目标及实施计划完成情况</w:t>
                  </w:r>
                </w:p>
              </w:tc>
              <w:tc>
                <w:tcPr>
                  <w:tcW w:w="3767" w:type="dxa"/>
                  <w:gridSpan w:val="10"/>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预  期 目 标</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实际完成</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3767" w:type="dxa"/>
                  <w:gridSpan w:val="10"/>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确保我市生活必需品市场供应充足、价格稳定。</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sz w:val="21"/>
                      <w:szCs w:val="21"/>
                      <w:lang w:eastAsia="zh-CN"/>
                    </w:rPr>
                    <w:t>我市</w:t>
                  </w:r>
                  <w:r>
                    <w:rPr>
                      <w:sz w:val="21"/>
                      <w:szCs w:val="21"/>
                    </w:rPr>
                    <w:t>生活必需品市场供应充足、价格稳定</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项目绩效定量目标（指标）及完成情况</w:t>
                  </w:r>
                </w:p>
              </w:tc>
              <w:tc>
                <w:tcPr>
                  <w:tcW w:w="67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一级指标</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二级指标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指标内容</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指标（目标）值</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实际完成值</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项目产出指标</w:t>
                  </w:r>
                </w:p>
              </w:tc>
              <w:tc>
                <w:tcPr>
                  <w:tcW w:w="1239"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数量指标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生猪活体</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7500头</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已完成7500头的生猪活体储备</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冷冻猪肉</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100吨</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已完成100吨的冻猪肉储备</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质量指标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生猪活体</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合格</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有检疫证明</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冷冻猪肉</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合格</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有检疫证明</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时效指标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2021年度</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宋体" w:eastAsiaTheme="minorEastAsia"/>
                      <w:sz w:val="21"/>
                      <w:szCs w:val="21"/>
                      <w:lang w:val="en-US" w:eastAsia="zh-CN"/>
                    </w:rPr>
                  </w:pPr>
                  <w:r>
                    <w:rPr>
                      <w:rFonts w:hint="eastAsia" w:ascii="宋体"/>
                      <w:sz w:val="21"/>
                      <w:szCs w:val="21"/>
                      <w:lang w:val="en-US" w:eastAsia="zh-CN"/>
                    </w:rPr>
                    <w:t>2021年全年</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2021年度猪肉储备均已完成</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成本指标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eastAsiaTheme="minorEastAsia"/>
                      <w:sz w:val="21"/>
                      <w:szCs w:val="21"/>
                      <w:lang w:eastAsia="zh-CN"/>
                    </w:rPr>
                  </w:pPr>
                  <w:r>
                    <w:rPr>
                      <w:rFonts w:hint="eastAsia" w:ascii="宋体"/>
                      <w:sz w:val="21"/>
                      <w:szCs w:val="21"/>
                      <w:lang w:eastAsia="zh-CN"/>
                    </w:rPr>
                    <w:t>控制在成本内</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宋体" w:eastAsiaTheme="minorEastAsia"/>
                      <w:sz w:val="21"/>
                      <w:szCs w:val="21"/>
                      <w:lang w:val="en-US" w:eastAsia="zh-CN"/>
                    </w:rPr>
                  </w:pPr>
                  <w:r>
                    <w:rPr>
                      <w:rFonts w:hint="eastAsia" w:ascii="宋体"/>
                      <w:sz w:val="21"/>
                      <w:szCs w:val="21"/>
                      <w:lang w:val="en-US" w:eastAsia="zh-CN"/>
                    </w:rPr>
                    <w:t>105万</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eastAsiaTheme="minorEastAsia"/>
                      <w:sz w:val="21"/>
                      <w:szCs w:val="21"/>
                      <w:lang w:eastAsia="zh-CN"/>
                    </w:rPr>
                  </w:pPr>
                  <w:r>
                    <w:rPr>
                      <w:rFonts w:hint="eastAsia" w:ascii="宋体"/>
                      <w:sz w:val="21"/>
                      <w:szCs w:val="21"/>
                      <w:lang w:eastAsia="zh-CN"/>
                    </w:rPr>
                    <w:t>控制在成本内</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项目效益指标</w:t>
                  </w: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r>
                    <w:rPr>
                      <w:sz w:val="21"/>
                      <w:szCs w:val="21"/>
                    </w:rPr>
                    <w:t>确保生活必需品市场价格稳定，供应充足。</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r>
                    <w:rPr>
                      <w:sz w:val="21"/>
                      <w:szCs w:val="21"/>
                    </w:rPr>
                    <w:t>确保生活必需品市场价格稳定，供应充足。</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确保了生活必需品市场价格稳定，供应充足。</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r>
                    <w:rPr>
                      <w:sz w:val="21"/>
                      <w:szCs w:val="21"/>
                    </w:rPr>
                    <w:t>确保我市市民对美好生活的需求</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r>
                    <w:rPr>
                      <w:sz w:val="21"/>
                      <w:szCs w:val="21"/>
                    </w:rPr>
                    <w:t>确保我市市民对美好生活的需求</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确保了我市市民对美好生活的需求。</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eastAsiaTheme="minorEastAsia"/>
                      <w:sz w:val="21"/>
                      <w:szCs w:val="21"/>
                      <w:lang w:eastAsia="zh-CN"/>
                    </w:rPr>
                  </w:pPr>
                  <w:r>
                    <w:rPr>
                      <w:rFonts w:hint="eastAsia" w:ascii="宋体"/>
                      <w:sz w:val="21"/>
                      <w:szCs w:val="21"/>
                      <w:lang w:eastAsia="zh-CN"/>
                    </w:rPr>
                    <w:t>环境无污染</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r>
                    <w:rPr>
                      <w:rFonts w:hint="eastAsia" w:ascii="宋体"/>
                      <w:sz w:val="21"/>
                      <w:szCs w:val="21"/>
                      <w:lang w:eastAsia="zh-CN"/>
                    </w:rPr>
                    <w:t>环境无污染</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r>
                    <w:rPr>
                      <w:rFonts w:hint="eastAsia" w:ascii="宋体"/>
                      <w:sz w:val="21"/>
                      <w:szCs w:val="21"/>
                      <w:lang w:eastAsia="zh-CN"/>
                    </w:rPr>
                    <w:t>环境无污染</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服务对象满意度指标</w:t>
                  </w: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eastAsiaTheme="minorEastAsia"/>
                      <w:sz w:val="21"/>
                      <w:szCs w:val="21"/>
                      <w:lang w:eastAsia="zh-CN"/>
                    </w:rPr>
                  </w:pPr>
                  <w:r>
                    <w:rPr>
                      <w:rFonts w:hint="eastAsia" w:ascii="宋体"/>
                      <w:sz w:val="21"/>
                      <w:szCs w:val="21"/>
                      <w:lang w:eastAsia="zh-CN"/>
                    </w:rPr>
                    <w:t>收益对象满意度</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default" w:ascii="宋体" w:eastAsiaTheme="minorEastAsia"/>
                      <w:sz w:val="21"/>
                      <w:szCs w:val="21"/>
                      <w:lang w:val="en-US" w:eastAsia="zh-CN"/>
                    </w:rPr>
                  </w:pPr>
                  <w:r>
                    <w:rPr>
                      <w:rFonts w:hint="eastAsia" w:ascii="宋体"/>
                      <w:sz w:val="21"/>
                      <w:szCs w:val="21"/>
                      <w:lang w:eastAsia="zh-CN"/>
                    </w:rPr>
                    <w:t>≥</w:t>
                  </w:r>
                  <w:r>
                    <w:rPr>
                      <w:rFonts w:hint="eastAsia" w:ascii="宋体"/>
                      <w:sz w:val="21"/>
                      <w:szCs w:val="21"/>
                      <w:lang w:val="en-US" w:eastAsia="zh-CN"/>
                    </w:rPr>
                    <w:t>95</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sz w:val="21"/>
                      <w:szCs w:val="21"/>
                      <w:lang w:eastAsia="zh-CN"/>
                    </w:rPr>
                    <w:t>≥</w:t>
                  </w:r>
                  <w:r>
                    <w:rPr>
                      <w:rFonts w:hint="eastAsia" w:ascii="宋体"/>
                      <w:sz w:val="21"/>
                      <w:szCs w:val="21"/>
                      <w:lang w:val="en-US" w:eastAsia="zh-CN"/>
                    </w:rPr>
                    <w:t>95</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75"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239"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013"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绩效自评综合得分</w:t>
                  </w:r>
                </w:p>
              </w:tc>
              <w:tc>
                <w:tcPr>
                  <w:tcW w:w="5514" w:type="dxa"/>
                  <w:gridSpan w:val="10"/>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100分</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714"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评价等次</w:t>
                  </w:r>
                </w:p>
              </w:tc>
              <w:tc>
                <w:tcPr>
                  <w:tcW w:w="5514" w:type="dxa"/>
                  <w:gridSpan w:val="10"/>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优秀</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四、评价人员</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28"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姓名</w:t>
                  </w:r>
                </w:p>
              </w:tc>
              <w:tc>
                <w:tcPr>
                  <w:tcW w:w="17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职称/职务</w:t>
                  </w:r>
                </w:p>
              </w:tc>
              <w:tc>
                <w:tcPr>
                  <w:tcW w:w="1448"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单  位</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签字</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28"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周珍</w:t>
                  </w:r>
                </w:p>
              </w:tc>
              <w:tc>
                <w:tcPr>
                  <w:tcW w:w="17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市场运行和消费促进科科长</w:t>
                  </w:r>
                </w:p>
              </w:tc>
              <w:tc>
                <w:tcPr>
                  <w:tcW w:w="1448"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岳阳市商务粮食局</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28"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余锦平</w:t>
                  </w:r>
                </w:p>
              </w:tc>
              <w:tc>
                <w:tcPr>
                  <w:tcW w:w="17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市场运行和消费促进科科员</w:t>
                  </w:r>
                </w:p>
              </w:tc>
              <w:tc>
                <w:tcPr>
                  <w:tcW w:w="1448"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岳阳市商务粮食局</w:t>
                  </w: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628"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730"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1448"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42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评价组组长（签字）：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项目单位负责人（签章）：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主管部门意见：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主管部门负责人（签章）：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228" w:type="dxa"/>
                  <w:gridSpan w:val="14"/>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财政部门归口业务科室意见：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财政部门归口业务科室负责人（签章）：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年   月   日</w:t>
                  </w:r>
                </w:p>
              </w:tc>
              <w:tc>
                <w:tcPr>
                  <w:tcW w:w="6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pPr>
            <w:r>
              <w:rPr>
                <w:rFonts w:hint="eastAsia" w:ascii="宋体" w:hAnsi="宋体" w:eastAsia="宋体" w:cs="宋体"/>
                <w:i w:val="0"/>
                <w:iCs w:val="0"/>
                <w:caps w:val="0"/>
                <w:color w:val="000000"/>
                <w:spacing w:val="0"/>
                <w:sz w:val="21"/>
                <w:szCs w:val="21"/>
              </w:rPr>
              <w:t>填报人（签名）：</w:t>
            </w:r>
            <w:r>
              <w:rPr>
                <w:rFonts w:hint="eastAsia" w:ascii="宋体" w:hAnsi="宋体" w:eastAsia="宋体" w:cs="宋体"/>
                <w:i w:val="0"/>
                <w:iCs w:val="0"/>
                <w:caps w:val="0"/>
                <w:color w:val="000000"/>
                <w:spacing w:val="0"/>
                <w:sz w:val="21"/>
                <w:szCs w:val="21"/>
                <w:lang w:eastAsia="zh-CN"/>
              </w:rPr>
              <w:t>周珍</w:t>
            </w:r>
            <w:r>
              <w:rPr>
                <w:rFonts w:hint="eastAsia" w:ascii="宋体" w:hAnsi="宋体" w:eastAsia="宋体" w:cs="宋体"/>
                <w:i w:val="0"/>
                <w:iCs w:val="0"/>
                <w:caps w:val="0"/>
                <w:color w:val="000000"/>
                <w:spacing w:val="0"/>
                <w:sz w:val="21"/>
                <w:szCs w:val="21"/>
              </w:rPr>
              <w:t>         联系电话：</w:t>
            </w:r>
            <w:r>
              <w:rPr>
                <w:sz w:val="21"/>
                <w:szCs w:val="21"/>
              </w:rPr>
              <w:t>18073045681</w:t>
            </w:r>
          </w:p>
          <w:tbl>
            <w:tblPr>
              <w:tblStyle w:val="3"/>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29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9360" w:type="dxa"/>
                  <w:tcBorders>
                    <w:top w:val="outset" w:color="000000" w:sz="6" w:space="0"/>
                    <w:left w:val="outset" w:color="000000" w:sz="6" w:space="0"/>
                    <w:bottom w:val="outset" w:color="000000" w:sz="6" w:space="0"/>
                    <w:right w:val="outset"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五、评价报告综述（文字部分）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2021年度市本级食品风险基金安排了105万元。具体安排如下：一是食品供应补贴35万元，其中市民族宗教事务局的回民补贴10万元，生活必需品应急储备补贴资金15万元，保障重要生活必需品市场供应工作经费10万元。二是牲猪活体储备补贴65万元，其中储备、监测工作经费5万元，市级牲猪活体储备任务7500头、30万元，市级冷冻猪肉储备任务100吨、30万元。三是机动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（二）项目资金使用及综合评价结论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为进一步规范专项资金管理，强化绩效和责任意识，切实提高市本级食品风险基金使用效益，市本级食品风险基金拨付严格按照程序进行，即单位申报、市商务粮食局初审、市财政局复审、财政集中支付。自评结果表明，我局对市本级食品风险资金使用规范、管理有序、监管有力、效果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（三）项目主要绩效情况分析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1、强化生活必需品市场监测工作。下发《岳阳市中心城区疫情防控非常时期生活必需品应急保供预案》，成立</w:t>
                  </w:r>
                  <w:bookmarkStart w:id="0" w:name="_Hlk31460815"/>
                  <w:r>
                    <w:rPr>
                      <w:color w:val="252525"/>
                      <w:sz w:val="21"/>
                      <w:szCs w:val="21"/>
                      <w:u w:val="none"/>
                    </w:rPr>
                    <w:t>了保障生活必需品供应联</w:t>
                  </w:r>
                  <w:bookmarkEnd w:id="0"/>
                  <w:r>
                    <w:rPr>
                      <w:sz w:val="21"/>
                      <w:szCs w:val="21"/>
                    </w:rPr>
                    <w:t>席会议制度，对应急保供的问题实行会商和交办制。加强日常监测。每日跟踪蔬菜、肉类、粮油等生活必需品市场运行情况，密切关注市场供求、价格变化，确保市场供需平衡、价格稳定；同时，通过我局官网、今日头条等平台，及时公开发布重点生活必需品和生产资料市场数据、分析预测，进一步服务居民消费，引导企业生产，促进供需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强化生活必需品供应渠道畅通。一是确保蔬菜供应。以岳阳海吉星国际农产品物流园为龙头，以我市君山、华容、临湘蔬菜种植基地作后备采购来源，确保元旦春节期间中心城区蔬菜市场日成交量100万公斤左右。目前，海吉星市场130个蔬菜批发档户全部租赁经营，全部经营外地菜。同时，设立了本地菜经营区，有65户固定经营户，另有散户30多户，当前货源稳定，日均交易量约1100吨。如发生严重灾害，保供应有四层保障。一是长沙、武汉海吉星等内部调剂、调运；二是经营户的稳定供货商及种植基地供货；三是库存保障，市场动态库存保证在1000吨以上，可满足一天供应；四是本地蔬菜供应充足，我市君山、华容、临湘等本地蔬菜种植面积约70万亩，各类应季蔬菜品种齐全，可确保岳阳市场供应。二是确保猪肉供应。我市猪源供应充足，我市中心城区定点屠宰点湖南海泰食品有限公司与12个生猪交易大户签订了保供应合同，与山东、河南、河北、东北三省一批大中型生猪养殖场建立了良好的购销合作关系，货源稳定。海泰公司实行代宰模式，目前市中心城区每天生猪消费量为780头左右，海泰公司日均屠宰220头左右，其余由代宰商在周边屠（私）宰点代宰。如发生灾害，我市猪肉供应保障为：一是开辟生活必需品保供企业运输绿色通道，保证外地猪调得进；二是本地猪供应，目前，我市本地猪年出栏量约200万头，如发生严重疫情，完全可满足我市市场供应，但价格会比北方猪略高；三是猪肉储备保障，我市省级和市本级猪肉储备1275吨（含生猪活体7500头折合375吨），按最新标准成人每人每天115克计算，可保证中心城区130万人9天的供应量。三是鼓励创新消费。鼓励居民生活服务企业采用团购式、体验式、上门式、配送式等线上到线下融合发展模式，实现多元化发展。目前，步步高、大润发、天虹、喜盈田、沃尔玛、悦购等超市均开通了线上购物服务，兴盛优选、美团优选、橙心优选等社区电商团购发展迅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强化储备保障体系。我市已经建立较为完善的生活必需品供应保障体系，重点关注猪肉市场供应情况，实行冻猪肉和生猪活体常年储备、自动轮换和投放制度。2021年度市级牲猪活体储备任务7500头以及市本级冷冻猪肉储备任务100吨均已于2021年度完成储备。同时，2021年我市省级冷冻猪肉储备任务800吨，已全部完成。形成了活体储备和冻肉储备相互结合的储备体系，确保储备能够“储得进、管得好、调得出、用得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（四）主要经验及做法、存在问题和建议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前，新冠疫情并没有结束，一是市场监测的工作一直在加强，二是我市猪肉储备的任务只能增加不能减少，而且猪肉储备的资金目前都是通过市本级食品风险资金支出，所以建议市财政局加大对市本级食品风险基金的支持力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附件3-2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项目支出绩效评价指标体系（参考样表）</w:t>
            </w:r>
          </w:p>
          <w:tbl>
            <w:tblPr>
              <w:tblStyle w:val="3"/>
              <w:tblW w:w="0" w:type="auto"/>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512"/>
              <w:gridCol w:w="472"/>
              <w:gridCol w:w="512"/>
              <w:gridCol w:w="473"/>
              <w:gridCol w:w="574"/>
              <w:gridCol w:w="473"/>
              <w:gridCol w:w="1771"/>
              <w:gridCol w:w="1887"/>
              <w:gridCol w:w="6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分值</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分值</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分值</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具体指标</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评价标准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项目决策</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20</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项目目标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内容</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设立了项目绩效目标；目标明确；目标细化；目标量化</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①设有目标（1分）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②目标明确（1分）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③目标细化（1分）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④目标量化（1分）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决策过程</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依据</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有关法律法规的明确规定；某一经济社会发展规划；某部门年度工作计划；某一实际问题和需求</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①符合法律法规（1分）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②符合经济社会发展规划（1分）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③部门年度工作计划（1分）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④针对某一实际问题和需求（1分）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以上③需提供佐证资料。</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程序</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项目符合申报条件；申报、批复程序符合相关管理办法；项目调整履行了相应手续</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①符合申报条件（2分）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②项目申报、批复程序符合管理办法（1分）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③项目调整履行了相应手续（1分）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资金分配</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办法</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根据需要制定的相关资金管理办法；管理办法中有明确资金分配办法；资金分配因素全面、合理</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①有相应的资金管理办法（1分）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②办法健全、规范（1分）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③因素全面合理（1分）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以上①需提供佐证资料。</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结果</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资金分配符合相关管理办法；分配结果公平合理</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①符合分配办法（2分）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②分配公平合理（3分）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此项需提供相应的资金分配方案。</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项目管理</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15</w:t>
                  </w: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资金到位</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到位率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实际到位/计划到位*100%</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根据项目资金的实际到位率计算得分（3分）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时效</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资金及时到位；若未及时到位，是否影响项目进度</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①到位及时（2分）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②不及时但未影响项目进度 （1分）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③不及时并影响项目进度（0.5分）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资金管理</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使用</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7</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支出依据合规，无虚列项目支出情况；无截留挤占挪用情况；无超标准开支情况；无超预算情况</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①虚列套取扣4-7分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②依据不合规扣2分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③截留、挤占、挪用扣3-6分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④超标准开支扣2-5分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⑤超预算扣2-5分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管理</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资金管理、费用支出等制度健全；制度执行严格；会计核算规范</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①财务制度健全（1分）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②严格执行制度（1分）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③会计核算规范（1分）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以上①需提供佐证资料。</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项目管理</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w:t>
                  </w: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组织实施</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机构</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机构健全、分工明确</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①机构健全、分工明确  （1分）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条件</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项目实施单位是否提供或具备了必备的人员、场地和设备等条件</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具备人员、场地、设备条件（1分）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实施</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项目按计划开工；按计划进度开展；按计划完工</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①按计划开工（1分）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②按计划开展（1分）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③按计划完工（1分）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制度</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项目管理制度健全；严格执行相关管理制度</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①管理制度健全（2分）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②制度执行严格（3分）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以上①需提供佐证资料。</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分值</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分值</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指标</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分值</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具体指标</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评价标准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项目绩效</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55</w:t>
                  </w: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项目产出</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15</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数量</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目标完成率=目标完成数/预定目标数×100%</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完成绩效目标100%得5分，未完成100%的同比例扣减。</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质量</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目标完成质量=实际达到的效果/预定目标×100%</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项目产出质量达到绩效目标100%得4分，未完成100%的同比例扣减。</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时效</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项目资金使用的预定目标是否如期完成，未完成的理由是否充分</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项目产出时效达到绩效目标得3分，未如期完成且无充分理由的扣3分。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成本</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项目产出成本是否按绩效目标控制</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项目产出成本按绩效目标控制得3分，未完成的，按超支比例扣减。</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项目效果</w:t>
                  </w:r>
                </w:p>
              </w:tc>
              <w:tc>
                <w:tcPr>
                  <w:tcW w:w="54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40</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效益</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指项目对国民经济和区域经济发展所带来的直接或间接效益等</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完成绩效目标设定的经济效益得8分，未完成的，按完成情况酌情扣分。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效益</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项目实施是否产生社会综合效益</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完成绩效目标设定的社会效益得8分，未完成的，按完成情况酌情扣分。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效益</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项目实施是否对环境产生积极或消极影响</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完成绩效目标设定的积极的环境效益得8分，未完成的，按完成情况酌情扣分。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影响</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项目实施对人、自然、资源是否带来可持续影响</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完成绩效设定目标的得8分，未完成的，按完成情况酌情扣分。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满意度</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服务对象满意率=项目区被调查人数中表示满意的人数(户数)/ 被调查人数(户数)×100%</w:t>
                  </w: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满意率达90%（含）以上的得8分，80%（含）-90%得6分，70%（含）-80%得4分，60%（含）-70%得2分，60%以下不得分。</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总分</w:t>
                  </w: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100</w:t>
                  </w:r>
                </w:p>
              </w:tc>
              <w:tc>
                <w:tcPr>
                  <w:tcW w:w="69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100</w:t>
                  </w: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54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100</w:t>
                  </w:r>
                </w:p>
              </w:tc>
              <w:tc>
                <w:tcPr>
                  <w:tcW w:w="240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2760"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sz w:val="21"/>
                      <w:szCs w:val="21"/>
                    </w:rPr>
                  </w:pPr>
                </w:p>
              </w:tc>
              <w:tc>
                <w:tcPr>
                  <w:tcW w:w="79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sz w:val="21"/>
                      <w:szCs w:val="21"/>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rPr>
              <w:t>备注：部门（单位）根据项目实际，在《项目支出绩效评价指标体系（参考样表）》上进一步完善、量化、细化个性指标，形成本项目的指标体系。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C71FB"/>
    <w:rsid w:val="736D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2022-09-26T08:53:00Z</dcterms:created>
  <dc:creator>Administrator</dc:creator>
  <cp:lastModifiedBy>周琳</cp:lastModifiedBy>
  <dcterms:modified xsi:type="dcterms:W3CDTF">2023-09-21T09:14:28Z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A6D254AC1A69444997D226FA7C1728F1</vt:lpwstr>
  </property>
</Properties>
</file>