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firstLine="723" w:firstLineChars="200"/>
        <w:jc w:val="center"/>
        <w:textAlignment w:val="center"/>
        <w:rPr>
          <w:b/>
          <w:bCs/>
          <w:sz w:val="36"/>
          <w:szCs w:val="36"/>
        </w:rPr>
      </w:pPr>
      <w:r>
        <w:rPr>
          <w:rFonts w:hint="eastAsia"/>
          <w:b/>
          <w:bCs/>
          <w:sz w:val="36"/>
          <w:szCs w:val="36"/>
        </w:rPr>
        <w:t>202</w:t>
      </w:r>
      <w:r>
        <w:rPr>
          <w:rFonts w:hint="eastAsia"/>
          <w:b/>
          <w:bCs/>
          <w:sz w:val="36"/>
          <w:szCs w:val="36"/>
          <w:lang w:val="en-US" w:eastAsia="zh-CN"/>
        </w:rPr>
        <w:t>1</w:t>
      </w:r>
      <w:r>
        <w:rPr>
          <w:rFonts w:hint="eastAsia"/>
          <w:b/>
          <w:bCs/>
          <w:sz w:val="36"/>
          <w:szCs w:val="36"/>
        </w:rPr>
        <w:t>年度</w:t>
      </w:r>
    </w:p>
    <w:p>
      <w:pPr>
        <w:keepNext w:val="0"/>
        <w:keepLines w:val="0"/>
        <w:pageBreakBefore w:val="0"/>
        <w:widowControl w:val="0"/>
        <w:kinsoku/>
        <w:wordWrap/>
        <w:overflowPunct/>
        <w:topLinePunct w:val="0"/>
        <w:autoSpaceDE/>
        <w:autoSpaceDN/>
        <w:bidi w:val="0"/>
        <w:adjustRightInd/>
        <w:snapToGrid/>
        <w:spacing w:line="560" w:lineRule="exact"/>
        <w:ind w:firstLine="723" w:firstLineChars="200"/>
        <w:jc w:val="center"/>
        <w:textAlignment w:val="center"/>
        <w:rPr>
          <w:rFonts w:hint="eastAsia"/>
          <w:b/>
          <w:bCs/>
          <w:sz w:val="36"/>
          <w:szCs w:val="36"/>
        </w:rPr>
      </w:pPr>
      <w:r>
        <w:rPr>
          <w:rFonts w:hint="eastAsia"/>
          <w:b/>
          <w:bCs/>
          <w:sz w:val="36"/>
          <w:szCs w:val="36"/>
          <w:lang w:eastAsia="zh-CN"/>
        </w:rPr>
        <w:t>岳阳市交通运输综合行政执法支队</w:t>
      </w:r>
      <w:r>
        <w:rPr>
          <w:rFonts w:hint="eastAsia"/>
          <w:b/>
          <w:bCs/>
          <w:sz w:val="36"/>
          <w:szCs w:val="36"/>
        </w:rPr>
        <w:t>部门决算</w:t>
      </w:r>
    </w:p>
    <w:p>
      <w:pPr>
        <w:keepNext w:val="0"/>
        <w:keepLines w:val="0"/>
        <w:pageBreakBefore w:val="0"/>
        <w:widowControl w:val="0"/>
        <w:kinsoku/>
        <w:wordWrap/>
        <w:overflowPunct/>
        <w:topLinePunct w:val="0"/>
        <w:autoSpaceDE/>
        <w:autoSpaceDN/>
        <w:bidi w:val="0"/>
        <w:adjustRightInd/>
        <w:snapToGrid/>
        <w:spacing w:line="560" w:lineRule="exact"/>
        <w:ind w:firstLine="4200" w:firstLineChars="1500"/>
        <w:textAlignment w:val="center"/>
        <w:rPr>
          <w:rFonts w:hint="eastAsia"/>
          <w:sz w:val="28"/>
          <w:szCs w:val="28"/>
        </w:rPr>
      </w:pPr>
      <w:r>
        <w:rPr>
          <w:rFonts w:hint="eastAsia"/>
          <w:sz w:val="28"/>
          <w:szCs w:val="28"/>
        </w:rPr>
        <w:t>目录</w:t>
      </w:r>
    </w:p>
    <w:p>
      <w:pPr>
        <w:keepNext w:val="0"/>
        <w:keepLines w:val="0"/>
        <w:pageBreakBefore w:val="0"/>
        <w:widowControl w:val="0"/>
        <w:kinsoku/>
        <w:wordWrap/>
        <w:overflowPunct/>
        <w:topLinePunct w:val="0"/>
        <w:autoSpaceDE/>
        <w:autoSpaceDN/>
        <w:bidi w:val="0"/>
        <w:adjustRightInd/>
        <w:snapToGrid/>
        <w:spacing w:line="560" w:lineRule="exact"/>
        <w:ind w:firstLine="3640" w:firstLineChars="1300"/>
        <w:textAlignment w:val="center"/>
        <w:rPr>
          <w:rFonts w:hint="eastAsia"/>
          <w:sz w:val="28"/>
          <w:szCs w:val="28"/>
        </w:rPr>
      </w:pPr>
      <w:r>
        <w:rPr>
          <w:rFonts w:hint="eastAsia"/>
          <w:sz w:val="28"/>
          <w:szCs w:val="28"/>
        </w:rPr>
        <w:t>第一部分</w:t>
      </w:r>
    </w:p>
    <w:p>
      <w:pPr>
        <w:keepNext w:val="0"/>
        <w:keepLines w:val="0"/>
        <w:pageBreakBefore w:val="0"/>
        <w:widowControl w:val="0"/>
        <w:kinsoku/>
        <w:wordWrap/>
        <w:overflowPunct/>
        <w:topLinePunct w:val="0"/>
        <w:autoSpaceDE/>
        <w:autoSpaceDN/>
        <w:bidi w:val="0"/>
        <w:adjustRightInd/>
        <w:snapToGrid/>
        <w:spacing w:line="560" w:lineRule="exact"/>
        <w:ind w:firstLine="840" w:firstLineChars="300"/>
        <w:textAlignment w:val="center"/>
        <w:rPr>
          <w:sz w:val="28"/>
          <w:szCs w:val="28"/>
        </w:rPr>
      </w:pPr>
      <w:r>
        <w:rPr>
          <w:rFonts w:hint="eastAsia"/>
          <w:sz w:val="28"/>
          <w:szCs w:val="28"/>
          <w:lang w:eastAsia="zh-CN"/>
        </w:rPr>
        <w:t>岳阳市交通运输综合行政执法支队</w:t>
      </w:r>
      <w:r>
        <w:rPr>
          <w:rFonts w:hint="eastAsia"/>
          <w:sz w:val="28"/>
          <w:szCs w:val="28"/>
        </w:rPr>
        <w:t>概况</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center"/>
        <w:rPr>
          <w:sz w:val="28"/>
          <w:szCs w:val="28"/>
        </w:rPr>
      </w:pPr>
      <w:r>
        <w:rPr>
          <w:sz w:val="28"/>
          <w:szCs w:val="28"/>
        </w:rPr>
        <w:t>一、部门职责</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center"/>
        <w:rPr>
          <w:sz w:val="28"/>
          <w:szCs w:val="28"/>
        </w:rPr>
      </w:pPr>
      <w:r>
        <w:rPr>
          <w:sz w:val="28"/>
          <w:szCs w:val="28"/>
        </w:rPr>
        <w:t>二、机构设置</w:t>
      </w:r>
    </w:p>
    <w:p>
      <w:pPr>
        <w:keepNext w:val="0"/>
        <w:keepLines w:val="0"/>
        <w:pageBreakBefore w:val="0"/>
        <w:widowControl w:val="0"/>
        <w:kinsoku/>
        <w:wordWrap/>
        <w:overflowPunct/>
        <w:topLinePunct w:val="0"/>
        <w:autoSpaceDE/>
        <w:autoSpaceDN/>
        <w:bidi w:val="0"/>
        <w:adjustRightInd/>
        <w:snapToGrid/>
        <w:spacing w:line="560" w:lineRule="exact"/>
        <w:ind w:firstLine="3640" w:firstLineChars="1300"/>
        <w:textAlignment w:val="center"/>
        <w:rPr>
          <w:rFonts w:hint="eastAsia"/>
          <w:sz w:val="28"/>
          <w:szCs w:val="28"/>
        </w:rPr>
      </w:pPr>
      <w:r>
        <w:rPr>
          <w:rFonts w:hint="eastAsia"/>
          <w:sz w:val="28"/>
          <w:szCs w:val="28"/>
        </w:rPr>
        <w:t>第二部分</w:t>
      </w:r>
    </w:p>
    <w:p>
      <w:pPr>
        <w:keepNext w:val="0"/>
        <w:keepLines w:val="0"/>
        <w:pageBreakBefore w:val="0"/>
        <w:widowControl w:val="0"/>
        <w:kinsoku/>
        <w:wordWrap/>
        <w:overflowPunct/>
        <w:topLinePunct w:val="0"/>
        <w:autoSpaceDE/>
        <w:autoSpaceDN/>
        <w:bidi w:val="0"/>
        <w:adjustRightInd/>
        <w:snapToGrid/>
        <w:spacing w:line="560" w:lineRule="exact"/>
        <w:ind w:firstLine="840" w:firstLineChars="300"/>
        <w:textAlignment w:val="center"/>
        <w:rPr>
          <w:sz w:val="28"/>
          <w:szCs w:val="28"/>
        </w:rPr>
      </w:pPr>
      <w:r>
        <w:rPr>
          <w:rFonts w:hint="eastAsia"/>
          <w:sz w:val="28"/>
          <w:szCs w:val="28"/>
          <w:lang w:eastAsia="zh-CN"/>
        </w:rPr>
        <w:t>岳阳市交通运输综合行政执法支队</w:t>
      </w:r>
      <w:r>
        <w:rPr>
          <w:sz w:val="28"/>
          <w:szCs w:val="28"/>
        </w:rPr>
        <w:t>20</w:t>
      </w:r>
      <w:r>
        <w:rPr>
          <w:rFonts w:hint="eastAsia"/>
          <w:sz w:val="28"/>
          <w:szCs w:val="28"/>
        </w:rPr>
        <w:t>2</w:t>
      </w:r>
      <w:r>
        <w:rPr>
          <w:rFonts w:hint="eastAsia"/>
          <w:sz w:val="28"/>
          <w:szCs w:val="28"/>
          <w:lang w:val="en-US" w:eastAsia="zh-CN"/>
        </w:rPr>
        <w:t>1</w:t>
      </w:r>
      <w:r>
        <w:rPr>
          <w:rFonts w:hint="eastAsia"/>
          <w:sz w:val="28"/>
          <w:szCs w:val="28"/>
        </w:rPr>
        <w:t>年度部门决算表</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center"/>
        <w:rPr>
          <w:sz w:val="28"/>
          <w:szCs w:val="28"/>
        </w:rPr>
      </w:pPr>
      <w:r>
        <w:rPr>
          <w:sz w:val="28"/>
          <w:szCs w:val="28"/>
        </w:rPr>
        <w:t>一、收入支出决算总表</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center"/>
        <w:rPr>
          <w:sz w:val="28"/>
          <w:szCs w:val="28"/>
        </w:rPr>
      </w:pPr>
      <w:r>
        <w:rPr>
          <w:sz w:val="28"/>
          <w:szCs w:val="28"/>
        </w:rPr>
        <w:t>二、收入决算表</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center"/>
        <w:rPr>
          <w:sz w:val="28"/>
          <w:szCs w:val="28"/>
        </w:rPr>
      </w:pPr>
      <w:r>
        <w:rPr>
          <w:sz w:val="28"/>
          <w:szCs w:val="28"/>
        </w:rPr>
        <w:t>三、支出决算表</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center"/>
        <w:rPr>
          <w:sz w:val="28"/>
          <w:szCs w:val="28"/>
        </w:rPr>
      </w:pPr>
      <w:r>
        <w:rPr>
          <w:sz w:val="28"/>
          <w:szCs w:val="28"/>
        </w:rPr>
        <w:t>四、财政拨款收入支出决算总表</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center"/>
        <w:rPr>
          <w:sz w:val="28"/>
          <w:szCs w:val="28"/>
        </w:rPr>
      </w:pPr>
      <w:r>
        <w:rPr>
          <w:sz w:val="28"/>
          <w:szCs w:val="28"/>
        </w:rPr>
        <w:t>五、一般公共预算财政拨款支出决算表</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center"/>
        <w:rPr>
          <w:sz w:val="28"/>
          <w:szCs w:val="28"/>
        </w:rPr>
      </w:pPr>
      <w:r>
        <w:rPr>
          <w:sz w:val="28"/>
          <w:szCs w:val="28"/>
        </w:rPr>
        <w:t>六、一般公共预算财政拨款基本支出决算表</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center"/>
        <w:rPr>
          <w:sz w:val="28"/>
          <w:szCs w:val="28"/>
        </w:rPr>
      </w:pPr>
      <w:r>
        <w:rPr>
          <w:sz w:val="28"/>
          <w:szCs w:val="28"/>
        </w:rPr>
        <w:t>七、一般公共预算财政拨款“三公”经费支出决算表</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center"/>
        <w:rPr>
          <w:sz w:val="28"/>
          <w:szCs w:val="28"/>
        </w:rPr>
      </w:pPr>
      <w:r>
        <w:rPr>
          <w:sz w:val="28"/>
          <w:szCs w:val="28"/>
        </w:rPr>
        <w:t>八、政府性基金预算财政拨款收入支出决算表</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center"/>
        <w:rPr>
          <w:sz w:val="28"/>
          <w:szCs w:val="28"/>
        </w:rPr>
      </w:pPr>
      <w:r>
        <w:rPr>
          <w:rFonts w:hint="eastAsia"/>
          <w:sz w:val="28"/>
          <w:szCs w:val="28"/>
        </w:rPr>
        <w:t>九、国有资本经营预算财政拨款支出决算表</w:t>
      </w:r>
    </w:p>
    <w:p>
      <w:pPr>
        <w:keepNext w:val="0"/>
        <w:keepLines w:val="0"/>
        <w:pageBreakBefore w:val="0"/>
        <w:widowControl w:val="0"/>
        <w:kinsoku/>
        <w:wordWrap/>
        <w:overflowPunct/>
        <w:topLinePunct w:val="0"/>
        <w:autoSpaceDE/>
        <w:autoSpaceDN/>
        <w:bidi w:val="0"/>
        <w:adjustRightInd/>
        <w:snapToGrid/>
        <w:spacing w:line="560" w:lineRule="exact"/>
        <w:ind w:firstLine="3360" w:firstLineChars="1200"/>
        <w:textAlignment w:val="center"/>
        <w:rPr>
          <w:rFonts w:hint="eastAsia"/>
          <w:sz w:val="28"/>
          <w:szCs w:val="28"/>
        </w:rPr>
      </w:pPr>
      <w:r>
        <w:rPr>
          <w:rFonts w:hint="eastAsia"/>
          <w:sz w:val="28"/>
          <w:szCs w:val="28"/>
        </w:rPr>
        <w:t>第三部分</w:t>
      </w:r>
    </w:p>
    <w:p>
      <w:pPr>
        <w:keepNext w:val="0"/>
        <w:keepLines w:val="0"/>
        <w:pageBreakBefore w:val="0"/>
        <w:widowControl w:val="0"/>
        <w:kinsoku/>
        <w:wordWrap/>
        <w:overflowPunct/>
        <w:topLinePunct w:val="0"/>
        <w:autoSpaceDE/>
        <w:autoSpaceDN/>
        <w:bidi w:val="0"/>
        <w:adjustRightInd/>
        <w:snapToGrid/>
        <w:spacing w:line="560" w:lineRule="exact"/>
        <w:textAlignment w:val="center"/>
        <w:rPr>
          <w:sz w:val="28"/>
          <w:szCs w:val="28"/>
        </w:rPr>
      </w:pPr>
      <w:r>
        <w:rPr>
          <w:rFonts w:hint="eastAsia"/>
          <w:sz w:val="28"/>
          <w:szCs w:val="28"/>
          <w:lang w:eastAsia="zh-CN"/>
        </w:rPr>
        <w:t>岳阳市交通运输综合行政执法支队</w:t>
      </w:r>
      <w:r>
        <w:rPr>
          <w:sz w:val="28"/>
          <w:szCs w:val="28"/>
        </w:rPr>
        <w:t>20</w:t>
      </w:r>
      <w:r>
        <w:rPr>
          <w:rFonts w:hint="eastAsia"/>
          <w:sz w:val="28"/>
          <w:szCs w:val="28"/>
        </w:rPr>
        <w:t>2</w:t>
      </w:r>
      <w:r>
        <w:rPr>
          <w:rFonts w:hint="eastAsia"/>
          <w:sz w:val="28"/>
          <w:szCs w:val="28"/>
          <w:lang w:val="en-US" w:eastAsia="zh-CN"/>
        </w:rPr>
        <w:t>1</w:t>
      </w:r>
      <w:r>
        <w:rPr>
          <w:rFonts w:hint="eastAsia"/>
          <w:sz w:val="28"/>
          <w:szCs w:val="28"/>
        </w:rPr>
        <w:t>年度部门决算情况说明</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center"/>
        <w:rPr>
          <w:sz w:val="28"/>
          <w:szCs w:val="28"/>
        </w:rPr>
      </w:pPr>
      <w:r>
        <w:rPr>
          <w:sz w:val="28"/>
          <w:szCs w:val="28"/>
        </w:rPr>
        <w:t>一、收入支出决算总体情况说明</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center"/>
        <w:rPr>
          <w:sz w:val="28"/>
          <w:szCs w:val="28"/>
        </w:rPr>
      </w:pPr>
      <w:r>
        <w:rPr>
          <w:sz w:val="28"/>
          <w:szCs w:val="28"/>
        </w:rPr>
        <w:t>二、收入决算情况说明</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center"/>
        <w:rPr>
          <w:sz w:val="28"/>
          <w:szCs w:val="28"/>
        </w:rPr>
      </w:pPr>
      <w:r>
        <w:rPr>
          <w:sz w:val="28"/>
          <w:szCs w:val="28"/>
        </w:rPr>
        <w:t>三、支出决算情况说明</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center"/>
        <w:rPr>
          <w:sz w:val="28"/>
          <w:szCs w:val="28"/>
        </w:rPr>
      </w:pPr>
      <w:r>
        <w:rPr>
          <w:sz w:val="28"/>
          <w:szCs w:val="28"/>
        </w:rPr>
        <w:t>四、财政拨款收入支出决算总体情况说明</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center"/>
        <w:rPr>
          <w:sz w:val="28"/>
          <w:szCs w:val="28"/>
        </w:rPr>
      </w:pPr>
      <w:r>
        <w:rPr>
          <w:sz w:val="28"/>
          <w:szCs w:val="28"/>
        </w:rPr>
        <w:t>五、一般公共预算财政拨款支出决算情况说明</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center"/>
        <w:rPr>
          <w:sz w:val="28"/>
          <w:szCs w:val="28"/>
        </w:rPr>
      </w:pPr>
      <w:r>
        <w:rPr>
          <w:sz w:val="28"/>
          <w:szCs w:val="28"/>
        </w:rPr>
        <w:t>六、一般公共预算财政拨款基本支出决算情况说明</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center"/>
        <w:rPr>
          <w:sz w:val="28"/>
          <w:szCs w:val="28"/>
        </w:rPr>
      </w:pPr>
      <w:r>
        <w:rPr>
          <w:sz w:val="28"/>
          <w:szCs w:val="28"/>
        </w:rPr>
        <w:t>七、一般公共预算财政拨款三公经费支出决算情况说明</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center"/>
        <w:rPr>
          <w:sz w:val="28"/>
          <w:szCs w:val="28"/>
        </w:rPr>
      </w:pPr>
      <w:r>
        <w:rPr>
          <w:rFonts w:hint="eastAsia"/>
          <w:sz w:val="28"/>
          <w:szCs w:val="28"/>
        </w:rPr>
        <w:t>八</w:t>
      </w:r>
      <w:r>
        <w:rPr>
          <w:sz w:val="28"/>
          <w:szCs w:val="28"/>
        </w:rPr>
        <w:t>、</w:t>
      </w:r>
      <w:r>
        <w:rPr>
          <w:rFonts w:hint="eastAsia"/>
          <w:sz w:val="28"/>
          <w:szCs w:val="28"/>
        </w:rPr>
        <w:t>政府性基金预算收入支出决算情况</w:t>
      </w:r>
    </w:p>
    <w:p>
      <w:pPr>
        <w:keepNext w:val="0"/>
        <w:keepLines w:val="0"/>
        <w:pageBreakBefore w:val="0"/>
        <w:widowControl w:val="0"/>
        <w:kinsoku/>
        <w:wordWrap/>
        <w:overflowPunct/>
        <w:topLinePunct w:val="0"/>
        <w:autoSpaceDE/>
        <w:autoSpaceDN/>
        <w:bidi w:val="0"/>
        <w:adjustRightInd/>
        <w:snapToGrid/>
        <w:spacing w:line="560" w:lineRule="exact"/>
        <w:ind w:firstLine="280" w:firstLineChars="100"/>
        <w:textAlignment w:val="center"/>
        <w:rPr>
          <w:sz w:val="28"/>
          <w:szCs w:val="28"/>
        </w:rPr>
      </w:pPr>
      <w:r>
        <w:rPr>
          <w:rFonts w:hint="eastAsia"/>
          <w:sz w:val="28"/>
          <w:szCs w:val="28"/>
        </w:rPr>
        <w:t xml:space="preserve"> </w:t>
      </w:r>
      <w:r>
        <w:rPr>
          <w:rFonts w:hint="eastAsia"/>
          <w:sz w:val="28"/>
          <w:szCs w:val="28"/>
          <w:lang w:val="en-US" w:eastAsia="zh-CN"/>
        </w:rPr>
        <w:t xml:space="preserve"> </w:t>
      </w:r>
      <w:r>
        <w:rPr>
          <w:rFonts w:hint="eastAsia"/>
          <w:sz w:val="28"/>
          <w:szCs w:val="28"/>
        </w:rPr>
        <w:t>九、国有资本经营预算财政拨款支出决算情况</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center"/>
        <w:rPr>
          <w:sz w:val="28"/>
          <w:szCs w:val="28"/>
        </w:rPr>
      </w:pPr>
      <w:r>
        <w:rPr>
          <w:rFonts w:hint="eastAsia"/>
          <w:sz w:val="28"/>
          <w:szCs w:val="28"/>
        </w:rPr>
        <w:t xml:space="preserve"> 十、关于机关运行经费支出说明</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center"/>
        <w:rPr>
          <w:sz w:val="28"/>
          <w:szCs w:val="28"/>
        </w:rPr>
      </w:pPr>
      <w:r>
        <w:rPr>
          <w:rFonts w:hint="eastAsia"/>
          <w:sz w:val="28"/>
          <w:szCs w:val="28"/>
        </w:rPr>
        <w:t xml:space="preserve"> 十一、一般性支出情况</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center"/>
        <w:rPr>
          <w:sz w:val="28"/>
          <w:szCs w:val="28"/>
        </w:rPr>
      </w:pPr>
      <w:r>
        <w:rPr>
          <w:rFonts w:hint="eastAsia"/>
          <w:sz w:val="28"/>
          <w:szCs w:val="28"/>
        </w:rPr>
        <w:t xml:space="preserve"> 十二、关于政府采购支出说明</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center"/>
        <w:rPr>
          <w:sz w:val="28"/>
          <w:szCs w:val="28"/>
        </w:rPr>
      </w:pPr>
      <w:r>
        <w:rPr>
          <w:rFonts w:hint="eastAsia"/>
          <w:sz w:val="28"/>
          <w:szCs w:val="28"/>
        </w:rPr>
        <w:t xml:space="preserve"> 十三、关于国有资产占用情况说明</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center"/>
        <w:rPr>
          <w:sz w:val="28"/>
          <w:szCs w:val="28"/>
        </w:rPr>
      </w:pPr>
      <w:r>
        <w:rPr>
          <w:rFonts w:hint="eastAsia"/>
          <w:sz w:val="28"/>
          <w:szCs w:val="28"/>
        </w:rPr>
        <w:t xml:space="preserve"> 十四、关于202</w:t>
      </w:r>
      <w:r>
        <w:rPr>
          <w:rFonts w:hint="eastAsia"/>
          <w:sz w:val="28"/>
          <w:szCs w:val="28"/>
          <w:lang w:val="en-US" w:eastAsia="zh-CN"/>
        </w:rPr>
        <w:t>1</w:t>
      </w:r>
      <w:r>
        <w:rPr>
          <w:rFonts w:hint="eastAsia"/>
          <w:sz w:val="28"/>
          <w:szCs w:val="28"/>
        </w:rPr>
        <w:t>年度预算绩效情况的说明</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center"/>
        <w:rPr>
          <w:sz w:val="28"/>
          <w:szCs w:val="28"/>
        </w:rPr>
      </w:pPr>
      <w:r>
        <w:rPr>
          <w:sz w:val="28"/>
          <w:szCs w:val="28"/>
        </w:rPr>
        <w:t>第四部分</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center"/>
        <w:rPr>
          <w:sz w:val="28"/>
          <w:szCs w:val="28"/>
        </w:rPr>
      </w:pPr>
      <w:r>
        <w:rPr>
          <w:sz w:val="28"/>
          <w:szCs w:val="28"/>
        </w:rPr>
        <w:t>名词解释</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center"/>
        <w:rPr>
          <w:rFonts w:hint="eastAsia"/>
          <w:sz w:val="28"/>
          <w:szCs w:val="28"/>
        </w:rPr>
      </w:pPr>
      <w:r>
        <w:rPr>
          <w:rFonts w:hint="eastAsia"/>
          <w:sz w:val="28"/>
          <w:szCs w:val="28"/>
        </w:rPr>
        <w:t>第五部分</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center"/>
        <w:rPr>
          <w:sz w:val="28"/>
          <w:szCs w:val="28"/>
        </w:rPr>
      </w:pPr>
      <w:r>
        <w:rPr>
          <w:rFonts w:hint="eastAsia"/>
          <w:sz w:val="28"/>
          <w:szCs w:val="28"/>
        </w:rPr>
        <w:t>附件</w:t>
      </w:r>
    </w:p>
    <w:p>
      <w:pPr>
        <w:keepNext w:val="0"/>
        <w:keepLines w:val="0"/>
        <w:pageBreakBefore w:val="0"/>
        <w:widowControl w:val="0"/>
        <w:kinsoku/>
        <w:wordWrap/>
        <w:overflowPunct/>
        <w:topLinePunct w:val="0"/>
        <w:autoSpaceDE/>
        <w:autoSpaceDN/>
        <w:bidi w:val="0"/>
        <w:adjustRightInd/>
        <w:snapToGrid/>
        <w:spacing w:line="560" w:lineRule="exact"/>
        <w:ind w:firstLine="3253" w:firstLineChars="900"/>
        <w:textAlignment w:val="center"/>
        <w:rPr>
          <w:b/>
          <w:bCs/>
          <w:sz w:val="36"/>
          <w:szCs w:val="36"/>
        </w:rPr>
      </w:pPr>
      <w:r>
        <w:rPr>
          <w:rFonts w:hint="eastAsia"/>
          <w:b/>
          <w:bCs/>
          <w:sz w:val="36"/>
          <w:szCs w:val="36"/>
        </w:rPr>
        <w:t>第一部分</w:t>
      </w:r>
      <w:r>
        <w:rPr>
          <w:b/>
          <w:bCs/>
          <w:sz w:val="36"/>
          <w:szCs w:val="36"/>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723" w:firstLineChars="200"/>
        <w:textAlignment w:val="center"/>
        <w:rPr>
          <w:b/>
          <w:bCs/>
          <w:sz w:val="36"/>
          <w:szCs w:val="36"/>
        </w:rPr>
      </w:pPr>
      <w:r>
        <w:rPr>
          <w:rFonts w:hint="eastAsia"/>
          <w:b/>
          <w:bCs/>
          <w:sz w:val="36"/>
          <w:szCs w:val="36"/>
          <w:lang w:eastAsia="zh-CN"/>
        </w:rPr>
        <w:t>岳阳市交通运输综合行政执法支队</w:t>
      </w:r>
      <w:r>
        <w:rPr>
          <w:rFonts w:hint="eastAsia"/>
          <w:b/>
          <w:bCs/>
          <w:sz w:val="36"/>
          <w:szCs w:val="36"/>
        </w:rPr>
        <w:t>单位概况</w:t>
      </w:r>
    </w:p>
    <w:p>
      <w:pPr>
        <w:keepNext w:val="0"/>
        <w:keepLines w:val="0"/>
        <w:pageBreakBefore w:val="0"/>
        <w:widowControl w:val="0"/>
        <w:kinsoku/>
        <w:wordWrap/>
        <w:overflowPunct/>
        <w:topLinePunct w:val="0"/>
        <w:autoSpaceDE/>
        <w:autoSpaceDN/>
        <w:bidi w:val="0"/>
        <w:adjustRightInd/>
        <w:snapToGrid/>
        <w:spacing w:line="560" w:lineRule="exact"/>
        <w:textAlignment w:val="center"/>
        <w:rPr>
          <w:sz w:val="28"/>
          <w:szCs w:val="28"/>
        </w:rPr>
      </w:pPr>
      <w:r>
        <w:rPr>
          <w:rFonts w:hint="eastAsia"/>
          <w:sz w:val="28"/>
          <w:szCs w:val="28"/>
          <w:lang w:eastAsia="zh-CN"/>
        </w:rPr>
        <w:t>一、</w:t>
      </w:r>
      <w:r>
        <w:rPr>
          <w:sz w:val="28"/>
          <w:szCs w:val="28"/>
        </w:rPr>
        <w:t>部门职责</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center"/>
        <w:rPr>
          <w:rFonts w:hint="eastAsia"/>
          <w:sz w:val="28"/>
          <w:szCs w:val="28"/>
        </w:rPr>
      </w:pPr>
      <w:r>
        <w:rPr>
          <w:rFonts w:hint="eastAsia"/>
          <w:sz w:val="28"/>
          <w:szCs w:val="28"/>
        </w:rPr>
        <w:t xml:space="preserve"> </w:t>
      </w:r>
      <w:r>
        <w:rPr>
          <w:rFonts w:hint="eastAsia"/>
          <w:sz w:val="28"/>
          <w:szCs w:val="28"/>
          <w:lang w:eastAsia="zh-CN"/>
        </w:rPr>
        <w:t>岳阳</w:t>
      </w:r>
      <w:r>
        <w:rPr>
          <w:rFonts w:hint="eastAsia"/>
          <w:sz w:val="28"/>
          <w:szCs w:val="28"/>
        </w:rPr>
        <w:t>市交通运输综合</w:t>
      </w:r>
      <w:r>
        <w:rPr>
          <w:rFonts w:hint="eastAsia"/>
          <w:sz w:val="28"/>
          <w:szCs w:val="28"/>
          <w:lang w:eastAsia="zh-CN"/>
        </w:rPr>
        <w:t>行政</w:t>
      </w:r>
      <w:r>
        <w:rPr>
          <w:rFonts w:hint="eastAsia"/>
          <w:sz w:val="28"/>
          <w:szCs w:val="28"/>
        </w:rPr>
        <w:t>执法支队为</w:t>
      </w:r>
      <w:r>
        <w:rPr>
          <w:rFonts w:hint="eastAsia"/>
          <w:sz w:val="28"/>
          <w:szCs w:val="28"/>
          <w:lang w:eastAsia="zh-CN"/>
        </w:rPr>
        <w:t>副处级</w:t>
      </w:r>
      <w:r>
        <w:rPr>
          <w:rFonts w:hint="eastAsia"/>
          <w:sz w:val="28"/>
          <w:szCs w:val="28"/>
        </w:rPr>
        <w:t>财政全额预算单位</w:t>
      </w:r>
      <w:r>
        <w:rPr>
          <w:rFonts w:hint="eastAsia"/>
          <w:sz w:val="28"/>
          <w:szCs w:val="28"/>
          <w:lang w:eastAsia="zh-CN"/>
        </w:rPr>
        <w:t>，</w:t>
      </w:r>
      <w:r>
        <w:rPr>
          <w:rFonts w:hint="eastAsia"/>
          <w:sz w:val="28"/>
          <w:szCs w:val="28"/>
        </w:rPr>
        <w:t>主要职责</w:t>
      </w:r>
      <w:r>
        <w:rPr>
          <w:rFonts w:hint="eastAsia"/>
          <w:sz w:val="28"/>
          <w:szCs w:val="28"/>
          <w:lang w:eastAsia="zh-CN"/>
        </w:rPr>
        <w:t>是</w:t>
      </w:r>
      <w:r>
        <w:rPr>
          <w:rFonts w:hint="eastAsia"/>
          <w:sz w:val="28"/>
          <w:szCs w:val="28"/>
        </w:rPr>
        <w:t>：</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center"/>
        <w:rPr>
          <w:rFonts w:hint="eastAsia"/>
          <w:sz w:val="28"/>
          <w:szCs w:val="28"/>
        </w:rPr>
      </w:pPr>
      <w:r>
        <w:rPr>
          <w:rFonts w:hint="eastAsia"/>
          <w:sz w:val="28"/>
          <w:szCs w:val="28"/>
        </w:rPr>
        <w:t>（一）宣传贯彻执行国家、</w:t>
      </w:r>
      <w:r>
        <w:rPr>
          <w:rFonts w:hint="eastAsia"/>
          <w:sz w:val="28"/>
          <w:szCs w:val="28"/>
          <w:lang w:val="en-US" w:eastAsia="zh-CN"/>
        </w:rPr>
        <w:t>省、市</w:t>
      </w:r>
      <w:r>
        <w:rPr>
          <w:rFonts w:hint="eastAsia"/>
          <w:sz w:val="28"/>
          <w:szCs w:val="28"/>
        </w:rPr>
        <w:t>和上级交通主管部门有关交通运输行政执法（含道路运输、公路路政、城市客运、交通工程质量安全监督</w:t>
      </w:r>
      <w:r>
        <w:rPr>
          <w:rFonts w:hint="eastAsia"/>
          <w:sz w:val="28"/>
          <w:szCs w:val="28"/>
          <w:lang w:val="en-US" w:eastAsia="zh-CN"/>
        </w:rPr>
        <w:t>等</w:t>
      </w:r>
      <w:r>
        <w:rPr>
          <w:rFonts w:hint="eastAsia"/>
          <w:sz w:val="28"/>
          <w:szCs w:val="28"/>
        </w:rPr>
        <w:t>）</w:t>
      </w:r>
      <w:r>
        <w:rPr>
          <w:rFonts w:hint="eastAsia"/>
          <w:sz w:val="28"/>
          <w:szCs w:val="28"/>
          <w:lang w:val="en-US" w:eastAsia="zh-CN"/>
        </w:rPr>
        <w:t>的方针、政策和法律法规规章</w:t>
      </w:r>
      <w:r>
        <w:rPr>
          <w:rFonts w:hint="eastAsia"/>
          <w:sz w:val="28"/>
          <w:szCs w:val="28"/>
          <w:lang w:eastAsia="zh-CN"/>
        </w:rPr>
        <w:t>；</w:t>
      </w:r>
      <w:r>
        <w:rPr>
          <w:rFonts w:hint="eastAsia"/>
          <w:sz w:val="28"/>
          <w:szCs w:val="28"/>
          <w:lang w:val="en-US" w:eastAsia="zh-CN"/>
        </w:rPr>
        <w:t>参与拟订全市交通运输综合行政执法相关的地方性法规、规章和规范性文件草案；参与编制全市交通运输综合行政执法规划；拟定全市交通运输综合行政执法工作计划，并组织实施</w:t>
      </w:r>
      <w:r>
        <w:rPr>
          <w:rFonts w:hint="eastAsia"/>
          <w:sz w:val="28"/>
          <w:szCs w:val="28"/>
        </w:rPr>
        <w:t>。</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center"/>
        <w:rPr>
          <w:rFonts w:hint="eastAsia"/>
          <w:sz w:val="28"/>
          <w:szCs w:val="28"/>
        </w:rPr>
      </w:pPr>
      <w:r>
        <w:rPr>
          <w:rFonts w:hint="eastAsia"/>
          <w:sz w:val="28"/>
          <w:szCs w:val="28"/>
        </w:rPr>
        <w:t>（二）依法</w:t>
      </w:r>
      <w:r>
        <w:rPr>
          <w:rFonts w:hint="eastAsia"/>
          <w:sz w:val="28"/>
          <w:szCs w:val="28"/>
          <w:lang w:val="en-US" w:eastAsia="zh-CN"/>
        </w:rPr>
        <w:t>行使</w:t>
      </w:r>
      <w:r>
        <w:rPr>
          <w:rFonts w:hint="eastAsia"/>
          <w:sz w:val="28"/>
          <w:szCs w:val="28"/>
        </w:rPr>
        <w:t>有关</w:t>
      </w:r>
      <w:r>
        <w:rPr>
          <w:rFonts w:hint="eastAsia"/>
          <w:sz w:val="28"/>
          <w:szCs w:val="28"/>
          <w:lang w:val="en-US" w:eastAsia="zh-CN"/>
        </w:rPr>
        <w:t>法律法规赋予的公路路政、道路运政</w:t>
      </w:r>
      <w:r>
        <w:rPr>
          <w:rFonts w:hint="eastAsia"/>
          <w:sz w:val="28"/>
          <w:szCs w:val="28"/>
        </w:rPr>
        <w:t>、城市客运、交通工程质量安全监督</w:t>
      </w:r>
      <w:r>
        <w:rPr>
          <w:rFonts w:hint="eastAsia"/>
          <w:sz w:val="28"/>
          <w:szCs w:val="28"/>
          <w:lang w:val="en-US" w:eastAsia="zh-CN"/>
        </w:rPr>
        <w:t>等交通运输领域</w:t>
      </w:r>
      <w:r>
        <w:rPr>
          <w:rFonts w:hint="eastAsia"/>
          <w:sz w:val="28"/>
          <w:szCs w:val="28"/>
        </w:rPr>
        <w:t>的</w:t>
      </w:r>
      <w:r>
        <w:rPr>
          <w:rFonts w:hint="eastAsia"/>
          <w:sz w:val="28"/>
          <w:szCs w:val="28"/>
          <w:lang w:val="en-US" w:eastAsia="zh-CN"/>
        </w:rPr>
        <w:t>行政处罚权以及与</w:t>
      </w:r>
      <w:r>
        <w:rPr>
          <w:rFonts w:hint="eastAsia"/>
          <w:sz w:val="28"/>
          <w:szCs w:val="28"/>
        </w:rPr>
        <w:t>行政强制处罚</w:t>
      </w:r>
      <w:r>
        <w:rPr>
          <w:rFonts w:hint="eastAsia"/>
          <w:sz w:val="28"/>
          <w:szCs w:val="28"/>
          <w:lang w:val="en-US" w:eastAsia="zh-CN"/>
        </w:rPr>
        <w:t>相关的行政检查、行政强制权等行政执法职能</w:t>
      </w:r>
      <w:r>
        <w:rPr>
          <w:rFonts w:hint="eastAsia"/>
          <w:sz w:val="28"/>
          <w:szCs w:val="28"/>
        </w:rPr>
        <w:t>。</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center"/>
        <w:rPr>
          <w:rFonts w:hint="eastAsia"/>
          <w:sz w:val="28"/>
          <w:szCs w:val="28"/>
          <w:lang w:val="en-US" w:eastAsia="zh-CN"/>
        </w:rPr>
      </w:pPr>
      <w:r>
        <w:rPr>
          <w:rFonts w:hint="eastAsia"/>
          <w:sz w:val="28"/>
          <w:szCs w:val="28"/>
        </w:rPr>
        <w:t>（三）负责全市交通运输综合行政执法的组织、指挥、协调</w:t>
      </w:r>
      <w:r>
        <w:rPr>
          <w:rFonts w:hint="eastAsia"/>
          <w:sz w:val="28"/>
          <w:szCs w:val="28"/>
          <w:lang w:eastAsia="zh-CN"/>
        </w:rPr>
        <w:t>；</w:t>
      </w:r>
      <w:r>
        <w:rPr>
          <w:rFonts w:hint="eastAsia"/>
          <w:sz w:val="28"/>
          <w:szCs w:val="28"/>
          <w:lang w:val="en-US" w:eastAsia="zh-CN"/>
        </w:rPr>
        <w:t>依法制定全市交通运输综合行政执法的程序、标准、规定并组织实施；负责全市重大复杂交通运输违法案件、跨县（市、区）交通运输违法案件，全市境内107国道和高速公路的路政和运政违法案件，辖区水上交通运输违法案件，市中心城区（含岳阳楼区、岳阳经济技术开发区、南湖新区、湖南城陵矶新港区）的公路路政、道路运政</w:t>
      </w:r>
      <w:r>
        <w:rPr>
          <w:rFonts w:hint="eastAsia"/>
          <w:sz w:val="28"/>
          <w:szCs w:val="28"/>
        </w:rPr>
        <w:t>、城市客运、交通工程质量安全监督</w:t>
      </w:r>
      <w:r>
        <w:rPr>
          <w:rFonts w:hint="eastAsia"/>
          <w:sz w:val="28"/>
          <w:szCs w:val="28"/>
          <w:lang w:val="en-US" w:eastAsia="zh-CN"/>
        </w:rPr>
        <w:t>等违法案件的查处；承担交通运输综合行政执法有关信访举报、服务投诉及违章抄告等事项的受理、处理等工作。</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center"/>
        <w:rPr>
          <w:rFonts w:hint="eastAsia"/>
          <w:sz w:val="28"/>
          <w:szCs w:val="28"/>
          <w:lang w:val="en-US" w:eastAsia="zh-CN"/>
        </w:rPr>
      </w:pPr>
      <w:r>
        <w:rPr>
          <w:rFonts w:hint="eastAsia"/>
          <w:sz w:val="28"/>
          <w:szCs w:val="28"/>
        </w:rPr>
        <w:t>（四）负责</w:t>
      </w:r>
      <w:r>
        <w:rPr>
          <w:rFonts w:hint="eastAsia"/>
          <w:sz w:val="28"/>
          <w:szCs w:val="28"/>
          <w:lang w:val="en-US" w:eastAsia="zh-CN"/>
        </w:rPr>
        <w:t>依法对交通运输市场主体及从业人员的经营行为实施监督检查，纠正违章违规经营行为，治理货运车辆超限运输，联合整治非法营运，维护交通运输市场秩序。</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center"/>
        <w:rPr>
          <w:rFonts w:hint="eastAsia"/>
          <w:sz w:val="28"/>
          <w:szCs w:val="28"/>
          <w:lang w:val="en-US" w:eastAsia="zh-CN"/>
        </w:rPr>
      </w:pPr>
      <w:r>
        <w:rPr>
          <w:rFonts w:hint="eastAsia"/>
          <w:sz w:val="28"/>
          <w:szCs w:val="28"/>
        </w:rPr>
        <w:t>（五）</w:t>
      </w:r>
      <w:r>
        <w:rPr>
          <w:rFonts w:hint="eastAsia"/>
          <w:sz w:val="28"/>
          <w:szCs w:val="28"/>
          <w:lang w:val="en-US" w:eastAsia="zh-CN"/>
        </w:rPr>
        <w:t>组织或参与跨行业、跨地区联合执法行动。</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center"/>
        <w:rPr>
          <w:rFonts w:hint="eastAsia"/>
          <w:sz w:val="28"/>
          <w:szCs w:val="28"/>
        </w:rPr>
      </w:pPr>
      <w:r>
        <w:rPr>
          <w:rFonts w:hint="eastAsia"/>
          <w:sz w:val="28"/>
          <w:szCs w:val="28"/>
        </w:rPr>
        <w:t>（</w:t>
      </w:r>
      <w:r>
        <w:rPr>
          <w:rFonts w:hint="eastAsia"/>
          <w:sz w:val="28"/>
          <w:szCs w:val="28"/>
          <w:lang w:eastAsia="zh-CN"/>
        </w:rPr>
        <w:t>六</w:t>
      </w:r>
      <w:r>
        <w:rPr>
          <w:rFonts w:hint="eastAsia"/>
          <w:sz w:val="28"/>
          <w:szCs w:val="28"/>
        </w:rPr>
        <w:t>）</w:t>
      </w:r>
      <w:r>
        <w:rPr>
          <w:rFonts w:hint="eastAsia"/>
          <w:sz w:val="28"/>
          <w:szCs w:val="28"/>
          <w:lang w:val="en-US" w:eastAsia="zh-CN"/>
        </w:rPr>
        <w:t>参与</w:t>
      </w:r>
      <w:r>
        <w:rPr>
          <w:rFonts w:hint="eastAsia"/>
          <w:sz w:val="28"/>
          <w:szCs w:val="28"/>
        </w:rPr>
        <w:t>全市节假日运输、重大物资运输、抢险救灾、交通战备等应急运输保障工作；配合相关部门做好联合运输工作。</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center"/>
        <w:rPr>
          <w:rFonts w:hint="eastAsia"/>
          <w:sz w:val="28"/>
          <w:szCs w:val="28"/>
        </w:rPr>
      </w:pPr>
      <w:r>
        <w:rPr>
          <w:rFonts w:hint="eastAsia"/>
          <w:sz w:val="28"/>
          <w:szCs w:val="28"/>
        </w:rPr>
        <w:t>（</w:t>
      </w:r>
      <w:r>
        <w:rPr>
          <w:rFonts w:hint="eastAsia"/>
          <w:sz w:val="28"/>
          <w:szCs w:val="28"/>
          <w:lang w:eastAsia="zh-CN"/>
        </w:rPr>
        <w:t>七</w:t>
      </w:r>
      <w:r>
        <w:rPr>
          <w:rFonts w:hint="eastAsia"/>
          <w:sz w:val="28"/>
          <w:szCs w:val="28"/>
        </w:rPr>
        <w:t>）完成上级部门交办的其他工作。</w:t>
      </w:r>
    </w:p>
    <w:p>
      <w:pPr>
        <w:keepNext w:val="0"/>
        <w:keepLines w:val="0"/>
        <w:pageBreakBefore w:val="0"/>
        <w:widowControl w:val="0"/>
        <w:kinsoku/>
        <w:wordWrap/>
        <w:overflowPunct/>
        <w:topLinePunct w:val="0"/>
        <w:autoSpaceDE/>
        <w:autoSpaceDN/>
        <w:bidi w:val="0"/>
        <w:adjustRightInd/>
        <w:snapToGrid/>
        <w:spacing w:line="560" w:lineRule="exact"/>
        <w:textAlignment w:val="center"/>
        <w:rPr>
          <w:rFonts w:hint="eastAsia" w:eastAsiaTheme="minorEastAsia"/>
          <w:sz w:val="28"/>
          <w:szCs w:val="28"/>
          <w:lang w:eastAsia="zh-CN"/>
        </w:rPr>
      </w:pPr>
      <w:r>
        <w:rPr>
          <w:rFonts w:hint="eastAsia"/>
          <w:sz w:val="28"/>
          <w:szCs w:val="28"/>
        </w:rPr>
        <w:t>二、机构设置</w:t>
      </w:r>
      <w:r>
        <w:rPr>
          <w:rFonts w:hint="eastAsia"/>
          <w:sz w:val="28"/>
          <w:szCs w:val="28"/>
          <w:lang w:eastAsia="zh-CN"/>
        </w:rPr>
        <w:t>及决算单位构成</w:t>
      </w:r>
    </w:p>
    <w:p>
      <w:pPr>
        <w:spacing w:line="600" w:lineRule="exact"/>
        <w:ind w:firstLine="560" w:firstLineChars="200"/>
        <w:rPr>
          <w:rFonts w:hint="eastAsia" w:asciiTheme="minorEastAsia" w:hAnsiTheme="minorEastAsia" w:eastAsiaTheme="minorEastAsia" w:cstheme="minorEastAsia"/>
          <w:b w:val="0"/>
          <w:bCs w:val="0"/>
          <w:sz w:val="28"/>
          <w:szCs w:val="28"/>
        </w:rPr>
      </w:pPr>
      <w:r>
        <w:rPr>
          <w:rFonts w:hint="eastAsia" w:ascii="仿宋" w:hAnsi="仿宋" w:eastAsia="仿宋" w:cs="仿宋"/>
          <w:b w:val="0"/>
          <w:bCs w:val="0"/>
          <w:sz w:val="28"/>
          <w:szCs w:val="28"/>
          <w:lang w:eastAsia="zh-CN"/>
        </w:rPr>
        <w:t>（</w:t>
      </w:r>
      <w:r>
        <w:rPr>
          <w:rFonts w:hint="eastAsia" w:asciiTheme="minorEastAsia" w:hAnsiTheme="minorEastAsia" w:eastAsiaTheme="minorEastAsia" w:cstheme="minorEastAsia"/>
          <w:b w:val="0"/>
          <w:bCs w:val="0"/>
          <w:sz w:val="28"/>
          <w:szCs w:val="28"/>
          <w:lang w:eastAsia="zh-CN"/>
        </w:rPr>
        <w:t>一）机构设置：我</w:t>
      </w:r>
      <w:r>
        <w:rPr>
          <w:rFonts w:hint="eastAsia" w:asciiTheme="minorEastAsia" w:hAnsiTheme="minorEastAsia" w:eastAsiaTheme="minorEastAsia" w:cstheme="minorEastAsia"/>
          <w:b w:val="0"/>
          <w:bCs w:val="0"/>
          <w:sz w:val="28"/>
          <w:szCs w:val="28"/>
        </w:rPr>
        <w:t>单位内设11个科室，分别为综合科、人事科、财务科、后勤装备科、党委办公室、离退休人员管理服务科</w:t>
      </w:r>
      <w:r>
        <w:rPr>
          <w:rFonts w:hint="eastAsia" w:asciiTheme="minorEastAsia" w:hAnsiTheme="minorEastAsia" w:eastAsiaTheme="minorEastAsia" w:cstheme="minorEastAsia"/>
          <w:b w:val="0"/>
          <w:bCs w:val="0"/>
          <w:sz w:val="28"/>
          <w:szCs w:val="28"/>
          <w:lang w:eastAsia="zh-CN"/>
        </w:rPr>
        <w:t>、</w:t>
      </w:r>
      <w:r>
        <w:rPr>
          <w:rFonts w:hint="eastAsia" w:asciiTheme="minorEastAsia" w:hAnsiTheme="minorEastAsia" w:eastAsiaTheme="minorEastAsia" w:cstheme="minorEastAsia"/>
          <w:b w:val="0"/>
          <w:bCs w:val="0"/>
          <w:sz w:val="28"/>
          <w:szCs w:val="28"/>
        </w:rPr>
        <w:t>安全科、执法协调科、运输市场秩序科、路域环境科、质量信誉科。下设1</w:t>
      </w:r>
      <w:r>
        <w:rPr>
          <w:rFonts w:hint="eastAsia" w:asciiTheme="minorEastAsia" w:hAnsiTheme="minorEastAsia" w:eastAsiaTheme="minorEastAsia" w:cstheme="minorEastAsia"/>
          <w:b w:val="0"/>
          <w:bCs w:val="0"/>
          <w:sz w:val="28"/>
          <w:szCs w:val="28"/>
          <w:lang w:val="en-US" w:eastAsia="zh-CN"/>
        </w:rPr>
        <w:t>6</w:t>
      </w:r>
      <w:r>
        <w:rPr>
          <w:rFonts w:hint="eastAsia" w:asciiTheme="minorEastAsia" w:hAnsiTheme="minorEastAsia" w:eastAsiaTheme="minorEastAsia" w:cstheme="minorEastAsia"/>
          <w:b w:val="0"/>
          <w:bCs w:val="0"/>
          <w:sz w:val="28"/>
          <w:szCs w:val="28"/>
        </w:rPr>
        <w:t>个直属机构，分别为直属一大队、直属二大队、直属三大队、公路路政执法大队、高速公路执法大队、超限治理执法大队、客运执法大队、货运物流执法大队、公交执法大队、交通工程建设执法大队、驾培维修执法大队、法制大队、机动应急大队、行政处罚中心、信息指挥与投诉受理中心</w:t>
      </w:r>
      <w:r>
        <w:rPr>
          <w:rFonts w:hint="eastAsia" w:asciiTheme="minorEastAsia" w:hAnsiTheme="minorEastAsia" w:eastAsiaTheme="minorEastAsia" w:cstheme="minorEastAsia"/>
          <w:b w:val="0"/>
          <w:bCs w:val="0"/>
          <w:sz w:val="28"/>
          <w:szCs w:val="28"/>
          <w:lang w:eastAsia="zh-CN"/>
        </w:rPr>
        <w:t>、</w:t>
      </w:r>
      <w:r>
        <w:rPr>
          <w:rFonts w:hint="eastAsia" w:asciiTheme="minorEastAsia" w:hAnsiTheme="minorEastAsia" w:eastAsiaTheme="minorEastAsia" w:cstheme="minorEastAsia"/>
          <w:b w:val="0"/>
          <w:bCs w:val="0"/>
          <w:kern w:val="0"/>
          <w:sz w:val="28"/>
          <w:szCs w:val="28"/>
          <w:lang w:eastAsia="zh-CN"/>
        </w:rPr>
        <w:t>水上交通执法大队。</w:t>
      </w:r>
    </w:p>
    <w:p>
      <w:pPr>
        <w:pStyle w:val="6"/>
        <w:widowControl/>
        <w:shd w:val="clear" w:fill="FFFFFF"/>
        <w:spacing w:before="0" w:beforeAutospacing="0" w:after="0" w:afterAutospacing="0" w:line="480" w:lineRule="auto"/>
        <w:ind w:right="0" w:firstLine="280" w:firstLineChars="100"/>
        <w:jc w:val="both"/>
        <w:rPr>
          <w:rFonts w:hint="eastAsia" w:asciiTheme="minorEastAsia" w:hAnsiTheme="minorEastAsia" w:eastAsiaTheme="minorEastAsia" w:cstheme="minorEastAsia"/>
          <w:color w:val="000000"/>
          <w:sz w:val="28"/>
          <w:szCs w:val="28"/>
          <w:shd w:val="clear" w:fill="FFFFFF"/>
          <w:lang w:val="en-US"/>
        </w:rPr>
      </w:pPr>
      <w:r>
        <w:rPr>
          <w:rFonts w:hint="eastAsia" w:asciiTheme="minorEastAsia" w:hAnsiTheme="minorEastAsia" w:eastAsiaTheme="minorEastAsia" w:cstheme="minorEastAsia"/>
          <w:sz w:val="28"/>
          <w:szCs w:val="28"/>
          <w:lang w:val="en-US" w:eastAsia="zh-CN"/>
        </w:rPr>
        <w:t>（二）决算单位构成：岳阳市交通运输综合行政执法支队。</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720" w:firstLineChars="200"/>
        <w:textAlignment w:val="center"/>
        <w:rPr>
          <w:sz w:val="36"/>
          <w:szCs w:val="36"/>
        </w:rPr>
      </w:pPr>
    </w:p>
    <w:p>
      <w:pPr>
        <w:keepNext w:val="0"/>
        <w:keepLines w:val="0"/>
        <w:pageBreakBefore w:val="0"/>
        <w:widowControl w:val="0"/>
        <w:kinsoku/>
        <w:wordWrap/>
        <w:overflowPunct/>
        <w:topLinePunct w:val="0"/>
        <w:autoSpaceDE/>
        <w:autoSpaceDN/>
        <w:bidi w:val="0"/>
        <w:adjustRightInd/>
        <w:snapToGrid/>
        <w:spacing w:line="560" w:lineRule="exact"/>
        <w:ind w:firstLine="3614" w:firstLineChars="1000"/>
        <w:textAlignment w:val="center"/>
        <w:rPr>
          <w:b/>
          <w:bCs/>
          <w:sz w:val="36"/>
          <w:szCs w:val="36"/>
        </w:rPr>
      </w:pPr>
      <w:r>
        <w:rPr>
          <w:rFonts w:hint="eastAsia"/>
          <w:b/>
          <w:bCs/>
          <w:sz w:val="36"/>
          <w:szCs w:val="36"/>
        </w:rPr>
        <w:t>第二部分</w:t>
      </w:r>
    </w:p>
    <w:p>
      <w:pPr>
        <w:keepNext w:val="0"/>
        <w:keepLines w:val="0"/>
        <w:pageBreakBefore w:val="0"/>
        <w:widowControl w:val="0"/>
        <w:kinsoku/>
        <w:wordWrap/>
        <w:overflowPunct/>
        <w:topLinePunct w:val="0"/>
        <w:autoSpaceDE/>
        <w:autoSpaceDN/>
        <w:bidi w:val="0"/>
        <w:adjustRightInd/>
        <w:snapToGrid/>
        <w:spacing w:line="560" w:lineRule="exact"/>
        <w:ind w:firstLine="2891" w:firstLineChars="800"/>
        <w:textAlignment w:val="center"/>
        <w:rPr>
          <w:rFonts w:hint="eastAsia"/>
          <w:b/>
          <w:bCs/>
          <w:sz w:val="36"/>
          <w:szCs w:val="36"/>
          <w:lang w:eastAsia="zh-CN"/>
        </w:rPr>
      </w:pPr>
      <w:r>
        <w:rPr>
          <w:rFonts w:hint="eastAsia"/>
          <w:b/>
          <w:bCs/>
          <w:sz w:val="36"/>
          <w:szCs w:val="36"/>
        </w:rPr>
        <w:t>部门决算</w:t>
      </w:r>
      <w:r>
        <w:rPr>
          <w:rFonts w:hint="eastAsia"/>
          <w:b/>
          <w:bCs/>
          <w:sz w:val="36"/>
          <w:szCs w:val="36"/>
          <w:lang w:eastAsia="zh-CN"/>
        </w:rPr>
        <w:t>（见附件）</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textAlignment w:val="center"/>
        <w:rPr>
          <w:rFonts w:hint="eastAsia"/>
          <w:sz w:val="28"/>
          <w:szCs w:val="28"/>
          <w:lang w:eastAsia="zh-CN"/>
        </w:rPr>
      </w:pPr>
      <w:r>
        <w:rPr>
          <w:rFonts w:hint="eastAsia"/>
          <w:sz w:val="28"/>
          <w:szCs w:val="28"/>
          <w:lang w:eastAsia="zh-CN"/>
        </w:rPr>
        <w:t>收入支出决算总表</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textAlignment w:val="center"/>
        <w:rPr>
          <w:rFonts w:hint="eastAsia"/>
          <w:sz w:val="28"/>
          <w:szCs w:val="28"/>
          <w:lang w:eastAsia="zh-CN"/>
        </w:rPr>
      </w:pPr>
      <w:r>
        <w:rPr>
          <w:rFonts w:hint="eastAsia"/>
          <w:sz w:val="28"/>
          <w:szCs w:val="28"/>
          <w:lang w:eastAsia="zh-CN"/>
        </w:rPr>
        <w:t>收入决算表</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textAlignment w:val="center"/>
        <w:rPr>
          <w:rFonts w:hint="eastAsia"/>
          <w:sz w:val="28"/>
          <w:szCs w:val="28"/>
          <w:lang w:eastAsia="zh-CN"/>
        </w:rPr>
      </w:pPr>
      <w:r>
        <w:rPr>
          <w:rFonts w:hint="eastAsia"/>
          <w:sz w:val="28"/>
          <w:szCs w:val="28"/>
          <w:lang w:eastAsia="zh-CN"/>
        </w:rPr>
        <w:t>支出决算表</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textAlignment w:val="center"/>
        <w:rPr>
          <w:rFonts w:hint="eastAsia"/>
          <w:sz w:val="28"/>
          <w:szCs w:val="28"/>
          <w:lang w:eastAsia="zh-CN"/>
        </w:rPr>
      </w:pPr>
      <w:r>
        <w:rPr>
          <w:rFonts w:hint="eastAsia"/>
          <w:sz w:val="28"/>
          <w:szCs w:val="28"/>
          <w:lang w:eastAsia="zh-CN"/>
        </w:rPr>
        <w:t>财政拨款收入支出决算总表</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textAlignment w:val="center"/>
        <w:rPr>
          <w:rFonts w:hint="eastAsia"/>
          <w:sz w:val="28"/>
          <w:szCs w:val="28"/>
          <w:lang w:eastAsia="zh-CN"/>
        </w:rPr>
      </w:pPr>
      <w:r>
        <w:rPr>
          <w:rFonts w:hint="eastAsia"/>
          <w:sz w:val="28"/>
          <w:szCs w:val="28"/>
          <w:lang w:eastAsia="zh-CN"/>
        </w:rPr>
        <w:t>一般公共预算财政拨款支出决算表</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textAlignment w:val="center"/>
        <w:rPr>
          <w:rFonts w:hint="eastAsia"/>
          <w:sz w:val="28"/>
          <w:szCs w:val="28"/>
          <w:lang w:eastAsia="zh-CN"/>
        </w:rPr>
      </w:pPr>
      <w:r>
        <w:rPr>
          <w:rFonts w:hint="eastAsia"/>
          <w:sz w:val="28"/>
          <w:szCs w:val="28"/>
          <w:lang w:eastAsia="zh-CN"/>
        </w:rPr>
        <w:t>一般公共预算财政拨款基本支出决算表</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textAlignment w:val="center"/>
        <w:rPr>
          <w:rFonts w:hint="eastAsia"/>
          <w:sz w:val="28"/>
          <w:szCs w:val="28"/>
          <w:lang w:eastAsia="zh-CN"/>
        </w:rPr>
      </w:pPr>
      <w:r>
        <w:rPr>
          <w:rFonts w:hint="eastAsia"/>
          <w:sz w:val="28"/>
          <w:szCs w:val="28"/>
          <w:lang w:eastAsia="zh-CN"/>
        </w:rPr>
        <w:t>一般公共预算财政拨款“三公”经费支出决算表</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textAlignment w:val="center"/>
        <w:rPr>
          <w:rFonts w:hint="eastAsia"/>
          <w:sz w:val="28"/>
          <w:szCs w:val="28"/>
          <w:lang w:eastAsia="zh-CN"/>
        </w:rPr>
      </w:pPr>
      <w:r>
        <w:rPr>
          <w:rFonts w:hint="eastAsia"/>
          <w:sz w:val="28"/>
          <w:szCs w:val="28"/>
          <w:lang w:eastAsia="zh-CN"/>
        </w:rPr>
        <w:t>政府性基金预算财政拨款收入支出决算表</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textAlignment w:val="center"/>
        <w:rPr>
          <w:rFonts w:hint="eastAsia"/>
          <w:sz w:val="28"/>
          <w:szCs w:val="28"/>
          <w:lang w:eastAsia="zh-CN"/>
        </w:rPr>
      </w:pPr>
      <w:r>
        <w:rPr>
          <w:rFonts w:hint="eastAsia"/>
          <w:sz w:val="28"/>
          <w:szCs w:val="28"/>
          <w:lang w:eastAsia="zh-CN"/>
        </w:rPr>
        <w:t>国有资本经营预算财政拨款支出决算表</w:t>
      </w:r>
    </w:p>
    <w:p>
      <w:pPr>
        <w:keepNext w:val="0"/>
        <w:keepLines w:val="0"/>
        <w:pageBreakBefore w:val="0"/>
        <w:widowControl w:val="0"/>
        <w:kinsoku/>
        <w:wordWrap/>
        <w:overflowPunct/>
        <w:topLinePunct w:val="0"/>
        <w:autoSpaceDE/>
        <w:autoSpaceDN/>
        <w:bidi w:val="0"/>
        <w:adjustRightInd/>
        <w:snapToGrid/>
        <w:spacing w:line="560" w:lineRule="exact"/>
        <w:ind w:firstLine="3640" w:firstLineChars="1300"/>
        <w:textAlignment w:val="center"/>
        <w:rPr>
          <w:rFonts w:hint="eastAsia"/>
          <w:sz w:val="28"/>
          <w:szCs w:val="28"/>
        </w:rPr>
      </w:pP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center"/>
        <w:rPr>
          <w:rFonts w:hint="eastAsia"/>
          <w:sz w:val="28"/>
          <w:szCs w:val="28"/>
        </w:rPr>
      </w:pPr>
    </w:p>
    <w:p>
      <w:pPr>
        <w:keepNext w:val="0"/>
        <w:keepLines w:val="0"/>
        <w:pageBreakBefore w:val="0"/>
        <w:widowControl w:val="0"/>
        <w:kinsoku/>
        <w:wordWrap/>
        <w:overflowPunct/>
        <w:topLinePunct w:val="0"/>
        <w:autoSpaceDE/>
        <w:autoSpaceDN/>
        <w:bidi w:val="0"/>
        <w:adjustRightInd/>
        <w:snapToGrid/>
        <w:spacing w:line="560" w:lineRule="exact"/>
        <w:ind w:firstLine="3253" w:firstLineChars="900"/>
        <w:textAlignment w:val="center"/>
        <w:rPr>
          <w:rFonts w:hint="eastAsia"/>
          <w:b/>
          <w:bCs/>
          <w:sz w:val="36"/>
          <w:szCs w:val="36"/>
        </w:rPr>
      </w:pPr>
    </w:p>
    <w:p>
      <w:pPr>
        <w:keepNext w:val="0"/>
        <w:keepLines w:val="0"/>
        <w:pageBreakBefore w:val="0"/>
        <w:widowControl w:val="0"/>
        <w:kinsoku/>
        <w:wordWrap/>
        <w:overflowPunct/>
        <w:topLinePunct w:val="0"/>
        <w:autoSpaceDE/>
        <w:autoSpaceDN/>
        <w:bidi w:val="0"/>
        <w:adjustRightInd/>
        <w:snapToGrid/>
        <w:spacing w:line="560" w:lineRule="exact"/>
        <w:ind w:firstLine="3253" w:firstLineChars="900"/>
        <w:textAlignment w:val="center"/>
        <w:rPr>
          <w:rFonts w:hint="eastAsia"/>
          <w:b/>
          <w:bCs/>
          <w:sz w:val="36"/>
          <w:szCs w:val="36"/>
        </w:rPr>
      </w:pPr>
    </w:p>
    <w:p>
      <w:pPr>
        <w:keepNext w:val="0"/>
        <w:keepLines w:val="0"/>
        <w:pageBreakBefore w:val="0"/>
        <w:widowControl w:val="0"/>
        <w:kinsoku/>
        <w:wordWrap/>
        <w:overflowPunct/>
        <w:topLinePunct w:val="0"/>
        <w:autoSpaceDE/>
        <w:autoSpaceDN/>
        <w:bidi w:val="0"/>
        <w:adjustRightInd/>
        <w:snapToGrid/>
        <w:spacing w:line="560" w:lineRule="exact"/>
        <w:ind w:firstLine="3253" w:firstLineChars="900"/>
        <w:textAlignment w:val="center"/>
        <w:rPr>
          <w:rFonts w:hint="eastAsia"/>
          <w:b/>
          <w:bCs/>
          <w:sz w:val="36"/>
          <w:szCs w:val="36"/>
        </w:rPr>
      </w:pPr>
    </w:p>
    <w:p>
      <w:pPr>
        <w:keepNext w:val="0"/>
        <w:keepLines w:val="0"/>
        <w:pageBreakBefore w:val="0"/>
        <w:widowControl w:val="0"/>
        <w:kinsoku/>
        <w:wordWrap/>
        <w:overflowPunct/>
        <w:topLinePunct w:val="0"/>
        <w:autoSpaceDE/>
        <w:autoSpaceDN/>
        <w:bidi w:val="0"/>
        <w:adjustRightInd/>
        <w:snapToGrid/>
        <w:spacing w:line="560" w:lineRule="exact"/>
        <w:ind w:firstLine="3253" w:firstLineChars="900"/>
        <w:textAlignment w:val="center"/>
        <w:rPr>
          <w:b/>
          <w:bCs/>
          <w:sz w:val="36"/>
          <w:szCs w:val="36"/>
        </w:rPr>
      </w:pPr>
      <w:r>
        <w:rPr>
          <w:rFonts w:hint="eastAsia"/>
          <w:b/>
          <w:bCs/>
          <w:sz w:val="36"/>
          <w:szCs w:val="36"/>
        </w:rPr>
        <w:t>第三部分</w:t>
      </w:r>
    </w:p>
    <w:p>
      <w:pPr>
        <w:keepNext w:val="0"/>
        <w:keepLines w:val="0"/>
        <w:pageBreakBefore w:val="0"/>
        <w:widowControl w:val="0"/>
        <w:kinsoku/>
        <w:wordWrap/>
        <w:overflowPunct/>
        <w:topLinePunct w:val="0"/>
        <w:autoSpaceDE/>
        <w:autoSpaceDN/>
        <w:bidi w:val="0"/>
        <w:adjustRightInd/>
        <w:snapToGrid/>
        <w:spacing w:line="560" w:lineRule="exact"/>
        <w:textAlignment w:val="center"/>
        <w:rPr>
          <w:rFonts w:hint="eastAsia"/>
          <w:b/>
          <w:bCs/>
          <w:sz w:val="36"/>
          <w:szCs w:val="36"/>
        </w:rPr>
      </w:pPr>
      <w:r>
        <w:rPr>
          <w:rFonts w:hint="eastAsia"/>
          <w:b/>
          <w:bCs/>
          <w:sz w:val="36"/>
          <w:szCs w:val="36"/>
          <w:lang w:eastAsia="zh-CN"/>
        </w:rPr>
        <w:t>岳阳市交通运输综合行政执法支队</w:t>
      </w:r>
      <w:r>
        <w:rPr>
          <w:b/>
          <w:bCs/>
          <w:sz w:val="36"/>
          <w:szCs w:val="36"/>
        </w:rPr>
        <w:t>20</w:t>
      </w:r>
      <w:r>
        <w:rPr>
          <w:rFonts w:hint="eastAsia"/>
          <w:b/>
          <w:bCs/>
          <w:sz w:val="36"/>
          <w:szCs w:val="36"/>
        </w:rPr>
        <w:t>2</w:t>
      </w:r>
      <w:r>
        <w:rPr>
          <w:rFonts w:hint="eastAsia"/>
          <w:b/>
          <w:bCs/>
          <w:sz w:val="36"/>
          <w:szCs w:val="36"/>
          <w:lang w:val="en-US" w:eastAsia="zh-CN"/>
        </w:rPr>
        <w:t>1</w:t>
      </w:r>
      <w:r>
        <w:rPr>
          <w:rFonts w:hint="eastAsia"/>
          <w:b/>
          <w:bCs/>
          <w:sz w:val="36"/>
          <w:szCs w:val="36"/>
        </w:rPr>
        <w:t>年度部门</w:t>
      </w:r>
    </w:p>
    <w:p>
      <w:pPr>
        <w:keepNext w:val="0"/>
        <w:keepLines w:val="0"/>
        <w:pageBreakBefore w:val="0"/>
        <w:widowControl w:val="0"/>
        <w:kinsoku/>
        <w:wordWrap/>
        <w:overflowPunct/>
        <w:topLinePunct w:val="0"/>
        <w:autoSpaceDE/>
        <w:autoSpaceDN/>
        <w:bidi w:val="0"/>
        <w:adjustRightInd/>
        <w:snapToGrid/>
        <w:spacing w:line="560" w:lineRule="exact"/>
        <w:ind w:firstLine="2530" w:firstLineChars="700"/>
        <w:jc w:val="left"/>
        <w:textAlignment w:val="center"/>
        <w:rPr>
          <w:b/>
          <w:bCs/>
          <w:sz w:val="36"/>
          <w:szCs w:val="36"/>
        </w:rPr>
      </w:pPr>
      <w:r>
        <w:rPr>
          <w:rFonts w:hint="eastAsia"/>
          <w:b/>
          <w:bCs/>
          <w:sz w:val="36"/>
          <w:szCs w:val="36"/>
        </w:rPr>
        <w:t>决算情况说明</w:t>
      </w:r>
    </w:p>
    <w:p>
      <w:pPr>
        <w:keepNext w:val="0"/>
        <w:keepLines w:val="0"/>
        <w:pageBreakBefore w:val="0"/>
        <w:widowControl w:val="0"/>
        <w:kinsoku/>
        <w:wordWrap/>
        <w:overflowPunct/>
        <w:topLinePunct w:val="0"/>
        <w:autoSpaceDE/>
        <w:autoSpaceDN/>
        <w:bidi w:val="0"/>
        <w:adjustRightInd/>
        <w:snapToGrid/>
        <w:spacing w:line="560" w:lineRule="exact"/>
        <w:textAlignment w:val="center"/>
        <w:rPr>
          <w:sz w:val="28"/>
          <w:szCs w:val="28"/>
        </w:rPr>
      </w:pPr>
      <w:r>
        <w:rPr>
          <w:rFonts w:hint="eastAsia"/>
          <w:sz w:val="28"/>
          <w:szCs w:val="28"/>
        </w:rPr>
        <w:t>一、收入支出决算总体情况说明</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center"/>
        <w:rPr>
          <w:rFonts w:hint="default" w:eastAsiaTheme="minorEastAsia"/>
          <w:sz w:val="28"/>
          <w:szCs w:val="28"/>
          <w:lang w:val="en-US" w:eastAsia="zh-CN"/>
        </w:rPr>
      </w:pPr>
      <w:r>
        <w:rPr>
          <w:sz w:val="28"/>
          <w:szCs w:val="28"/>
        </w:rPr>
        <w:t>岳阳市交通运输</w:t>
      </w:r>
      <w:r>
        <w:rPr>
          <w:rFonts w:hint="eastAsia"/>
          <w:sz w:val="28"/>
          <w:szCs w:val="28"/>
        </w:rPr>
        <w:t>综合行政执法支队</w:t>
      </w:r>
      <w:r>
        <w:rPr>
          <w:sz w:val="28"/>
          <w:szCs w:val="28"/>
        </w:rPr>
        <w:t>20</w:t>
      </w:r>
      <w:r>
        <w:rPr>
          <w:rFonts w:hint="eastAsia"/>
          <w:sz w:val="28"/>
          <w:szCs w:val="28"/>
        </w:rPr>
        <w:t>2</w:t>
      </w:r>
      <w:r>
        <w:rPr>
          <w:rFonts w:hint="eastAsia"/>
          <w:sz w:val="28"/>
          <w:szCs w:val="28"/>
          <w:lang w:val="en-US" w:eastAsia="zh-CN"/>
        </w:rPr>
        <w:t>1</w:t>
      </w:r>
      <w:r>
        <w:rPr>
          <w:sz w:val="28"/>
          <w:szCs w:val="28"/>
        </w:rPr>
        <w:t>年度收入总计</w:t>
      </w:r>
      <w:r>
        <w:rPr>
          <w:rFonts w:hint="eastAsia"/>
          <w:sz w:val="28"/>
          <w:szCs w:val="28"/>
          <w:lang w:val="en-US" w:eastAsia="zh-CN"/>
        </w:rPr>
        <w:t>11692.33</w:t>
      </w:r>
      <w:r>
        <w:rPr>
          <w:sz w:val="28"/>
          <w:szCs w:val="28"/>
        </w:rPr>
        <w:t>万元，其中财政拨款收入</w:t>
      </w:r>
      <w:r>
        <w:rPr>
          <w:rFonts w:hint="eastAsia"/>
          <w:sz w:val="28"/>
          <w:szCs w:val="28"/>
          <w:lang w:val="en-US" w:eastAsia="zh-CN"/>
        </w:rPr>
        <w:t>11298.84</w:t>
      </w:r>
      <w:r>
        <w:rPr>
          <w:sz w:val="28"/>
          <w:szCs w:val="28"/>
        </w:rPr>
        <w:t>万元，</w:t>
      </w:r>
      <w:r>
        <w:rPr>
          <w:rFonts w:hint="eastAsia"/>
          <w:sz w:val="28"/>
          <w:szCs w:val="28"/>
          <w:lang w:eastAsia="zh-CN"/>
        </w:rPr>
        <w:t>年初结转结余资金</w:t>
      </w:r>
      <w:r>
        <w:rPr>
          <w:rFonts w:hint="eastAsia"/>
          <w:sz w:val="28"/>
          <w:szCs w:val="28"/>
          <w:lang w:val="en-US" w:eastAsia="zh-CN"/>
        </w:rPr>
        <w:t>8.19万元，非财政拨款结余2.39万元，</w:t>
      </w:r>
      <w:r>
        <w:rPr>
          <w:sz w:val="28"/>
          <w:szCs w:val="28"/>
        </w:rPr>
        <w:t>其他收入</w:t>
      </w:r>
      <w:r>
        <w:rPr>
          <w:rFonts w:hint="eastAsia"/>
          <w:sz w:val="28"/>
          <w:szCs w:val="28"/>
          <w:lang w:val="en-US" w:eastAsia="zh-CN"/>
        </w:rPr>
        <w:t>382.91</w:t>
      </w:r>
      <w:r>
        <w:rPr>
          <w:sz w:val="28"/>
          <w:szCs w:val="28"/>
        </w:rPr>
        <w:t>万元，与</w:t>
      </w:r>
      <w:r>
        <w:rPr>
          <w:rFonts w:hint="eastAsia"/>
          <w:sz w:val="28"/>
          <w:szCs w:val="28"/>
          <w:lang w:eastAsia="zh-CN"/>
        </w:rPr>
        <w:t>上</w:t>
      </w:r>
      <w:r>
        <w:rPr>
          <w:sz w:val="28"/>
          <w:szCs w:val="28"/>
        </w:rPr>
        <w:t>年相比</w:t>
      </w:r>
      <w:r>
        <w:rPr>
          <w:rFonts w:hint="eastAsia"/>
          <w:sz w:val="28"/>
          <w:szCs w:val="28"/>
          <w:lang w:eastAsia="zh-CN"/>
        </w:rPr>
        <w:t>增加</w:t>
      </w:r>
      <w:r>
        <w:rPr>
          <w:rFonts w:hint="eastAsia"/>
          <w:sz w:val="28"/>
          <w:szCs w:val="28"/>
          <w:lang w:val="en-US" w:eastAsia="zh-CN"/>
        </w:rPr>
        <w:t>3200.38</w:t>
      </w:r>
      <w:r>
        <w:rPr>
          <w:sz w:val="28"/>
          <w:szCs w:val="28"/>
        </w:rPr>
        <w:t>万元</w:t>
      </w:r>
      <w:r>
        <w:rPr>
          <w:rFonts w:hint="eastAsia"/>
          <w:sz w:val="28"/>
          <w:szCs w:val="28"/>
          <w:lang w:eastAsia="zh-CN"/>
        </w:rPr>
        <w:t>，增长</w:t>
      </w:r>
      <w:r>
        <w:rPr>
          <w:rFonts w:hint="eastAsia"/>
          <w:sz w:val="28"/>
          <w:szCs w:val="28"/>
          <w:lang w:val="en-US" w:eastAsia="zh-CN"/>
        </w:rPr>
        <w:t>37.69%，</w:t>
      </w:r>
      <w:r>
        <w:rPr>
          <w:rFonts w:hint="eastAsia"/>
          <w:sz w:val="28"/>
          <w:szCs w:val="28"/>
          <w:lang w:eastAsia="zh-CN"/>
        </w:rPr>
        <w:t>主要是因为政策性人员经费、办案费增加及财政拨付</w:t>
      </w:r>
      <w:r>
        <w:rPr>
          <w:rFonts w:hint="eastAsia"/>
          <w:sz w:val="28"/>
          <w:szCs w:val="28"/>
          <w:lang w:val="en-US" w:eastAsia="zh-CN"/>
        </w:rPr>
        <w:t>2019年度农村道路客运和出租车油补资金。</w:t>
      </w:r>
      <w:r>
        <w:rPr>
          <w:sz w:val="28"/>
          <w:szCs w:val="28"/>
        </w:rPr>
        <w:t>本年支出总计</w:t>
      </w:r>
      <w:r>
        <w:rPr>
          <w:rFonts w:hint="eastAsia"/>
          <w:sz w:val="28"/>
          <w:szCs w:val="28"/>
          <w:lang w:val="en-US" w:eastAsia="zh-CN"/>
        </w:rPr>
        <w:t>11692.33</w:t>
      </w:r>
      <w:r>
        <w:rPr>
          <w:sz w:val="28"/>
          <w:szCs w:val="28"/>
        </w:rPr>
        <w:t>万元，比上年</w:t>
      </w:r>
      <w:r>
        <w:rPr>
          <w:rFonts w:hint="eastAsia"/>
          <w:sz w:val="28"/>
          <w:szCs w:val="28"/>
          <w:lang w:eastAsia="zh-CN"/>
        </w:rPr>
        <w:t>相比增加</w:t>
      </w:r>
      <w:r>
        <w:rPr>
          <w:rFonts w:hint="eastAsia"/>
          <w:sz w:val="28"/>
          <w:szCs w:val="28"/>
          <w:lang w:val="en-US" w:eastAsia="zh-CN"/>
        </w:rPr>
        <w:t>3200.38</w:t>
      </w:r>
      <w:r>
        <w:rPr>
          <w:sz w:val="28"/>
          <w:szCs w:val="28"/>
        </w:rPr>
        <w:t>万元</w:t>
      </w:r>
      <w:r>
        <w:rPr>
          <w:rFonts w:hint="eastAsia"/>
          <w:sz w:val="28"/>
          <w:szCs w:val="28"/>
          <w:lang w:eastAsia="zh-CN"/>
        </w:rPr>
        <w:t>，增长</w:t>
      </w:r>
      <w:r>
        <w:rPr>
          <w:rFonts w:hint="eastAsia"/>
          <w:sz w:val="28"/>
          <w:szCs w:val="28"/>
          <w:lang w:val="en-US" w:eastAsia="zh-CN"/>
        </w:rPr>
        <w:t>37.69%</w:t>
      </w:r>
      <w:r>
        <w:rPr>
          <w:rFonts w:hint="eastAsia"/>
          <w:sz w:val="28"/>
          <w:szCs w:val="28"/>
          <w:lang w:eastAsia="zh-CN"/>
        </w:rPr>
        <w:t>增加的主要原因是政策性人员经费支出增加，以及</w:t>
      </w:r>
      <w:r>
        <w:rPr>
          <w:rFonts w:hint="eastAsia"/>
          <w:sz w:val="28"/>
          <w:szCs w:val="28"/>
          <w:lang w:val="en-US" w:eastAsia="zh-CN"/>
        </w:rPr>
        <w:t>按照相关政策拨付各客运公司和出租车公司的2019年度农村道路客运和出租车油补资金增加支出2197.03万元。</w:t>
      </w:r>
    </w:p>
    <w:p>
      <w:pPr>
        <w:keepNext w:val="0"/>
        <w:keepLines w:val="0"/>
        <w:pageBreakBefore w:val="0"/>
        <w:widowControl w:val="0"/>
        <w:kinsoku/>
        <w:wordWrap/>
        <w:overflowPunct/>
        <w:topLinePunct w:val="0"/>
        <w:autoSpaceDE/>
        <w:autoSpaceDN/>
        <w:bidi w:val="0"/>
        <w:adjustRightInd/>
        <w:snapToGrid/>
        <w:spacing w:line="560" w:lineRule="exact"/>
        <w:textAlignment w:val="center"/>
        <w:rPr>
          <w:sz w:val="28"/>
          <w:szCs w:val="28"/>
        </w:rPr>
      </w:pPr>
      <w:r>
        <w:rPr>
          <w:rFonts w:hint="eastAsia"/>
          <w:sz w:val="28"/>
          <w:szCs w:val="28"/>
        </w:rPr>
        <w:t>二、收入决算情况说明</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center"/>
        <w:rPr>
          <w:sz w:val="28"/>
          <w:szCs w:val="28"/>
        </w:rPr>
      </w:pPr>
      <w:r>
        <w:rPr>
          <w:sz w:val="28"/>
          <w:szCs w:val="28"/>
        </w:rPr>
        <w:t>20</w:t>
      </w:r>
      <w:r>
        <w:rPr>
          <w:rFonts w:hint="eastAsia"/>
          <w:sz w:val="28"/>
          <w:szCs w:val="28"/>
        </w:rPr>
        <w:t>2</w:t>
      </w:r>
      <w:r>
        <w:rPr>
          <w:rFonts w:hint="eastAsia"/>
          <w:sz w:val="28"/>
          <w:szCs w:val="28"/>
          <w:lang w:val="en-US" w:eastAsia="zh-CN"/>
        </w:rPr>
        <w:t>1</w:t>
      </w:r>
      <w:r>
        <w:rPr>
          <w:sz w:val="28"/>
          <w:szCs w:val="28"/>
        </w:rPr>
        <w:t>年度收入</w:t>
      </w:r>
      <w:r>
        <w:rPr>
          <w:rFonts w:hint="eastAsia"/>
          <w:sz w:val="28"/>
          <w:szCs w:val="28"/>
          <w:lang w:eastAsia="zh-CN"/>
        </w:rPr>
        <w:t>合</w:t>
      </w:r>
      <w:r>
        <w:rPr>
          <w:sz w:val="28"/>
          <w:szCs w:val="28"/>
        </w:rPr>
        <w:t>计</w:t>
      </w:r>
      <w:r>
        <w:rPr>
          <w:rFonts w:hint="eastAsia"/>
          <w:sz w:val="28"/>
          <w:szCs w:val="28"/>
          <w:lang w:val="en-US" w:eastAsia="zh-CN"/>
        </w:rPr>
        <w:t>11681.75</w:t>
      </w:r>
      <w:r>
        <w:rPr>
          <w:sz w:val="28"/>
          <w:szCs w:val="28"/>
        </w:rPr>
        <w:t>万元，其中财政拨款收入</w:t>
      </w:r>
      <w:r>
        <w:rPr>
          <w:rFonts w:hint="eastAsia"/>
          <w:sz w:val="28"/>
          <w:szCs w:val="28"/>
          <w:lang w:val="en-US" w:eastAsia="zh-CN"/>
        </w:rPr>
        <w:t>11298.84</w:t>
      </w:r>
      <w:r>
        <w:rPr>
          <w:sz w:val="28"/>
          <w:szCs w:val="28"/>
        </w:rPr>
        <w:t>万元（均为一般公共预算拨款收入），占比9</w:t>
      </w:r>
      <w:r>
        <w:rPr>
          <w:rFonts w:hint="eastAsia"/>
          <w:sz w:val="28"/>
          <w:szCs w:val="28"/>
          <w:lang w:val="en-US" w:eastAsia="zh-CN"/>
        </w:rPr>
        <w:t>6.72</w:t>
      </w:r>
      <w:r>
        <w:rPr>
          <w:sz w:val="28"/>
          <w:szCs w:val="28"/>
        </w:rPr>
        <w:t>%；其他收入</w:t>
      </w:r>
      <w:r>
        <w:rPr>
          <w:rFonts w:hint="eastAsia"/>
          <w:sz w:val="28"/>
          <w:szCs w:val="28"/>
          <w:lang w:val="en-US" w:eastAsia="zh-CN"/>
        </w:rPr>
        <w:t>382.91</w:t>
      </w:r>
      <w:r>
        <w:rPr>
          <w:sz w:val="28"/>
          <w:szCs w:val="28"/>
        </w:rPr>
        <w:t>万元，占比</w:t>
      </w:r>
      <w:r>
        <w:rPr>
          <w:rFonts w:hint="eastAsia"/>
          <w:sz w:val="28"/>
          <w:szCs w:val="28"/>
          <w:lang w:val="en-US" w:eastAsia="zh-CN"/>
        </w:rPr>
        <w:t>3.28</w:t>
      </w:r>
      <w:r>
        <w:rPr>
          <w:sz w:val="28"/>
          <w:szCs w:val="28"/>
        </w:rPr>
        <w:t>%。</w:t>
      </w:r>
    </w:p>
    <w:p>
      <w:pPr>
        <w:keepNext w:val="0"/>
        <w:keepLines w:val="0"/>
        <w:pageBreakBefore w:val="0"/>
        <w:widowControl w:val="0"/>
        <w:kinsoku/>
        <w:wordWrap/>
        <w:overflowPunct/>
        <w:topLinePunct w:val="0"/>
        <w:autoSpaceDE/>
        <w:autoSpaceDN/>
        <w:bidi w:val="0"/>
        <w:adjustRightInd/>
        <w:snapToGrid/>
        <w:spacing w:line="560" w:lineRule="exact"/>
        <w:textAlignment w:val="center"/>
        <w:rPr>
          <w:sz w:val="28"/>
          <w:szCs w:val="28"/>
        </w:rPr>
      </w:pPr>
      <w:r>
        <w:rPr>
          <w:rFonts w:hint="eastAsia"/>
          <w:sz w:val="28"/>
          <w:szCs w:val="28"/>
        </w:rPr>
        <w:t>三、支出决算情况说明</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center"/>
        <w:rPr>
          <w:sz w:val="28"/>
          <w:szCs w:val="28"/>
        </w:rPr>
      </w:pPr>
      <w:r>
        <w:rPr>
          <w:sz w:val="28"/>
          <w:szCs w:val="28"/>
        </w:rPr>
        <w:t>20</w:t>
      </w:r>
      <w:r>
        <w:rPr>
          <w:rFonts w:hint="eastAsia"/>
          <w:sz w:val="28"/>
          <w:szCs w:val="28"/>
        </w:rPr>
        <w:t>2</w:t>
      </w:r>
      <w:r>
        <w:rPr>
          <w:rFonts w:hint="eastAsia"/>
          <w:sz w:val="28"/>
          <w:szCs w:val="28"/>
          <w:lang w:val="en-US" w:eastAsia="zh-CN"/>
        </w:rPr>
        <w:t>1</w:t>
      </w:r>
      <w:r>
        <w:rPr>
          <w:sz w:val="28"/>
          <w:szCs w:val="28"/>
        </w:rPr>
        <w:t>年度支出</w:t>
      </w:r>
      <w:r>
        <w:rPr>
          <w:rFonts w:hint="eastAsia"/>
          <w:sz w:val="28"/>
          <w:szCs w:val="28"/>
          <w:lang w:eastAsia="zh-CN"/>
        </w:rPr>
        <w:t>合</w:t>
      </w:r>
      <w:r>
        <w:rPr>
          <w:sz w:val="28"/>
          <w:szCs w:val="28"/>
        </w:rPr>
        <w:t>计</w:t>
      </w:r>
      <w:r>
        <w:rPr>
          <w:rFonts w:hint="eastAsia"/>
          <w:sz w:val="28"/>
          <w:szCs w:val="28"/>
          <w:lang w:val="en-US" w:eastAsia="zh-CN"/>
        </w:rPr>
        <w:t>11692.33</w:t>
      </w:r>
      <w:r>
        <w:rPr>
          <w:sz w:val="28"/>
          <w:szCs w:val="28"/>
        </w:rPr>
        <w:t>万元，其中基本支出</w:t>
      </w:r>
      <w:r>
        <w:rPr>
          <w:rFonts w:hint="eastAsia"/>
          <w:sz w:val="28"/>
          <w:szCs w:val="28"/>
          <w:lang w:val="en-US" w:eastAsia="zh-CN"/>
        </w:rPr>
        <w:t>9441.35</w:t>
      </w:r>
      <w:r>
        <w:rPr>
          <w:sz w:val="28"/>
          <w:szCs w:val="28"/>
        </w:rPr>
        <w:t>万元，占</w:t>
      </w:r>
      <w:r>
        <w:rPr>
          <w:rFonts w:hint="eastAsia"/>
          <w:sz w:val="28"/>
          <w:szCs w:val="28"/>
          <w:lang w:val="en-US" w:eastAsia="zh-CN"/>
        </w:rPr>
        <w:t>80.</w:t>
      </w:r>
      <w:r>
        <w:rPr>
          <w:rFonts w:hint="eastAsia"/>
          <w:sz w:val="28"/>
          <w:szCs w:val="28"/>
        </w:rPr>
        <w:t>75</w:t>
      </w:r>
      <w:r>
        <w:rPr>
          <w:sz w:val="28"/>
          <w:szCs w:val="28"/>
        </w:rPr>
        <w:t>%；项目支出</w:t>
      </w:r>
      <w:r>
        <w:rPr>
          <w:rFonts w:hint="eastAsia"/>
          <w:sz w:val="28"/>
          <w:szCs w:val="28"/>
        </w:rPr>
        <w:t>2</w:t>
      </w:r>
      <w:r>
        <w:rPr>
          <w:rFonts w:hint="eastAsia"/>
          <w:sz w:val="28"/>
          <w:szCs w:val="28"/>
          <w:lang w:val="en-US" w:eastAsia="zh-CN"/>
        </w:rPr>
        <w:t>250.98</w:t>
      </w:r>
      <w:r>
        <w:rPr>
          <w:sz w:val="28"/>
          <w:szCs w:val="28"/>
        </w:rPr>
        <w:t>万元，占</w:t>
      </w:r>
      <w:r>
        <w:rPr>
          <w:rFonts w:hint="eastAsia"/>
          <w:sz w:val="28"/>
          <w:szCs w:val="28"/>
          <w:lang w:val="en-US" w:eastAsia="zh-CN"/>
        </w:rPr>
        <w:t>19.25</w:t>
      </w:r>
      <w:r>
        <w:rPr>
          <w:sz w:val="28"/>
          <w:szCs w:val="28"/>
        </w:rPr>
        <w:t>%。</w:t>
      </w:r>
    </w:p>
    <w:p>
      <w:pPr>
        <w:keepNext w:val="0"/>
        <w:keepLines w:val="0"/>
        <w:pageBreakBefore w:val="0"/>
        <w:widowControl w:val="0"/>
        <w:kinsoku/>
        <w:wordWrap/>
        <w:overflowPunct/>
        <w:topLinePunct w:val="0"/>
        <w:autoSpaceDE/>
        <w:autoSpaceDN/>
        <w:bidi w:val="0"/>
        <w:adjustRightInd/>
        <w:snapToGrid/>
        <w:spacing w:line="560" w:lineRule="exact"/>
        <w:textAlignment w:val="center"/>
        <w:rPr>
          <w:sz w:val="28"/>
          <w:szCs w:val="28"/>
        </w:rPr>
      </w:pPr>
      <w:r>
        <w:rPr>
          <w:rFonts w:hint="eastAsia"/>
          <w:sz w:val="28"/>
          <w:szCs w:val="28"/>
        </w:rPr>
        <w:t>四、财政拨款收入支出决算总体情况说明</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center"/>
        <w:rPr>
          <w:rFonts w:hint="default" w:eastAsiaTheme="minorEastAsia"/>
          <w:sz w:val="28"/>
          <w:szCs w:val="28"/>
          <w:lang w:val="en-US" w:eastAsia="zh-CN"/>
        </w:rPr>
      </w:pPr>
      <w:r>
        <w:rPr>
          <w:sz w:val="28"/>
          <w:szCs w:val="28"/>
        </w:rPr>
        <w:t>20</w:t>
      </w:r>
      <w:r>
        <w:rPr>
          <w:rFonts w:hint="eastAsia"/>
          <w:sz w:val="28"/>
          <w:szCs w:val="28"/>
        </w:rPr>
        <w:t>2</w:t>
      </w:r>
      <w:r>
        <w:rPr>
          <w:rFonts w:hint="eastAsia"/>
          <w:sz w:val="28"/>
          <w:szCs w:val="28"/>
          <w:lang w:val="en-US" w:eastAsia="zh-CN"/>
        </w:rPr>
        <w:t>1</w:t>
      </w:r>
      <w:r>
        <w:rPr>
          <w:sz w:val="28"/>
          <w:szCs w:val="28"/>
        </w:rPr>
        <w:t>年度财政拨款收入</w:t>
      </w:r>
      <w:r>
        <w:rPr>
          <w:rFonts w:hint="eastAsia"/>
          <w:sz w:val="28"/>
          <w:szCs w:val="28"/>
          <w:lang w:val="en-US" w:eastAsia="zh-CN"/>
        </w:rPr>
        <w:t>11307.03</w:t>
      </w:r>
      <w:r>
        <w:rPr>
          <w:sz w:val="28"/>
          <w:szCs w:val="28"/>
        </w:rPr>
        <w:t>万元，</w:t>
      </w:r>
      <w:r>
        <w:rPr>
          <w:rFonts w:hint="eastAsia"/>
          <w:sz w:val="28"/>
          <w:szCs w:val="28"/>
        </w:rPr>
        <w:t>与</w:t>
      </w:r>
      <w:r>
        <w:rPr>
          <w:rFonts w:hint="eastAsia"/>
          <w:sz w:val="28"/>
          <w:szCs w:val="28"/>
          <w:lang w:eastAsia="zh-CN"/>
        </w:rPr>
        <w:t>上</w:t>
      </w:r>
      <w:r>
        <w:rPr>
          <w:rFonts w:hint="eastAsia"/>
          <w:sz w:val="28"/>
          <w:szCs w:val="28"/>
        </w:rPr>
        <w:t>年相比</w:t>
      </w:r>
      <w:r>
        <w:rPr>
          <w:rFonts w:hint="eastAsia"/>
          <w:sz w:val="28"/>
          <w:szCs w:val="28"/>
          <w:lang w:eastAsia="zh-CN"/>
        </w:rPr>
        <w:t>增加</w:t>
      </w:r>
      <w:r>
        <w:rPr>
          <w:rFonts w:hint="eastAsia"/>
          <w:sz w:val="28"/>
          <w:szCs w:val="28"/>
          <w:lang w:val="en-US" w:eastAsia="zh-CN"/>
        </w:rPr>
        <w:t>3046.66</w:t>
      </w:r>
      <w:r>
        <w:rPr>
          <w:sz w:val="28"/>
          <w:szCs w:val="28"/>
        </w:rPr>
        <w:t>万元，</w:t>
      </w:r>
      <w:r>
        <w:rPr>
          <w:rFonts w:hint="eastAsia"/>
          <w:sz w:val="28"/>
          <w:szCs w:val="28"/>
          <w:lang w:eastAsia="zh-CN"/>
        </w:rPr>
        <w:t>增长</w:t>
      </w:r>
      <w:r>
        <w:rPr>
          <w:rFonts w:hint="eastAsia"/>
          <w:sz w:val="28"/>
          <w:szCs w:val="28"/>
          <w:lang w:val="en-US" w:eastAsia="zh-CN"/>
        </w:rPr>
        <w:t>36.88%，</w:t>
      </w:r>
      <w:r>
        <w:rPr>
          <w:sz w:val="28"/>
          <w:szCs w:val="28"/>
        </w:rPr>
        <w:t>主要是因为</w:t>
      </w:r>
      <w:r>
        <w:rPr>
          <w:rFonts w:hint="eastAsia"/>
          <w:sz w:val="28"/>
          <w:szCs w:val="28"/>
          <w:lang w:eastAsia="zh-CN"/>
        </w:rPr>
        <w:t>政策性人员经费、办案费增加及财政拨付</w:t>
      </w:r>
      <w:r>
        <w:rPr>
          <w:rFonts w:hint="eastAsia"/>
          <w:sz w:val="28"/>
          <w:szCs w:val="28"/>
          <w:lang w:val="en-US" w:eastAsia="zh-CN"/>
        </w:rPr>
        <w:t>2019年度农村道路客运和出租车油补资金。</w:t>
      </w:r>
      <w:r>
        <w:rPr>
          <w:sz w:val="28"/>
          <w:szCs w:val="28"/>
        </w:rPr>
        <w:t>本年度财政拨款支出</w:t>
      </w:r>
      <w:r>
        <w:rPr>
          <w:rFonts w:hint="eastAsia"/>
          <w:sz w:val="28"/>
          <w:szCs w:val="28"/>
          <w:lang w:val="en-US" w:eastAsia="zh-CN"/>
        </w:rPr>
        <w:t>11307.03</w:t>
      </w:r>
      <w:r>
        <w:rPr>
          <w:sz w:val="28"/>
          <w:szCs w:val="28"/>
        </w:rPr>
        <w:t>万元，比上年</w:t>
      </w:r>
      <w:r>
        <w:rPr>
          <w:rFonts w:hint="eastAsia"/>
          <w:sz w:val="28"/>
          <w:szCs w:val="28"/>
          <w:lang w:eastAsia="zh-CN"/>
        </w:rPr>
        <w:t>增加</w:t>
      </w:r>
      <w:r>
        <w:rPr>
          <w:rFonts w:hint="eastAsia"/>
          <w:sz w:val="28"/>
          <w:szCs w:val="28"/>
          <w:lang w:val="en-US" w:eastAsia="zh-CN"/>
        </w:rPr>
        <w:t>3046.66</w:t>
      </w:r>
      <w:r>
        <w:rPr>
          <w:sz w:val="28"/>
          <w:szCs w:val="28"/>
        </w:rPr>
        <w:t>万元</w:t>
      </w:r>
      <w:r>
        <w:rPr>
          <w:rFonts w:hint="eastAsia"/>
          <w:sz w:val="28"/>
          <w:szCs w:val="28"/>
          <w:lang w:eastAsia="zh-CN"/>
        </w:rPr>
        <w:t>，增长</w:t>
      </w:r>
      <w:r>
        <w:rPr>
          <w:rFonts w:hint="eastAsia"/>
          <w:sz w:val="28"/>
          <w:szCs w:val="28"/>
          <w:lang w:val="en-US" w:eastAsia="zh-CN"/>
        </w:rPr>
        <w:t>36.88%，</w:t>
      </w:r>
      <w:r>
        <w:rPr>
          <w:rFonts w:hint="eastAsia"/>
          <w:sz w:val="28"/>
          <w:szCs w:val="28"/>
          <w:lang w:eastAsia="zh-CN"/>
        </w:rPr>
        <w:t>主要是因为政策性人员经费补助支出增加，以及</w:t>
      </w:r>
      <w:r>
        <w:rPr>
          <w:rFonts w:hint="eastAsia"/>
          <w:sz w:val="28"/>
          <w:szCs w:val="28"/>
          <w:lang w:val="en-US" w:eastAsia="zh-CN"/>
        </w:rPr>
        <w:t>按照相关政策拨付各客运公司和出租车公司2019年度农村道路客运和出租车油补资金增加支出2197.03万元。</w:t>
      </w:r>
    </w:p>
    <w:p>
      <w:pPr>
        <w:keepNext w:val="0"/>
        <w:keepLines w:val="0"/>
        <w:pageBreakBefore w:val="0"/>
        <w:widowControl w:val="0"/>
        <w:kinsoku/>
        <w:wordWrap/>
        <w:overflowPunct/>
        <w:topLinePunct w:val="0"/>
        <w:autoSpaceDE/>
        <w:autoSpaceDN/>
        <w:bidi w:val="0"/>
        <w:adjustRightInd/>
        <w:snapToGrid/>
        <w:spacing w:line="560" w:lineRule="exact"/>
        <w:textAlignment w:val="center"/>
        <w:rPr>
          <w:sz w:val="28"/>
          <w:szCs w:val="28"/>
        </w:rPr>
      </w:pPr>
      <w:r>
        <w:rPr>
          <w:rFonts w:hint="eastAsia"/>
          <w:sz w:val="28"/>
          <w:szCs w:val="28"/>
        </w:rPr>
        <w:t>五、一般公共预算财政拨款支出决算情况说明</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center"/>
        <w:rPr>
          <w:sz w:val="28"/>
          <w:szCs w:val="28"/>
        </w:rPr>
      </w:pPr>
      <w:r>
        <w:rPr>
          <w:sz w:val="28"/>
          <w:szCs w:val="28"/>
        </w:rPr>
        <w:t>（一）财政拨款支出决算总体情况。</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center"/>
        <w:rPr>
          <w:rFonts w:hint="default" w:eastAsiaTheme="minorEastAsia"/>
          <w:sz w:val="28"/>
          <w:szCs w:val="28"/>
          <w:lang w:val="en-US" w:eastAsia="zh-CN"/>
        </w:rPr>
      </w:pPr>
      <w:r>
        <w:rPr>
          <w:rFonts w:hint="eastAsia"/>
          <w:sz w:val="28"/>
          <w:szCs w:val="28"/>
        </w:rPr>
        <w:t>202</w:t>
      </w:r>
      <w:r>
        <w:rPr>
          <w:rFonts w:hint="eastAsia"/>
          <w:sz w:val="28"/>
          <w:szCs w:val="28"/>
          <w:lang w:val="en-US" w:eastAsia="zh-CN"/>
        </w:rPr>
        <w:t>1</w:t>
      </w:r>
      <w:r>
        <w:rPr>
          <w:sz w:val="28"/>
          <w:szCs w:val="28"/>
        </w:rPr>
        <w:t>年度财政拨款支出</w:t>
      </w:r>
      <w:r>
        <w:rPr>
          <w:rFonts w:hint="eastAsia"/>
          <w:sz w:val="28"/>
          <w:szCs w:val="28"/>
          <w:lang w:val="en-US" w:eastAsia="zh-CN"/>
        </w:rPr>
        <w:t>11307.03</w:t>
      </w:r>
      <w:r>
        <w:rPr>
          <w:sz w:val="28"/>
          <w:szCs w:val="28"/>
        </w:rPr>
        <w:t>万元，</w:t>
      </w:r>
      <w:r>
        <w:rPr>
          <w:rFonts w:hint="eastAsia"/>
          <w:sz w:val="28"/>
          <w:szCs w:val="28"/>
          <w:lang w:eastAsia="zh-CN"/>
        </w:rPr>
        <w:t>占本年支出合计的</w:t>
      </w:r>
      <w:r>
        <w:rPr>
          <w:rFonts w:hint="eastAsia"/>
          <w:sz w:val="28"/>
          <w:szCs w:val="28"/>
          <w:lang w:val="en-US" w:eastAsia="zh-CN"/>
        </w:rPr>
        <w:t>96.70%，与上年相比财政拨款支出</w:t>
      </w:r>
      <w:r>
        <w:rPr>
          <w:rFonts w:hint="eastAsia"/>
          <w:sz w:val="28"/>
          <w:szCs w:val="28"/>
        </w:rPr>
        <w:t>增加</w:t>
      </w:r>
      <w:r>
        <w:rPr>
          <w:rFonts w:hint="eastAsia"/>
          <w:sz w:val="28"/>
          <w:szCs w:val="28"/>
          <w:lang w:val="en-US" w:eastAsia="zh-CN"/>
        </w:rPr>
        <w:t>3054.85</w:t>
      </w:r>
      <w:r>
        <w:rPr>
          <w:sz w:val="28"/>
          <w:szCs w:val="28"/>
        </w:rPr>
        <w:t>万元，</w:t>
      </w:r>
      <w:r>
        <w:rPr>
          <w:rFonts w:hint="eastAsia"/>
          <w:sz w:val="28"/>
          <w:szCs w:val="28"/>
          <w:lang w:eastAsia="zh-CN"/>
        </w:rPr>
        <w:t>增长</w:t>
      </w:r>
      <w:r>
        <w:rPr>
          <w:rFonts w:hint="eastAsia"/>
          <w:sz w:val="28"/>
          <w:szCs w:val="28"/>
          <w:lang w:val="en-US" w:eastAsia="zh-CN"/>
        </w:rPr>
        <w:t>37.01%，</w:t>
      </w:r>
      <w:r>
        <w:rPr>
          <w:rFonts w:hint="eastAsia"/>
          <w:sz w:val="28"/>
          <w:szCs w:val="28"/>
        </w:rPr>
        <w:t>主要是</w:t>
      </w:r>
      <w:r>
        <w:rPr>
          <w:rFonts w:hint="eastAsia"/>
          <w:sz w:val="28"/>
          <w:szCs w:val="28"/>
          <w:lang w:eastAsia="zh-CN"/>
        </w:rPr>
        <w:t>因为政策性人员经费增加，以及</w:t>
      </w:r>
      <w:r>
        <w:rPr>
          <w:rFonts w:hint="eastAsia"/>
          <w:sz w:val="28"/>
          <w:szCs w:val="28"/>
          <w:lang w:val="en-US" w:eastAsia="zh-CN"/>
        </w:rPr>
        <w:t>按照相关政策拨付各客运公司和出租车公司2019年度农村道路客运和出租车油补资金增加支出2197.03万元。</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center"/>
        <w:rPr>
          <w:rFonts w:hint="eastAsia"/>
          <w:sz w:val="28"/>
          <w:szCs w:val="28"/>
        </w:rPr>
      </w:pPr>
      <w:r>
        <w:rPr>
          <w:rFonts w:hint="eastAsia"/>
          <w:sz w:val="28"/>
          <w:szCs w:val="28"/>
          <w:lang w:eastAsia="zh-CN"/>
        </w:rPr>
        <w:t>（二）</w:t>
      </w:r>
      <w:r>
        <w:rPr>
          <w:rFonts w:hint="eastAsia"/>
          <w:sz w:val="28"/>
          <w:szCs w:val="28"/>
        </w:rPr>
        <w:t>财政拨款支出决算结构情况</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center"/>
        <w:rPr>
          <w:rFonts w:hint="eastAsia"/>
          <w:sz w:val="28"/>
          <w:szCs w:val="28"/>
          <w:lang w:val="en-US" w:eastAsia="zh-CN"/>
        </w:rPr>
      </w:pPr>
      <w:r>
        <w:rPr>
          <w:rFonts w:hint="eastAsia"/>
          <w:sz w:val="28"/>
          <w:szCs w:val="28"/>
        </w:rPr>
        <w:t>202</w:t>
      </w:r>
      <w:r>
        <w:rPr>
          <w:rFonts w:hint="eastAsia"/>
          <w:sz w:val="28"/>
          <w:szCs w:val="28"/>
          <w:lang w:val="en-US" w:eastAsia="zh-CN"/>
        </w:rPr>
        <w:t>1</w:t>
      </w:r>
      <w:r>
        <w:rPr>
          <w:rFonts w:hint="eastAsia"/>
          <w:sz w:val="28"/>
          <w:szCs w:val="28"/>
        </w:rPr>
        <w:t>年度财政拨款支出</w:t>
      </w:r>
      <w:r>
        <w:rPr>
          <w:rFonts w:hint="eastAsia"/>
          <w:sz w:val="28"/>
          <w:szCs w:val="28"/>
          <w:lang w:val="en-US" w:eastAsia="zh-CN"/>
        </w:rPr>
        <w:t>11307.03</w:t>
      </w:r>
      <w:r>
        <w:rPr>
          <w:rFonts w:hint="eastAsia"/>
          <w:sz w:val="28"/>
          <w:szCs w:val="28"/>
        </w:rPr>
        <w:t>万元，</w:t>
      </w:r>
      <w:r>
        <w:rPr>
          <w:rFonts w:hint="eastAsia"/>
          <w:sz w:val="28"/>
          <w:szCs w:val="28"/>
          <w:lang w:eastAsia="zh-CN"/>
        </w:rPr>
        <w:t>主要用于以下方面：一般公共服务支出（类）宣传事务（款）其他宣传事务支出（项）支出</w:t>
      </w:r>
      <w:r>
        <w:rPr>
          <w:rFonts w:hint="eastAsia"/>
          <w:sz w:val="28"/>
          <w:szCs w:val="28"/>
          <w:lang w:val="en-US" w:eastAsia="zh-CN"/>
        </w:rPr>
        <w:t>5.30万元，占0.05%，；</w:t>
      </w:r>
      <w:r>
        <w:rPr>
          <w:rFonts w:hint="eastAsia"/>
          <w:sz w:val="28"/>
          <w:szCs w:val="28"/>
          <w:lang w:eastAsia="zh-CN"/>
        </w:rPr>
        <w:t>文化旅游体育与传媒支出（类）文化和旅游（款）其他文化和旅游支出（项）支出</w:t>
      </w:r>
      <w:r>
        <w:rPr>
          <w:rFonts w:hint="eastAsia"/>
          <w:sz w:val="28"/>
          <w:szCs w:val="28"/>
          <w:lang w:val="en-US" w:eastAsia="zh-CN"/>
        </w:rPr>
        <w:t>2.18万元，占比0.02%；</w:t>
      </w:r>
      <w:r>
        <w:rPr>
          <w:sz w:val="28"/>
          <w:szCs w:val="28"/>
        </w:rPr>
        <w:t>社会保障和就业支出（类）行政事业单位</w:t>
      </w:r>
      <w:r>
        <w:rPr>
          <w:rFonts w:hint="eastAsia"/>
          <w:sz w:val="28"/>
          <w:szCs w:val="28"/>
          <w:lang w:eastAsia="zh-CN"/>
        </w:rPr>
        <w:t>养老支出</w:t>
      </w:r>
      <w:r>
        <w:rPr>
          <w:sz w:val="28"/>
          <w:szCs w:val="28"/>
        </w:rPr>
        <w:t>（款）机关事业单位基本养老保险费支出（项）</w:t>
      </w:r>
      <w:r>
        <w:rPr>
          <w:rFonts w:hint="eastAsia"/>
          <w:sz w:val="28"/>
          <w:szCs w:val="28"/>
          <w:lang w:eastAsia="zh-CN"/>
        </w:rPr>
        <w:t>支出</w:t>
      </w:r>
      <w:r>
        <w:rPr>
          <w:rFonts w:hint="eastAsia"/>
          <w:sz w:val="28"/>
          <w:szCs w:val="28"/>
          <w:lang w:val="en-US" w:eastAsia="zh-CN"/>
        </w:rPr>
        <w:t>667.14万元，占比5.90%；</w:t>
      </w:r>
      <w:r>
        <w:rPr>
          <w:sz w:val="28"/>
          <w:szCs w:val="28"/>
        </w:rPr>
        <w:t>社会保障和就业支出（类）抚恤（款）其他优抚支出（项）</w:t>
      </w:r>
      <w:r>
        <w:rPr>
          <w:rFonts w:hint="eastAsia"/>
          <w:sz w:val="28"/>
          <w:szCs w:val="28"/>
          <w:lang w:eastAsia="zh-CN"/>
        </w:rPr>
        <w:t>支出</w:t>
      </w:r>
      <w:r>
        <w:rPr>
          <w:rFonts w:hint="eastAsia"/>
          <w:sz w:val="28"/>
          <w:szCs w:val="28"/>
          <w:lang w:val="en-US" w:eastAsia="zh-CN"/>
        </w:rPr>
        <w:t>19.24万元，占比0.17%；</w:t>
      </w:r>
      <w:r>
        <w:rPr>
          <w:sz w:val="28"/>
          <w:szCs w:val="28"/>
        </w:rPr>
        <w:t>社会保障和就业支出（类）残疾人事业（款）其他残疾人事业支出（项）</w:t>
      </w:r>
      <w:r>
        <w:rPr>
          <w:rFonts w:hint="eastAsia"/>
          <w:sz w:val="28"/>
          <w:szCs w:val="28"/>
          <w:lang w:eastAsia="zh-CN"/>
        </w:rPr>
        <w:t>支出</w:t>
      </w:r>
      <w:r>
        <w:rPr>
          <w:rFonts w:hint="eastAsia"/>
          <w:sz w:val="28"/>
          <w:szCs w:val="28"/>
          <w:lang w:val="en-US" w:eastAsia="zh-CN"/>
        </w:rPr>
        <w:t>39.90万元，占比0.35%；</w:t>
      </w:r>
      <w:r>
        <w:rPr>
          <w:sz w:val="28"/>
          <w:szCs w:val="28"/>
        </w:rPr>
        <w:t>社会保障和就业支出（类）其他社会保障和就业支出（款）其他社会保障和就业支出（项）</w:t>
      </w:r>
      <w:r>
        <w:rPr>
          <w:rFonts w:hint="eastAsia"/>
          <w:sz w:val="28"/>
          <w:szCs w:val="28"/>
          <w:lang w:eastAsia="zh-CN"/>
        </w:rPr>
        <w:t>支出</w:t>
      </w:r>
      <w:r>
        <w:rPr>
          <w:rFonts w:hint="eastAsia"/>
          <w:sz w:val="28"/>
          <w:szCs w:val="28"/>
          <w:lang w:val="en-US" w:eastAsia="zh-CN"/>
        </w:rPr>
        <w:t>0.96万元，占比0.01%；</w:t>
      </w:r>
      <w:r>
        <w:rPr>
          <w:sz w:val="28"/>
          <w:szCs w:val="28"/>
        </w:rPr>
        <w:t>卫生健康支出（类）行政事业单位医疗（款）事业单位医疗（项）</w:t>
      </w:r>
      <w:r>
        <w:rPr>
          <w:rFonts w:hint="eastAsia"/>
          <w:sz w:val="28"/>
          <w:szCs w:val="28"/>
          <w:lang w:eastAsia="zh-CN"/>
        </w:rPr>
        <w:t>支出</w:t>
      </w:r>
      <w:r>
        <w:rPr>
          <w:rFonts w:hint="eastAsia"/>
          <w:sz w:val="28"/>
          <w:szCs w:val="28"/>
          <w:lang w:val="en-US" w:eastAsia="zh-CN"/>
        </w:rPr>
        <w:t>343.11万元，占比3.03%；</w:t>
      </w:r>
      <w:r>
        <w:rPr>
          <w:sz w:val="28"/>
          <w:szCs w:val="28"/>
        </w:rPr>
        <w:t>交通运输支出（类）公路水路运输（款）行政运行（项）</w:t>
      </w:r>
      <w:r>
        <w:rPr>
          <w:rFonts w:hint="eastAsia"/>
          <w:sz w:val="28"/>
          <w:szCs w:val="28"/>
          <w:lang w:eastAsia="zh-CN"/>
        </w:rPr>
        <w:t>支出</w:t>
      </w:r>
      <w:r>
        <w:rPr>
          <w:rFonts w:hint="eastAsia"/>
          <w:sz w:val="28"/>
          <w:szCs w:val="28"/>
          <w:lang w:val="en-US" w:eastAsia="zh-CN"/>
        </w:rPr>
        <w:t>5362.50万元，占比47.42%；</w:t>
      </w:r>
      <w:r>
        <w:rPr>
          <w:sz w:val="28"/>
          <w:szCs w:val="28"/>
        </w:rPr>
        <w:t>交通运输支出（类）公路水路运输（款）其他公路水路运输支出（项）</w:t>
      </w:r>
      <w:r>
        <w:rPr>
          <w:rFonts w:hint="eastAsia"/>
          <w:sz w:val="28"/>
          <w:szCs w:val="28"/>
          <w:lang w:eastAsia="zh-CN"/>
        </w:rPr>
        <w:t>支出</w:t>
      </w:r>
      <w:r>
        <w:rPr>
          <w:rFonts w:hint="eastAsia"/>
          <w:sz w:val="28"/>
          <w:szCs w:val="28"/>
          <w:lang w:val="en-US" w:eastAsia="zh-CN"/>
        </w:rPr>
        <w:t>30.00万元，占比0.27%；交通运输支出（类）成品油价格改革对交通运输的补贴（款）对农村道路客运的补贴（项）支出136.46万元，占比1.21%；交通运输支出（类）成品油价格改革对交通运输的补贴（款）对出租车的补贴（项）支出2060.57万元，占比18.22%；</w:t>
      </w:r>
      <w:r>
        <w:rPr>
          <w:sz w:val="28"/>
          <w:szCs w:val="28"/>
        </w:rPr>
        <w:t>交通运输支出（类）其他交通运输支出（款）其他交通运输支出（项）</w:t>
      </w:r>
      <w:r>
        <w:rPr>
          <w:rFonts w:hint="eastAsia"/>
          <w:sz w:val="28"/>
          <w:szCs w:val="28"/>
          <w:lang w:eastAsia="zh-CN"/>
        </w:rPr>
        <w:t>支出</w:t>
      </w:r>
      <w:r>
        <w:rPr>
          <w:rFonts w:hint="eastAsia"/>
          <w:sz w:val="28"/>
          <w:szCs w:val="28"/>
          <w:lang w:val="en-US" w:eastAsia="zh-CN"/>
        </w:rPr>
        <w:t>2639.67万元，占比23.35%。</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center"/>
        <w:rPr>
          <w:sz w:val="28"/>
          <w:szCs w:val="28"/>
        </w:rPr>
      </w:pPr>
      <w:r>
        <w:rPr>
          <w:rFonts w:hint="eastAsia"/>
          <w:sz w:val="28"/>
          <w:szCs w:val="28"/>
        </w:rPr>
        <w:t>（三）财政拨款支出决算具体情况</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center"/>
        <w:rPr>
          <w:rFonts w:hint="eastAsia"/>
          <w:sz w:val="28"/>
          <w:szCs w:val="28"/>
          <w:lang w:eastAsia="zh-CN"/>
        </w:rPr>
      </w:pPr>
      <w:r>
        <w:rPr>
          <w:rFonts w:hint="eastAsia"/>
          <w:sz w:val="28"/>
          <w:szCs w:val="28"/>
          <w:lang w:val="en-US" w:eastAsia="zh-CN"/>
        </w:rPr>
        <w:t>2021</w:t>
      </w:r>
      <w:r>
        <w:rPr>
          <w:sz w:val="28"/>
          <w:szCs w:val="28"/>
        </w:rPr>
        <w:t>年度财政拨款支出年初预算数为</w:t>
      </w:r>
      <w:r>
        <w:rPr>
          <w:rFonts w:hint="eastAsia"/>
          <w:sz w:val="28"/>
          <w:szCs w:val="28"/>
          <w:lang w:val="en-US" w:eastAsia="zh-CN"/>
        </w:rPr>
        <w:t>6206.96</w:t>
      </w:r>
      <w:r>
        <w:rPr>
          <w:sz w:val="28"/>
          <w:szCs w:val="28"/>
        </w:rPr>
        <w:t>万元，支出决算数为</w:t>
      </w:r>
      <w:r>
        <w:rPr>
          <w:rFonts w:hint="eastAsia"/>
          <w:sz w:val="28"/>
          <w:szCs w:val="28"/>
          <w:lang w:val="en-US" w:eastAsia="zh-CN"/>
        </w:rPr>
        <w:t>11307.03</w:t>
      </w:r>
      <w:r>
        <w:rPr>
          <w:sz w:val="28"/>
          <w:szCs w:val="28"/>
        </w:rPr>
        <w:t>万元，完成年初预算的</w:t>
      </w:r>
      <w:r>
        <w:rPr>
          <w:rFonts w:hint="eastAsia"/>
          <w:sz w:val="28"/>
          <w:szCs w:val="28"/>
          <w:lang w:val="en-US" w:eastAsia="zh-CN"/>
        </w:rPr>
        <w:t>182.16</w:t>
      </w:r>
      <w:r>
        <w:rPr>
          <w:sz w:val="28"/>
          <w:szCs w:val="28"/>
        </w:rPr>
        <w:t>%，其中：</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560" w:firstLineChars="200"/>
        <w:textAlignment w:val="center"/>
        <w:rPr>
          <w:sz w:val="28"/>
          <w:szCs w:val="28"/>
        </w:rPr>
      </w:pPr>
      <w:r>
        <w:rPr>
          <w:rFonts w:hint="eastAsia"/>
          <w:sz w:val="28"/>
          <w:szCs w:val="28"/>
          <w:lang w:val="en-US" w:eastAsia="zh-CN"/>
        </w:rPr>
        <w:t>一般公共服务支出（类）宣传事务（款）其他宣传事务支出（项）。年初预算为0万元，支出决算为5.30万元，由于预算数为0，无法计算百分比，</w:t>
      </w:r>
      <w:r>
        <w:rPr>
          <w:rFonts w:hint="eastAsia"/>
          <w:sz w:val="28"/>
          <w:szCs w:val="28"/>
          <w:lang w:eastAsia="zh-CN"/>
        </w:rPr>
        <w:t>决算数大于年初预算数主要原因是</w:t>
      </w:r>
      <w:r>
        <w:rPr>
          <w:sz w:val="28"/>
          <w:szCs w:val="28"/>
        </w:rPr>
        <w:t>财政按规定拨付</w:t>
      </w:r>
      <w:r>
        <w:rPr>
          <w:rFonts w:hint="eastAsia"/>
          <w:sz w:val="28"/>
          <w:szCs w:val="28"/>
          <w:lang w:eastAsia="zh-CN"/>
        </w:rPr>
        <w:t>文明城市创建奖励经费支出</w:t>
      </w:r>
      <w:r>
        <w:rPr>
          <w:sz w:val="28"/>
          <w:szCs w:val="28"/>
        </w:rPr>
        <w:t>。</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560" w:firstLineChars="200"/>
        <w:textAlignment w:val="center"/>
        <w:rPr>
          <w:sz w:val="28"/>
          <w:szCs w:val="28"/>
        </w:rPr>
      </w:pPr>
      <w:r>
        <w:rPr>
          <w:rFonts w:hint="eastAsia"/>
          <w:sz w:val="28"/>
          <w:szCs w:val="28"/>
          <w:lang w:eastAsia="zh-CN"/>
        </w:rPr>
        <w:t>文化旅游体育与传媒支出（类）文化和旅游（款）其他文化和旅游支出（项）。年初预算为</w:t>
      </w:r>
      <w:r>
        <w:rPr>
          <w:rFonts w:hint="eastAsia"/>
          <w:sz w:val="28"/>
          <w:szCs w:val="28"/>
          <w:lang w:val="en-US" w:eastAsia="zh-CN"/>
        </w:rPr>
        <w:t>0万元，支出预算为2.18万元，由于预算数为0，无法计算百分比，</w:t>
      </w:r>
      <w:r>
        <w:rPr>
          <w:rFonts w:hint="eastAsia"/>
          <w:sz w:val="28"/>
          <w:szCs w:val="28"/>
          <w:lang w:eastAsia="zh-CN"/>
        </w:rPr>
        <w:t>决算数大于年初预算数主要原因是</w:t>
      </w:r>
      <w:r>
        <w:rPr>
          <w:sz w:val="28"/>
          <w:szCs w:val="28"/>
        </w:rPr>
        <w:t>财政按规定拨付</w:t>
      </w:r>
      <w:r>
        <w:rPr>
          <w:rFonts w:hint="eastAsia"/>
          <w:sz w:val="28"/>
          <w:szCs w:val="28"/>
          <w:lang w:eastAsia="zh-CN"/>
        </w:rPr>
        <w:t>全国文明城市建设工作经费。</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center"/>
        <w:rPr>
          <w:sz w:val="28"/>
          <w:szCs w:val="28"/>
        </w:rPr>
      </w:pPr>
      <w:r>
        <w:rPr>
          <w:rFonts w:hint="eastAsia"/>
          <w:sz w:val="28"/>
          <w:szCs w:val="28"/>
          <w:lang w:val="en-US" w:eastAsia="zh-CN"/>
        </w:rPr>
        <w:t>3</w:t>
      </w:r>
      <w:r>
        <w:rPr>
          <w:sz w:val="28"/>
          <w:szCs w:val="28"/>
        </w:rPr>
        <w:t>、社会保障和就业支出（类）行政事业单位离退休（款）机关事业单位基本养老保险费支出（项）</w:t>
      </w:r>
      <w:r>
        <w:rPr>
          <w:rFonts w:hint="eastAsia"/>
          <w:sz w:val="28"/>
          <w:szCs w:val="28"/>
          <w:lang w:eastAsia="zh-CN"/>
        </w:rPr>
        <w:t>。</w:t>
      </w:r>
      <w:r>
        <w:rPr>
          <w:sz w:val="28"/>
          <w:szCs w:val="28"/>
        </w:rPr>
        <w:t>年初预算为</w:t>
      </w:r>
      <w:r>
        <w:rPr>
          <w:rFonts w:hint="eastAsia"/>
          <w:sz w:val="28"/>
          <w:szCs w:val="28"/>
          <w:lang w:val="en-US" w:eastAsia="zh-CN"/>
        </w:rPr>
        <w:t>667.14</w:t>
      </w:r>
      <w:r>
        <w:rPr>
          <w:sz w:val="28"/>
          <w:szCs w:val="28"/>
        </w:rPr>
        <w:t>万元，支出决算为</w:t>
      </w:r>
      <w:r>
        <w:rPr>
          <w:rFonts w:hint="eastAsia"/>
          <w:sz w:val="28"/>
          <w:szCs w:val="28"/>
          <w:lang w:val="en-US" w:eastAsia="zh-CN"/>
        </w:rPr>
        <w:t>667.14</w:t>
      </w:r>
      <w:r>
        <w:rPr>
          <w:sz w:val="28"/>
          <w:szCs w:val="28"/>
        </w:rPr>
        <w:t>万元，完成年初预算的100%。</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center"/>
        <w:rPr>
          <w:sz w:val="28"/>
          <w:szCs w:val="28"/>
        </w:rPr>
      </w:pPr>
      <w:r>
        <w:rPr>
          <w:rFonts w:hint="eastAsia"/>
          <w:sz w:val="28"/>
          <w:szCs w:val="28"/>
          <w:lang w:val="en-US" w:eastAsia="zh-CN"/>
        </w:rPr>
        <w:t>4</w:t>
      </w:r>
      <w:r>
        <w:rPr>
          <w:sz w:val="28"/>
          <w:szCs w:val="28"/>
        </w:rPr>
        <w:t>、社会保障和就业支出（类）抚恤（款）其他优抚支出（项）</w:t>
      </w:r>
      <w:r>
        <w:rPr>
          <w:rFonts w:hint="eastAsia"/>
          <w:sz w:val="28"/>
          <w:szCs w:val="28"/>
          <w:lang w:eastAsia="zh-CN"/>
        </w:rPr>
        <w:t>。</w:t>
      </w:r>
      <w:r>
        <w:rPr>
          <w:sz w:val="28"/>
          <w:szCs w:val="28"/>
        </w:rPr>
        <w:t>年初预算0万元，决算支出</w:t>
      </w:r>
      <w:r>
        <w:rPr>
          <w:rFonts w:hint="eastAsia"/>
          <w:sz w:val="28"/>
          <w:szCs w:val="28"/>
          <w:lang w:val="en-US" w:eastAsia="zh-CN"/>
        </w:rPr>
        <w:t>19.24</w:t>
      </w:r>
      <w:r>
        <w:rPr>
          <w:sz w:val="28"/>
          <w:szCs w:val="28"/>
        </w:rPr>
        <w:t>万元，</w:t>
      </w:r>
      <w:r>
        <w:rPr>
          <w:rFonts w:hint="eastAsia"/>
          <w:sz w:val="28"/>
          <w:szCs w:val="28"/>
          <w:lang w:val="en-US" w:eastAsia="zh-CN"/>
        </w:rPr>
        <w:t>由于预算数为0，无法计算百分比，</w:t>
      </w:r>
      <w:r>
        <w:rPr>
          <w:rFonts w:hint="eastAsia"/>
          <w:sz w:val="28"/>
          <w:szCs w:val="28"/>
          <w:lang w:eastAsia="zh-CN"/>
        </w:rPr>
        <w:t>决算数大于年初预算数主要原因是</w:t>
      </w:r>
      <w:r>
        <w:rPr>
          <w:sz w:val="28"/>
          <w:szCs w:val="28"/>
        </w:rPr>
        <w:t>财政按规定拨付一次性抚恤金。</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center"/>
        <w:rPr>
          <w:sz w:val="28"/>
          <w:szCs w:val="28"/>
        </w:rPr>
      </w:pPr>
      <w:r>
        <w:rPr>
          <w:rFonts w:hint="eastAsia"/>
          <w:sz w:val="28"/>
          <w:szCs w:val="28"/>
          <w:lang w:val="en-US" w:eastAsia="zh-CN"/>
        </w:rPr>
        <w:t>5</w:t>
      </w:r>
      <w:r>
        <w:rPr>
          <w:sz w:val="28"/>
          <w:szCs w:val="28"/>
        </w:rPr>
        <w:t>、社会保障和就业支出（类）残疾人事业（款）其他残疾人事业支出（项）</w:t>
      </w:r>
      <w:r>
        <w:rPr>
          <w:rFonts w:hint="eastAsia"/>
          <w:sz w:val="28"/>
          <w:szCs w:val="28"/>
          <w:lang w:eastAsia="zh-CN"/>
        </w:rPr>
        <w:t>。</w:t>
      </w:r>
      <w:r>
        <w:rPr>
          <w:sz w:val="28"/>
          <w:szCs w:val="28"/>
        </w:rPr>
        <w:t>年初预算</w:t>
      </w:r>
      <w:r>
        <w:rPr>
          <w:rFonts w:hint="eastAsia"/>
          <w:sz w:val="28"/>
          <w:szCs w:val="28"/>
          <w:lang w:eastAsia="zh-CN"/>
        </w:rPr>
        <w:t>为</w:t>
      </w:r>
      <w:r>
        <w:rPr>
          <w:rFonts w:hint="eastAsia"/>
          <w:sz w:val="28"/>
          <w:szCs w:val="28"/>
          <w:lang w:val="en-US" w:eastAsia="zh-CN"/>
        </w:rPr>
        <w:t>39.90</w:t>
      </w:r>
      <w:r>
        <w:rPr>
          <w:sz w:val="28"/>
          <w:szCs w:val="28"/>
        </w:rPr>
        <w:t>万元，决算支出</w:t>
      </w:r>
      <w:r>
        <w:rPr>
          <w:rFonts w:hint="eastAsia"/>
          <w:sz w:val="28"/>
          <w:szCs w:val="28"/>
          <w:lang w:val="en-US" w:eastAsia="zh-CN"/>
        </w:rPr>
        <w:t>39.90</w:t>
      </w:r>
      <w:r>
        <w:rPr>
          <w:sz w:val="28"/>
          <w:szCs w:val="28"/>
        </w:rPr>
        <w:t>万元，完成年初预算的100%。</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center"/>
        <w:rPr>
          <w:sz w:val="28"/>
          <w:szCs w:val="28"/>
        </w:rPr>
      </w:pPr>
      <w:r>
        <w:rPr>
          <w:rFonts w:hint="eastAsia"/>
          <w:sz w:val="28"/>
          <w:szCs w:val="28"/>
          <w:lang w:val="en-US" w:eastAsia="zh-CN"/>
        </w:rPr>
        <w:t>6</w:t>
      </w:r>
      <w:r>
        <w:rPr>
          <w:sz w:val="28"/>
          <w:szCs w:val="28"/>
        </w:rPr>
        <w:t>、社会保障和就业支出（类）其他社会保障和就业支出（款）其他社会保障和就业支出（项）</w:t>
      </w:r>
      <w:r>
        <w:rPr>
          <w:rFonts w:hint="eastAsia"/>
          <w:sz w:val="28"/>
          <w:szCs w:val="28"/>
          <w:lang w:eastAsia="zh-CN"/>
        </w:rPr>
        <w:t>。</w:t>
      </w:r>
      <w:r>
        <w:rPr>
          <w:sz w:val="28"/>
          <w:szCs w:val="28"/>
        </w:rPr>
        <w:t>年初预算</w:t>
      </w:r>
      <w:r>
        <w:rPr>
          <w:rFonts w:hint="eastAsia"/>
          <w:sz w:val="28"/>
          <w:szCs w:val="28"/>
          <w:lang w:eastAsia="zh-CN"/>
        </w:rPr>
        <w:t>为</w:t>
      </w:r>
      <w:r>
        <w:rPr>
          <w:sz w:val="28"/>
          <w:szCs w:val="28"/>
        </w:rPr>
        <w:t>0万元，决算支出</w:t>
      </w:r>
      <w:r>
        <w:rPr>
          <w:rFonts w:hint="eastAsia"/>
          <w:sz w:val="28"/>
          <w:szCs w:val="28"/>
          <w:lang w:val="en-US" w:eastAsia="zh-CN"/>
        </w:rPr>
        <w:t>0.96</w:t>
      </w:r>
      <w:r>
        <w:rPr>
          <w:sz w:val="28"/>
          <w:szCs w:val="28"/>
        </w:rPr>
        <w:t>万元，</w:t>
      </w:r>
      <w:r>
        <w:rPr>
          <w:rFonts w:hint="eastAsia"/>
          <w:sz w:val="28"/>
          <w:szCs w:val="28"/>
          <w:lang w:val="en-US" w:eastAsia="zh-CN"/>
        </w:rPr>
        <w:t>由于预算数为0，无法计算百分比，</w:t>
      </w:r>
      <w:r>
        <w:rPr>
          <w:rFonts w:hint="eastAsia"/>
          <w:sz w:val="28"/>
          <w:szCs w:val="28"/>
          <w:lang w:eastAsia="zh-CN"/>
        </w:rPr>
        <w:t>决算数大于年初预算数主要原因是财政拨付</w:t>
      </w:r>
      <w:r>
        <w:rPr>
          <w:sz w:val="28"/>
          <w:szCs w:val="28"/>
        </w:rPr>
        <w:t>解放初期参加工作老干部补贴支出。</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center"/>
        <w:rPr>
          <w:sz w:val="28"/>
          <w:szCs w:val="28"/>
        </w:rPr>
      </w:pPr>
      <w:r>
        <w:rPr>
          <w:rFonts w:hint="eastAsia"/>
          <w:sz w:val="28"/>
          <w:szCs w:val="28"/>
          <w:lang w:val="en-US" w:eastAsia="zh-CN"/>
        </w:rPr>
        <w:t>7</w:t>
      </w:r>
      <w:r>
        <w:rPr>
          <w:sz w:val="28"/>
          <w:szCs w:val="28"/>
        </w:rPr>
        <w:t>、卫生健康支出（类）行政事业单位医疗（款）事业单位医疗（项）</w:t>
      </w:r>
      <w:r>
        <w:rPr>
          <w:rFonts w:hint="eastAsia"/>
          <w:sz w:val="28"/>
          <w:szCs w:val="28"/>
          <w:lang w:eastAsia="zh-CN"/>
        </w:rPr>
        <w:t>。</w:t>
      </w:r>
      <w:r>
        <w:rPr>
          <w:sz w:val="28"/>
          <w:szCs w:val="28"/>
        </w:rPr>
        <w:t>年初预算</w:t>
      </w:r>
      <w:r>
        <w:rPr>
          <w:rFonts w:hint="eastAsia"/>
          <w:sz w:val="28"/>
          <w:szCs w:val="28"/>
          <w:lang w:eastAsia="zh-CN"/>
        </w:rPr>
        <w:t>为</w:t>
      </w:r>
      <w:r>
        <w:rPr>
          <w:rFonts w:hint="eastAsia"/>
          <w:sz w:val="28"/>
          <w:szCs w:val="28"/>
          <w:lang w:val="en-US" w:eastAsia="zh-CN"/>
        </w:rPr>
        <w:t>343.11</w:t>
      </w:r>
      <w:r>
        <w:rPr>
          <w:sz w:val="28"/>
          <w:szCs w:val="28"/>
        </w:rPr>
        <w:t>万元，决算支出</w:t>
      </w:r>
      <w:r>
        <w:rPr>
          <w:rFonts w:hint="eastAsia"/>
          <w:sz w:val="28"/>
          <w:szCs w:val="28"/>
          <w:lang w:val="en-US" w:eastAsia="zh-CN"/>
        </w:rPr>
        <w:t>343.11</w:t>
      </w:r>
      <w:r>
        <w:rPr>
          <w:sz w:val="28"/>
          <w:szCs w:val="28"/>
        </w:rPr>
        <w:t>万元，完成年初预算的</w:t>
      </w:r>
      <w:r>
        <w:rPr>
          <w:rFonts w:hint="eastAsia"/>
          <w:sz w:val="28"/>
          <w:szCs w:val="28"/>
          <w:lang w:val="en-US" w:eastAsia="zh-CN"/>
        </w:rPr>
        <w:t>100</w:t>
      </w:r>
      <w:r>
        <w:rPr>
          <w:sz w:val="28"/>
          <w:szCs w:val="28"/>
        </w:rPr>
        <w:t>%。</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center"/>
        <w:rPr>
          <w:rFonts w:hint="eastAsia"/>
          <w:sz w:val="28"/>
          <w:szCs w:val="28"/>
          <w:lang w:eastAsia="zh-CN"/>
        </w:rPr>
      </w:pPr>
      <w:r>
        <w:rPr>
          <w:rFonts w:hint="eastAsia"/>
          <w:sz w:val="28"/>
          <w:szCs w:val="28"/>
          <w:lang w:val="en-US" w:eastAsia="zh-CN"/>
        </w:rPr>
        <w:t>8</w:t>
      </w:r>
      <w:r>
        <w:rPr>
          <w:sz w:val="28"/>
          <w:szCs w:val="28"/>
        </w:rPr>
        <w:t>、交通运输支出（类）公路水路运输（款）行政运行（项）</w:t>
      </w:r>
      <w:r>
        <w:rPr>
          <w:rFonts w:hint="eastAsia"/>
          <w:sz w:val="28"/>
          <w:szCs w:val="28"/>
          <w:lang w:eastAsia="zh-CN"/>
        </w:rPr>
        <w:t>。</w:t>
      </w:r>
      <w:r>
        <w:rPr>
          <w:sz w:val="28"/>
          <w:szCs w:val="28"/>
        </w:rPr>
        <w:t>年初预算</w:t>
      </w:r>
      <w:r>
        <w:rPr>
          <w:rFonts w:hint="eastAsia"/>
          <w:sz w:val="28"/>
          <w:szCs w:val="28"/>
          <w:lang w:eastAsia="zh-CN"/>
        </w:rPr>
        <w:t>为</w:t>
      </w:r>
      <w:r>
        <w:rPr>
          <w:rFonts w:hint="eastAsia"/>
          <w:sz w:val="28"/>
          <w:szCs w:val="28"/>
          <w:lang w:val="en-US" w:eastAsia="zh-CN"/>
        </w:rPr>
        <w:t>5156.81</w:t>
      </w:r>
      <w:r>
        <w:rPr>
          <w:sz w:val="28"/>
          <w:szCs w:val="28"/>
        </w:rPr>
        <w:t>万元，决算支出</w:t>
      </w:r>
      <w:r>
        <w:rPr>
          <w:rFonts w:hint="eastAsia"/>
          <w:sz w:val="28"/>
          <w:szCs w:val="28"/>
          <w:lang w:val="en-US" w:eastAsia="zh-CN"/>
        </w:rPr>
        <w:t>5362.50</w:t>
      </w:r>
      <w:r>
        <w:rPr>
          <w:sz w:val="28"/>
          <w:szCs w:val="28"/>
        </w:rPr>
        <w:t>万元，完成年初预算的</w:t>
      </w:r>
      <w:r>
        <w:rPr>
          <w:rFonts w:hint="eastAsia"/>
          <w:sz w:val="28"/>
          <w:szCs w:val="28"/>
          <w:lang w:val="en-US" w:eastAsia="zh-CN"/>
        </w:rPr>
        <w:t>103.98</w:t>
      </w:r>
      <w:r>
        <w:rPr>
          <w:sz w:val="28"/>
          <w:szCs w:val="28"/>
        </w:rPr>
        <w:t>%。</w:t>
      </w:r>
      <w:r>
        <w:rPr>
          <w:rFonts w:hint="eastAsia"/>
          <w:sz w:val="28"/>
          <w:szCs w:val="28"/>
          <w:lang w:eastAsia="zh-CN"/>
        </w:rPr>
        <w:t>决算数大于年初预算数主要原因是发放政策性的人员经费补贴。</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center"/>
        <w:rPr>
          <w:sz w:val="28"/>
          <w:szCs w:val="28"/>
        </w:rPr>
      </w:pPr>
      <w:r>
        <w:rPr>
          <w:rFonts w:hint="eastAsia"/>
          <w:sz w:val="28"/>
          <w:szCs w:val="28"/>
          <w:lang w:val="en-US" w:eastAsia="zh-CN"/>
        </w:rPr>
        <w:t>9</w:t>
      </w:r>
      <w:r>
        <w:rPr>
          <w:sz w:val="28"/>
          <w:szCs w:val="28"/>
        </w:rPr>
        <w:t>、交通运输支出（类）公路水路运输（款）其他公路水路运输支出（项）</w:t>
      </w:r>
      <w:r>
        <w:rPr>
          <w:rFonts w:hint="eastAsia"/>
          <w:sz w:val="28"/>
          <w:szCs w:val="28"/>
          <w:lang w:eastAsia="zh-CN"/>
        </w:rPr>
        <w:t>。</w:t>
      </w:r>
      <w:r>
        <w:rPr>
          <w:sz w:val="28"/>
          <w:szCs w:val="28"/>
        </w:rPr>
        <w:t>年初预算</w:t>
      </w:r>
      <w:r>
        <w:rPr>
          <w:rFonts w:hint="eastAsia"/>
          <w:sz w:val="28"/>
          <w:szCs w:val="28"/>
          <w:lang w:eastAsia="zh-CN"/>
        </w:rPr>
        <w:t>为</w:t>
      </w:r>
      <w:r>
        <w:rPr>
          <w:sz w:val="28"/>
          <w:szCs w:val="28"/>
        </w:rPr>
        <w:t>0万元，决算支出</w:t>
      </w:r>
      <w:r>
        <w:rPr>
          <w:rFonts w:hint="eastAsia"/>
          <w:sz w:val="28"/>
          <w:szCs w:val="28"/>
          <w:lang w:val="en-US" w:eastAsia="zh-CN"/>
        </w:rPr>
        <w:t>30.00</w:t>
      </w:r>
      <w:r>
        <w:rPr>
          <w:sz w:val="28"/>
          <w:szCs w:val="28"/>
        </w:rPr>
        <w:t>万元，</w:t>
      </w:r>
      <w:r>
        <w:rPr>
          <w:rFonts w:hint="eastAsia"/>
          <w:sz w:val="28"/>
          <w:szCs w:val="28"/>
          <w:lang w:val="en-US" w:eastAsia="zh-CN"/>
        </w:rPr>
        <w:t>由于预算数为0，无法计算百分比，</w:t>
      </w:r>
      <w:r>
        <w:rPr>
          <w:sz w:val="28"/>
          <w:szCs w:val="28"/>
        </w:rPr>
        <w:t>决算数大于</w:t>
      </w:r>
      <w:r>
        <w:rPr>
          <w:rFonts w:hint="eastAsia"/>
          <w:sz w:val="28"/>
          <w:szCs w:val="28"/>
          <w:lang w:eastAsia="zh-CN"/>
        </w:rPr>
        <w:t>年初</w:t>
      </w:r>
      <w:r>
        <w:rPr>
          <w:sz w:val="28"/>
          <w:szCs w:val="28"/>
        </w:rPr>
        <w:t>预算数</w:t>
      </w:r>
      <w:r>
        <w:rPr>
          <w:rFonts w:hint="eastAsia"/>
          <w:sz w:val="28"/>
          <w:szCs w:val="28"/>
          <w:lang w:eastAsia="zh-CN"/>
        </w:rPr>
        <w:t>主要原因</w:t>
      </w:r>
      <w:r>
        <w:rPr>
          <w:sz w:val="28"/>
          <w:szCs w:val="28"/>
        </w:rPr>
        <w:t>是财政追加了交通</w:t>
      </w:r>
      <w:r>
        <w:rPr>
          <w:rFonts w:hint="eastAsia"/>
          <w:sz w:val="28"/>
          <w:szCs w:val="28"/>
          <w:lang w:eastAsia="zh-CN"/>
        </w:rPr>
        <w:t>运输事业发展专项</w:t>
      </w:r>
      <w:r>
        <w:rPr>
          <w:sz w:val="28"/>
          <w:szCs w:val="28"/>
        </w:rPr>
        <w:t>资金。</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center"/>
        <w:rPr>
          <w:rFonts w:hint="default" w:eastAsiaTheme="minorEastAsia"/>
          <w:sz w:val="28"/>
          <w:szCs w:val="28"/>
          <w:lang w:val="en-US" w:eastAsia="zh-CN"/>
        </w:rPr>
      </w:pPr>
      <w:r>
        <w:rPr>
          <w:rFonts w:hint="eastAsia"/>
          <w:sz w:val="28"/>
          <w:szCs w:val="28"/>
          <w:lang w:val="en-US" w:eastAsia="zh-CN"/>
        </w:rPr>
        <w:t>10、交通运输支出（类）成品油价格改革对交通运输的补贴（款）对农村道路客运、出租车的补贴（项）。年初预算为0万元，决算支出2197.03万元，由于预算数为0，无法计算百分比。其中：对农村道路客运补贴136.46万元，对出租车的补贴2060.57万元，决算数大于年初预算数主要原因是财政拨付2019年度农村道路客运和出租车油补资金2197.03万元至我单位，由我单位按照相关政策拨付各客运公司和出租车公司。</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center"/>
        <w:rPr>
          <w:sz w:val="28"/>
          <w:szCs w:val="28"/>
        </w:rPr>
      </w:pPr>
      <w:r>
        <w:rPr>
          <w:rFonts w:hint="eastAsia"/>
          <w:sz w:val="28"/>
          <w:szCs w:val="28"/>
          <w:lang w:val="en-US" w:eastAsia="zh-CN"/>
        </w:rPr>
        <w:t>11</w:t>
      </w:r>
      <w:r>
        <w:rPr>
          <w:sz w:val="28"/>
          <w:szCs w:val="28"/>
        </w:rPr>
        <w:t>、交通运输支出（类）其他交通运输支出（款）其他交通运输支出（项）</w:t>
      </w:r>
      <w:r>
        <w:rPr>
          <w:rFonts w:hint="eastAsia"/>
          <w:sz w:val="28"/>
          <w:szCs w:val="28"/>
          <w:lang w:eastAsia="zh-CN"/>
        </w:rPr>
        <w:t>。</w:t>
      </w:r>
      <w:r>
        <w:rPr>
          <w:sz w:val="28"/>
          <w:szCs w:val="28"/>
        </w:rPr>
        <w:t>年初预算</w:t>
      </w:r>
      <w:r>
        <w:rPr>
          <w:rFonts w:hint="eastAsia"/>
          <w:sz w:val="28"/>
          <w:szCs w:val="28"/>
          <w:lang w:eastAsia="zh-CN"/>
        </w:rPr>
        <w:t>为</w:t>
      </w:r>
      <w:r>
        <w:rPr>
          <w:rFonts w:hint="eastAsia"/>
          <w:sz w:val="28"/>
          <w:szCs w:val="28"/>
          <w:lang w:val="en-US" w:eastAsia="zh-CN"/>
        </w:rPr>
        <w:t>0</w:t>
      </w:r>
      <w:r>
        <w:rPr>
          <w:sz w:val="28"/>
          <w:szCs w:val="28"/>
        </w:rPr>
        <w:t>万元，决算支出</w:t>
      </w:r>
      <w:r>
        <w:rPr>
          <w:rFonts w:hint="eastAsia"/>
          <w:sz w:val="28"/>
          <w:szCs w:val="28"/>
          <w:lang w:val="en-US" w:eastAsia="zh-CN"/>
        </w:rPr>
        <w:t>2626.49</w:t>
      </w:r>
      <w:r>
        <w:rPr>
          <w:sz w:val="28"/>
          <w:szCs w:val="28"/>
        </w:rPr>
        <w:t>万元，</w:t>
      </w:r>
      <w:r>
        <w:rPr>
          <w:rFonts w:hint="eastAsia"/>
          <w:sz w:val="28"/>
          <w:szCs w:val="28"/>
          <w:lang w:val="en-US" w:eastAsia="zh-CN"/>
        </w:rPr>
        <w:t>由于预算数为0，无法计算百分比，</w:t>
      </w:r>
      <w:r>
        <w:rPr>
          <w:sz w:val="28"/>
          <w:szCs w:val="28"/>
        </w:rPr>
        <w:t>决算数大于预算数</w:t>
      </w:r>
      <w:r>
        <w:rPr>
          <w:rFonts w:hint="eastAsia"/>
          <w:sz w:val="28"/>
          <w:szCs w:val="28"/>
          <w:lang w:eastAsia="zh-CN"/>
        </w:rPr>
        <w:t>主要原因</w:t>
      </w:r>
      <w:r>
        <w:rPr>
          <w:sz w:val="28"/>
          <w:szCs w:val="28"/>
        </w:rPr>
        <w:t>是</w:t>
      </w:r>
      <w:r>
        <w:rPr>
          <w:rFonts w:hint="eastAsia"/>
          <w:sz w:val="28"/>
          <w:szCs w:val="28"/>
          <w:lang w:eastAsia="zh-CN"/>
        </w:rPr>
        <w:t>政策性的人员经费增加及</w:t>
      </w:r>
      <w:r>
        <w:rPr>
          <w:sz w:val="28"/>
          <w:szCs w:val="28"/>
        </w:rPr>
        <w:t>年终追加</w:t>
      </w:r>
      <w:r>
        <w:rPr>
          <w:rFonts w:hint="eastAsia"/>
          <w:sz w:val="28"/>
          <w:szCs w:val="28"/>
          <w:lang w:eastAsia="zh-CN"/>
        </w:rPr>
        <w:t>在职及</w:t>
      </w:r>
      <w:r>
        <w:rPr>
          <w:sz w:val="28"/>
          <w:szCs w:val="28"/>
        </w:rPr>
        <w:t>离退休人员绩效</w:t>
      </w:r>
      <w:r>
        <w:rPr>
          <w:rFonts w:hint="eastAsia"/>
          <w:sz w:val="28"/>
          <w:szCs w:val="28"/>
          <w:lang w:eastAsia="zh-CN"/>
        </w:rPr>
        <w:t>奖励金等</w:t>
      </w:r>
      <w:r>
        <w:rPr>
          <w:sz w:val="28"/>
          <w:szCs w:val="28"/>
        </w:rPr>
        <w:t>。</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center"/>
        <w:rPr>
          <w:rFonts w:hint="eastAsia" w:eastAsiaTheme="minorEastAsia"/>
          <w:sz w:val="28"/>
          <w:szCs w:val="28"/>
          <w:lang w:val="en-US" w:eastAsia="zh-CN"/>
        </w:rPr>
      </w:pPr>
      <w:r>
        <w:rPr>
          <w:rFonts w:hint="eastAsia"/>
          <w:sz w:val="28"/>
          <w:szCs w:val="28"/>
          <w:lang w:val="en-US" w:eastAsia="zh-CN"/>
        </w:rPr>
        <w:t>12、</w:t>
      </w:r>
      <w:r>
        <w:rPr>
          <w:sz w:val="28"/>
          <w:szCs w:val="28"/>
        </w:rPr>
        <w:t>交通运输支出（类）其他交通运输支出（款）其他交通运输支出（项）</w:t>
      </w:r>
      <w:r>
        <w:rPr>
          <w:rFonts w:hint="eastAsia"/>
          <w:sz w:val="28"/>
          <w:szCs w:val="28"/>
          <w:lang w:eastAsia="zh-CN"/>
        </w:rPr>
        <w:t>。</w:t>
      </w:r>
      <w:r>
        <w:rPr>
          <w:sz w:val="28"/>
          <w:szCs w:val="28"/>
        </w:rPr>
        <w:t>年初预算</w:t>
      </w:r>
      <w:r>
        <w:rPr>
          <w:rFonts w:hint="eastAsia"/>
          <w:sz w:val="28"/>
          <w:szCs w:val="28"/>
          <w:lang w:eastAsia="zh-CN"/>
        </w:rPr>
        <w:t>为</w:t>
      </w:r>
      <w:r>
        <w:rPr>
          <w:rFonts w:hint="eastAsia"/>
          <w:sz w:val="28"/>
          <w:szCs w:val="28"/>
          <w:lang w:val="en-US" w:eastAsia="zh-CN"/>
        </w:rPr>
        <w:t>0</w:t>
      </w:r>
      <w:r>
        <w:rPr>
          <w:sz w:val="28"/>
          <w:szCs w:val="28"/>
        </w:rPr>
        <w:t>万元，决算支出</w:t>
      </w:r>
      <w:r>
        <w:rPr>
          <w:rFonts w:hint="eastAsia"/>
          <w:sz w:val="28"/>
          <w:szCs w:val="28"/>
          <w:lang w:val="en-US" w:eastAsia="zh-CN"/>
        </w:rPr>
        <w:t>13.18</w:t>
      </w:r>
      <w:r>
        <w:rPr>
          <w:sz w:val="28"/>
          <w:szCs w:val="28"/>
        </w:rPr>
        <w:t>万元，</w:t>
      </w:r>
      <w:r>
        <w:rPr>
          <w:rFonts w:hint="eastAsia"/>
          <w:sz w:val="28"/>
          <w:szCs w:val="28"/>
          <w:lang w:val="en-US" w:eastAsia="zh-CN"/>
        </w:rPr>
        <w:t>由于预算数为0，无法计算百分比，</w:t>
      </w:r>
      <w:r>
        <w:rPr>
          <w:rFonts w:hint="eastAsia"/>
          <w:sz w:val="28"/>
          <w:szCs w:val="28"/>
          <w:lang w:eastAsia="zh-CN"/>
        </w:rPr>
        <w:t>决算数大于预算数主要原因是财政追加了新冠肺炎疫情防控专项经费。</w:t>
      </w:r>
    </w:p>
    <w:p>
      <w:pPr>
        <w:keepNext w:val="0"/>
        <w:keepLines w:val="0"/>
        <w:pageBreakBefore w:val="0"/>
        <w:widowControl w:val="0"/>
        <w:kinsoku/>
        <w:wordWrap/>
        <w:overflowPunct/>
        <w:topLinePunct w:val="0"/>
        <w:autoSpaceDE/>
        <w:autoSpaceDN/>
        <w:bidi w:val="0"/>
        <w:adjustRightInd/>
        <w:snapToGrid/>
        <w:spacing w:line="560" w:lineRule="exact"/>
        <w:textAlignment w:val="center"/>
        <w:rPr>
          <w:sz w:val="28"/>
          <w:szCs w:val="28"/>
        </w:rPr>
      </w:pPr>
      <w:r>
        <w:rPr>
          <w:rFonts w:hint="eastAsia"/>
          <w:sz w:val="28"/>
          <w:szCs w:val="28"/>
        </w:rPr>
        <w:t>六、一般公共预算财政拨款基本支出决算情况说明</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center"/>
        <w:rPr>
          <w:sz w:val="28"/>
          <w:szCs w:val="28"/>
        </w:rPr>
      </w:pPr>
      <w:r>
        <w:rPr>
          <w:rFonts w:hint="eastAsia"/>
          <w:sz w:val="28"/>
          <w:szCs w:val="28"/>
          <w:lang w:val="en-US" w:eastAsia="zh-CN"/>
        </w:rPr>
        <w:t>2021</w:t>
      </w:r>
      <w:r>
        <w:rPr>
          <w:sz w:val="28"/>
          <w:szCs w:val="28"/>
        </w:rPr>
        <w:t>年度财政拨款基本支出</w:t>
      </w:r>
      <w:r>
        <w:rPr>
          <w:rFonts w:hint="eastAsia"/>
          <w:sz w:val="28"/>
          <w:szCs w:val="28"/>
          <w:lang w:val="en-US" w:eastAsia="zh-CN"/>
        </w:rPr>
        <w:t>9096.82</w:t>
      </w:r>
      <w:r>
        <w:rPr>
          <w:sz w:val="28"/>
          <w:szCs w:val="28"/>
        </w:rPr>
        <w:t>万元，其中：人员经费</w:t>
      </w:r>
      <w:r>
        <w:rPr>
          <w:rFonts w:hint="eastAsia"/>
          <w:sz w:val="28"/>
          <w:szCs w:val="28"/>
          <w:lang w:val="en-US" w:eastAsia="zh-CN"/>
        </w:rPr>
        <w:t>8311.88</w:t>
      </w:r>
      <w:r>
        <w:rPr>
          <w:sz w:val="28"/>
          <w:szCs w:val="28"/>
        </w:rPr>
        <w:t>万元，占基本支出的</w:t>
      </w:r>
      <w:r>
        <w:rPr>
          <w:rFonts w:hint="eastAsia"/>
          <w:sz w:val="28"/>
          <w:szCs w:val="28"/>
          <w:lang w:val="en-US" w:eastAsia="zh-CN"/>
        </w:rPr>
        <w:t>91.37</w:t>
      </w:r>
      <w:r>
        <w:rPr>
          <w:sz w:val="28"/>
          <w:szCs w:val="28"/>
        </w:rPr>
        <w:t>%,主要包括基本工资、津贴补贴、绩效工资、奖金、伙食补助费、</w:t>
      </w:r>
      <w:r>
        <w:rPr>
          <w:rFonts w:hint="eastAsia"/>
          <w:sz w:val="28"/>
          <w:szCs w:val="28"/>
          <w:lang w:eastAsia="zh-CN"/>
        </w:rPr>
        <w:t>机关事业单位养老保险缴费、职业年金缴费、职工基本医疗保险、其他</w:t>
      </w:r>
      <w:r>
        <w:rPr>
          <w:sz w:val="28"/>
          <w:szCs w:val="28"/>
        </w:rPr>
        <w:t>社会保障缴费、住房公积金</w:t>
      </w:r>
      <w:r>
        <w:rPr>
          <w:rFonts w:hint="eastAsia"/>
          <w:sz w:val="28"/>
          <w:szCs w:val="28"/>
          <w:lang w:eastAsia="zh-CN"/>
        </w:rPr>
        <w:t>、医疗费、其他工资福利支出、退休费、抚恤金、生活补助、奖励金</w:t>
      </w:r>
      <w:r>
        <w:rPr>
          <w:sz w:val="28"/>
          <w:szCs w:val="28"/>
        </w:rPr>
        <w:t>及</w:t>
      </w:r>
      <w:r>
        <w:rPr>
          <w:rFonts w:hint="eastAsia"/>
          <w:sz w:val="28"/>
          <w:szCs w:val="28"/>
          <w:lang w:eastAsia="zh-CN"/>
        </w:rPr>
        <w:t>其他</w:t>
      </w:r>
      <w:r>
        <w:rPr>
          <w:sz w:val="28"/>
          <w:szCs w:val="28"/>
        </w:rPr>
        <w:t>对个人和家庭的补助；公用经费</w:t>
      </w:r>
      <w:r>
        <w:rPr>
          <w:rFonts w:hint="eastAsia"/>
          <w:sz w:val="28"/>
          <w:szCs w:val="28"/>
          <w:lang w:val="en-US" w:eastAsia="zh-CN"/>
        </w:rPr>
        <w:t>784.94</w:t>
      </w:r>
      <w:r>
        <w:rPr>
          <w:sz w:val="28"/>
          <w:szCs w:val="28"/>
        </w:rPr>
        <w:t>万元，占基本支出的</w:t>
      </w:r>
      <w:r>
        <w:rPr>
          <w:rFonts w:hint="eastAsia"/>
          <w:sz w:val="28"/>
          <w:szCs w:val="28"/>
          <w:lang w:val="en-US" w:eastAsia="zh-CN"/>
        </w:rPr>
        <w:t>8.63</w:t>
      </w:r>
      <w:r>
        <w:rPr>
          <w:sz w:val="28"/>
          <w:szCs w:val="28"/>
        </w:rPr>
        <w:t>%，主要包括办公费、印刷费、咨询费、手续费、水电费、邮电费、</w:t>
      </w:r>
      <w:r>
        <w:rPr>
          <w:rFonts w:hint="eastAsia"/>
          <w:sz w:val="28"/>
          <w:szCs w:val="28"/>
          <w:lang w:eastAsia="zh-CN"/>
        </w:rPr>
        <w:t>差旅费、</w:t>
      </w:r>
      <w:r>
        <w:rPr>
          <w:sz w:val="28"/>
          <w:szCs w:val="28"/>
        </w:rPr>
        <w:t>会议费、培训费、公务接待费、公务车运行维护费、维修费、劳务费、</w:t>
      </w:r>
      <w:r>
        <w:rPr>
          <w:rFonts w:hint="eastAsia"/>
          <w:sz w:val="28"/>
          <w:szCs w:val="28"/>
          <w:lang w:eastAsia="zh-CN"/>
        </w:rPr>
        <w:t>工会经费、</w:t>
      </w:r>
      <w:r>
        <w:rPr>
          <w:sz w:val="28"/>
          <w:szCs w:val="28"/>
        </w:rPr>
        <w:t>被装购置费、专用材料费、专用燃料费</w:t>
      </w:r>
      <w:r>
        <w:rPr>
          <w:rFonts w:hint="eastAsia"/>
          <w:sz w:val="28"/>
          <w:szCs w:val="28"/>
          <w:lang w:eastAsia="zh-CN"/>
        </w:rPr>
        <w:t>、其他交通费用、其他资本性支出</w:t>
      </w:r>
      <w:r>
        <w:rPr>
          <w:sz w:val="28"/>
          <w:szCs w:val="28"/>
        </w:rPr>
        <w:t>等支出。</w:t>
      </w:r>
    </w:p>
    <w:p>
      <w:pPr>
        <w:keepNext w:val="0"/>
        <w:keepLines w:val="0"/>
        <w:pageBreakBefore w:val="0"/>
        <w:widowControl w:val="0"/>
        <w:kinsoku/>
        <w:wordWrap/>
        <w:overflowPunct/>
        <w:topLinePunct w:val="0"/>
        <w:autoSpaceDE/>
        <w:autoSpaceDN/>
        <w:bidi w:val="0"/>
        <w:adjustRightInd/>
        <w:snapToGrid/>
        <w:spacing w:line="560" w:lineRule="exact"/>
        <w:textAlignment w:val="center"/>
        <w:rPr>
          <w:sz w:val="28"/>
          <w:szCs w:val="28"/>
        </w:rPr>
      </w:pPr>
      <w:r>
        <w:rPr>
          <w:rFonts w:hint="eastAsia"/>
          <w:sz w:val="28"/>
          <w:szCs w:val="28"/>
        </w:rPr>
        <w:t>七、一般公共预算财政拨款三公经费支出决算情况说明</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center"/>
        <w:rPr>
          <w:sz w:val="28"/>
          <w:szCs w:val="28"/>
        </w:rPr>
      </w:pPr>
      <w:r>
        <w:rPr>
          <w:sz w:val="28"/>
          <w:szCs w:val="28"/>
        </w:rPr>
        <w:t>（一）“三公”经费财政拨款支出决算总体情况说明。</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center"/>
        <w:rPr>
          <w:sz w:val="28"/>
          <w:szCs w:val="28"/>
        </w:rPr>
      </w:pPr>
      <w:r>
        <w:rPr>
          <w:rFonts w:hint="eastAsia"/>
          <w:sz w:val="28"/>
          <w:szCs w:val="28"/>
          <w:lang w:val="en-US" w:eastAsia="zh-CN"/>
        </w:rPr>
        <w:t>2021年度</w:t>
      </w:r>
      <w:r>
        <w:rPr>
          <w:sz w:val="28"/>
          <w:szCs w:val="28"/>
        </w:rPr>
        <w:t>“三公”经费财政拨款支出预算为</w:t>
      </w:r>
      <w:r>
        <w:rPr>
          <w:rFonts w:hint="eastAsia"/>
          <w:sz w:val="28"/>
          <w:szCs w:val="28"/>
          <w:lang w:val="en-US" w:eastAsia="zh-CN"/>
        </w:rPr>
        <w:t>123.05</w:t>
      </w:r>
      <w:r>
        <w:rPr>
          <w:sz w:val="28"/>
          <w:szCs w:val="28"/>
        </w:rPr>
        <w:t>万元，支出决算为</w:t>
      </w:r>
      <w:r>
        <w:rPr>
          <w:rFonts w:hint="eastAsia"/>
          <w:sz w:val="28"/>
          <w:szCs w:val="28"/>
          <w:lang w:val="en-US" w:eastAsia="zh-CN"/>
        </w:rPr>
        <w:t>122.73</w:t>
      </w:r>
      <w:r>
        <w:rPr>
          <w:sz w:val="28"/>
          <w:szCs w:val="28"/>
        </w:rPr>
        <w:t>万元，完成预算的</w:t>
      </w:r>
      <w:r>
        <w:rPr>
          <w:rFonts w:hint="eastAsia"/>
          <w:sz w:val="28"/>
          <w:szCs w:val="28"/>
          <w:lang w:val="en-US" w:eastAsia="zh-CN"/>
        </w:rPr>
        <w:t>99.74</w:t>
      </w:r>
      <w:r>
        <w:rPr>
          <w:sz w:val="28"/>
          <w:szCs w:val="28"/>
        </w:rPr>
        <w:t>%，其中：</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center"/>
        <w:rPr>
          <w:rFonts w:hint="eastAsia" w:eastAsiaTheme="minorEastAsia"/>
          <w:sz w:val="28"/>
          <w:szCs w:val="28"/>
          <w:lang w:val="en-US" w:eastAsia="zh-CN"/>
        </w:rPr>
      </w:pPr>
      <w:r>
        <w:rPr>
          <w:sz w:val="28"/>
          <w:szCs w:val="28"/>
        </w:rPr>
        <w:t>因公出国（境）费支出预算为</w:t>
      </w:r>
      <w:r>
        <w:rPr>
          <w:rFonts w:hint="eastAsia"/>
          <w:sz w:val="28"/>
          <w:szCs w:val="28"/>
          <w:lang w:val="en-US" w:eastAsia="zh-CN"/>
        </w:rPr>
        <w:t>0</w:t>
      </w:r>
      <w:r>
        <w:rPr>
          <w:sz w:val="28"/>
          <w:szCs w:val="28"/>
        </w:rPr>
        <w:t>万元，支出决算为0万元，</w:t>
      </w:r>
      <w:r>
        <w:rPr>
          <w:rFonts w:hint="eastAsia"/>
          <w:sz w:val="28"/>
          <w:szCs w:val="28"/>
          <w:lang w:eastAsia="zh-CN"/>
        </w:rPr>
        <w:t>本年度无出国（境）费，</w:t>
      </w:r>
      <w:r>
        <w:rPr>
          <w:rFonts w:hint="eastAsia"/>
          <w:sz w:val="28"/>
          <w:szCs w:val="28"/>
          <w:lang w:val="en-US" w:eastAsia="zh-CN"/>
        </w:rPr>
        <w:t>与上年相比持平，主要原因是无预算安排无支出。</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center"/>
        <w:rPr>
          <w:rFonts w:hint="eastAsia"/>
          <w:sz w:val="28"/>
          <w:szCs w:val="28"/>
          <w:lang w:val="en-US" w:eastAsia="zh-CN"/>
        </w:rPr>
      </w:pPr>
      <w:r>
        <w:rPr>
          <w:sz w:val="28"/>
          <w:szCs w:val="28"/>
        </w:rPr>
        <w:t>公务接待费支出预算为</w:t>
      </w:r>
      <w:r>
        <w:rPr>
          <w:rFonts w:hint="eastAsia"/>
          <w:sz w:val="28"/>
          <w:szCs w:val="28"/>
          <w:lang w:val="en-US" w:eastAsia="zh-CN"/>
        </w:rPr>
        <w:t>3.05</w:t>
      </w:r>
      <w:r>
        <w:rPr>
          <w:sz w:val="28"/>
          <w:szCs w:val="28"/>
        </w:rPr>
        <w:t>万元，支出决算为</w:t>
      </w:r>
      <w:r>
        <w:rPr>
          <w:rFonts w:hint="eastAsia"/>
          <w:sz w:val="28"/>
          <w:szCs w:val="28"/>
          <w:lang w:val="en-US" w:eastAsia="zh-CN"/>
        </w:rPr>
        <w:t>3.04</w:t>
      </w:r>
      <w:r>
        <w:rPr>
          <w:sz w:val="28"/>
          <w:szCs w:val="28"/>
        </w:rPr>
        <w:t>万元，完成预算的</w:t>
      </w:r>
      <w:r>
        <w:rPr>
          <w:rFonts w:hint="eastAsia"/>
          <w:sz w:val="28"/>
          <w:szCs w:val="28"/>
          <w:lang w:val="en-US" w:eastAsia="zh-CN"/>
        </w:rPr>
        <w:t>99.67</w:t>
      </w:r>
      <w:r>
        <w:rPr>
          <w:sz w:val="28"/>
          <w:szCs w:val="28"/>
        </w:rPr>
        <w:t>%</w:t>
      </w:r>
      <w:r>
        <w:rPr>
          <w:rFonts w:hint="eastAsia"/>
          <w:sz w:val="28"/>
          <w:szCs w:val="28"/>
          <w:lang w:eastAsia="zh-CN"/>
        </w:rPr>
        <w:t>。决算数小于预算数的主要原因是</w:t>
      </w:r>
      <w:r>
        <w:rPr>
          <w:rFonts w:hint="eastAsia"/>
          <w:sz w:val="28"/>
          <w:szCs w:val="28"/>
          <w:lang w:val="en-US" w:eastAsia="zh-CN"/>
        </w:rPr>
        <w:t>遵循厉行节约的原则，</w:t>
      </w:r>
      <w:r>
        <w:rPr>
          <w:rFonts w:hint="eastAsia"/>
          <w:sz w:val="28"/>
          <w:szCs w:val="28"/>
          <w:lang w:eastAsia="zh-CN"/>
        </w:rPr>
        <w:t>与上年相比减少</w:t>
      </w:r>
      <w:r>
        <w:rPr>
          <w:rFonts w:hint="eastAsia"/>
          <w:sz w:val="28"/>
          <w:szCs w:val="28"/>
          <w:lang w:val="en-US" w:eastAsia="zh-CN"/>
        </w:rPr>
        <w:t>10.47万元，减少77.49%。减少的主要原因是遵循厉行节约的原则。</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center"/>
        <w:rPr>
          <w:rFonts w:hint="eastAsia"/>
          <w:sz w:val="28"/>
          <w:szCs w:val="28"/>
          <w:lang w:val="en-US" w:eastAsia="zh-CN"/>
        </w:rPr>
      </w:pPr>
      <w:r>
        <w:rPr>
          <w:sz w:val="28"/>
          <w:szCs w:val="28"/>
        </w:rPr>
        <w:t>公务用车购置费</w:t>
      </w:r>
      <w:r>
        <w:rPr>
          <w:rFonts w:hint="eastAsia"/>
          <w:sz w:val="28"/>
          <w:szCs w:val="28"/>
          <w:lang w:eastAsia="zh-CN"/>
        </w:rPr>
        <w:t>支出预算为</w:t>
      </w:r>
      <w:r>
        <w:rPr>
          <w:rFonts w:hint="eastAsia"/>
          <w:sz w:val="28"/>
          <w:szCs w:val="28"/>
          <w:lang w:val="en-US" w:eastAsia="zh-CN"/>
        </w:rPr>
        <w:t>11.00万元，支出决算为10.97万元，完成预算的99.72%，决算数小于预算数的主要原因是遵循厉行节约的原则，与上年相比增加10.97万元，2020年度无公务用车购置费支出。2021年因支队行政执法车辆报废更新，报市机关事务局审批，更新购置行政执法车一辆。</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center"/>
        <w:rPr>
          <w:sz w:val="28"/>
          <w:szCs w:val="28"/>
        </w:rPr>
      </w:pPr>
      <w:r>
        <w:rPr>
          <w:rFonts w:hint="eastAsia"/>
          <w:sz w:val="28"/>
          <w:szCs w:val="28"/>
          <w:lang w:val="en-US" w:eastAsia="zh-CN"/>
        </w:rPr>
        <w:t>公务用车</w:t>
      </w:r>
      <w:r>
        <w:rPr>
          <w:sz w:val="28"/>
          <w:szCs w:val="28"/>
        </w:rPr>
        <w:t>运行维护费支出预算为</w:t>
      </w:r>
      <w:r>
        <w:rPr>
          <w:rFonts w:hint="eastAsia"/>
          <w:sz w:val="28"/>
          <w:szCs w:val="28"/>
          <w:lang w:val="en-US" w:eastAsia="zh-CN"/>
        </w:rPr>
        <w:t>109.00</w:t>
      </w:r>
      <w:r>
        <w:rPr>
          <w:sz w:val="28"/>
          <w:szCs w:val="28"/>
        </w:rPr>
        <w:t>万元，支出决算为</w:t>
      </w:r>
      <w:r>
        <w:rPr>
          <w:rFonts w:hint="eastAsia"/>
          <w:sz w:val="28"/>
          <w:szCs w:val="28"/>
          <w:lang w:val="en-US" w:eastAsia="zh-CN"/>
        </w:rPr>
        <w:t>108.72</w:t>
      </w:r>
      <w:r>
        <w:rPr>
          <w:sz w:val="28"/>
          <w:szCs w:val="28"/>
        </w:rPr>
        <w:t>万元，完成预算的</w:t>
      </w:r>
      <w:r>
        <w:rPr>
          <w:rFonts w:hint="eastAsia"/>
          <w:sz w:val="28"/>
          <w:szCs w:val="28"/>
          <w:lang w:val="en-US" w:eastAsia="zh-CN"/>
        </w:rPr>
        <w:t>99.74</w:t>
      </w:r>
      <w:r>
        <w:rPr>
          <w:sz w:val="28"/>
          <w:szCs w:val="28"/>
        </w:rPr>
        <w:t>%，</w:t>
      </w:r>
      <w:r>
        <w:rPr>
          <w:rFonts w:hint="eastAsia"/>
          <w:sz w:val="28"/>
          <w:szCs w:val="28"/>
          <w:lang w:eastAsia="zh-CN"/>
        </w:rPr>
        <w:t>决算数小于预算数的主要原因是</w:t>
      </w:r>
      <w:r>
        <w:rPr>
          <w:rFonts w:hint="eastAsia"/>
          <w:sz w:val="28"/>
          <w:szCs w:val="28"/>
          <w:lang w:val="en-US" w:eastAsia="zh-CN"/>
        </w:rPr>
        <w:t>遵循厉行节约的原则，</w:t>
      </w:r>
      <w:r>
        <w:rPr>
          <w:sz w:val="28"/>
          <w:szCs w:val="28"/>
        </w:rPr>
        <w:t>与上年相比减少</w:t>
      </w:r>
      <w:r>
        <w:rPr>
          <w:rFonts w:hint="eastAsia"/>
          <w:sz w:val="28"/>
          <w:szCs w:val="28"/>
          <w:lang w:val="en-US" w:eastAsia="zh-CN"/>
        </w:rPr>
        <w:t>25.48</w:t>
      </w:r>
      <w:r>
        <w:rPr>
          <w:sz w:val="28"/>
          <w:szCs w:val="28"/>
        </w:rPr>
        <w:t>万元，减少</w:t>
      </w:r>
      <w:r>
        <w:rPr>
          <w:rFonts w:hint="eastAsia"/>
          <w:sz w:val="28"/>
          <w:szCs w:val="28"/>
          <w:lang w:val="en-US" w:eastAsia="zh-CN"/>
        </w:rPr>
        <w:t>18.98</w:t>
      </w:r>
      <w:r>
        <w:rPr>
          <w:sz w:val="28"/>
          <w:szCs w:val="28"/>
        </w:rPr>
        <w:t>%</w:t>
      </w:r>
      <w:r>
        <w:rPr>
          <w:rFonts w:hint="eastAsia"/>
          <w:sz w:val="28"/>
          <w:szCs w:val="28"/>
          <w:lang w:eastAsia="zh-CN"/>
        </w:rPr>
        <w:t>，</w:t>
      </w:r>
      <w:r>
        <w:rPr>
          <w:sz w:val="28"/>
          <w:szCs w:val="28"/>
        </w:rPr>
        <w:t>减少的主要原因是按照市委市政府要求，加强</w:t>
      </w:r>
      <w:r>
        <w:rPr>
          <w:rFonts w:hint="eastAsia"/>
          <w:sz w:val="28"/>
          <w:szCs w:val="28"/>
          <w:lang w:eastAsia="zh-CN"/>
        </w:rPr>
        <w:t>对</w:t>
      </w:r>
      <w:r>
        <w:rPr>
          <w:sz w:val="28"/>
          <w:szCs w:val="28"/>
        </w:rPr>
        <w:t>公务用车</w:t>
      </w:r>
      <w:r>
        <w:rPr>
          <w:rFonts w:hint="eastAsia"/>
          <w:sz w:val="28"/>
          <w:szCs w:val="28"/>
          <w:lang w:eastAsia="zh-CN"/>
        </w:rPr>
        <w:t>的</w:t>
      </w:r>
      <w:r>
        <w:rPr>
          <w:sz w:val="28"/>
          <w:szCs w:val="28"/>
        </w:rPr>
        <w:t>管理</w:t>
      </w:r>
      <w:r>
        <w:rPr>
          <w:rFonts w:hint="eastAsia"/>
          <w:sz w:val="28"/>
          <w:szCs w:val="28"/>
          <w:lang w:eastAsia="zh-CN"/>
        </w:rPr>
        <w:t>及公务用车</w:t>
      </w:r>
      <w:r>
        <w:rPr>
          <w:sz w:val="28"/>
          <w:szCs w:val="28"/>
        </w:rPr>
        <w:t>维修费及油料费</w:t>
      </w:r>
      <w:r>
        <w:rPr>
          <w:rFonts w:hint="eastAsia"/>
          <w:sz w:val="28"/>
          <w:szCs w:val="28"/>
          <w:lang w:eastAsia="zh-CN"/>
        </w:rPr>
        <w:t>的</w:t>
      </w:r>
      <w:r>
        <w:rPr>
          <w:sz w:val="28"/>
          <w:szCs w:val="28"/>
        </w:rPr>
        <w:t>减少。</w:t>
      </w:r>
    </w:p>
    <w:p>
      <w:pPr>
        <w:keepNext w:val="0"/>
        <w:keepLines w:val="0"/>
        <w:pageBreakBefore w:val="0"/>
        <w:widowControl w:val="0"/>
        <w:kinsoku/>
        <w:wordWrap/>
        <w:overflowPunct/>
        <w:topLinePunct w:val="0"/>
        <w:autoSpaceDE/>
        <w:autoSpaceDN/>
        <w:bidi w:val="0"/>
        <w:adjustRightInd/>
        <w:snapToGrid/>
        <w:spacing w:line="560" w:lineRule="exact"/>
        <w:textAlignment w:val="center"/>
        <w:rPr>
          <w:sz w:val="28"/>
          <w:szCs w:val="28"/>
        </w:rPr>
      </w:pPr>
      <w:r>
        <w:rPr>
          <w:rFonts w:hint="eastAsia"/>
          <w:sz w:val="28"/>
          <w:szCs w:val="28"/>
        </w:rPr>
        <w:t>（二）“三公”经费财政拨款支出决算具体情况说明</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center"/>
        <w:rPr>
          <w:sz w:val="28"/>
          <w:szCs w:val="28"/>
        </w:rPr>
      </w:pPr>
      <w:r>
        <w:rPr>
          <w:rFonts w:hint="eastAsia"/>
          <w:sz w:val="28"/>
          <w:szCs w:val="28"/>
          <w:lang w:val="en-US" w:eastAsia="zh-CN"/>
        </w:rPr>
        <w:t>2021</w:t>
      </w:r>
      <w:r>
        <w:rPr>
          <w:sz w:val="28"/>
          <w:szCs w:val="28"/>
        </w:rPr>
        <w:t>年度“三公”经费财政拨款支出决算中，公务接待费支出决算</w:t>
      </w:r>
      <w:r>
        <w:rPr>
          <w:rFonts w:hint="eastAsia"/>
          <w:sz w:val="28"/>
          <w:szCs w:val="28"/>
          <w:lang w:val="en-US" w:eastAsia="zh-CN"/>
        </w:rPr>
        <w:t>3.04</w:t>
      </w:r>
      <w:r>
        <w:rPr>
          <w:sz w:val="28"/>
          <w:szCs w:val="28"/>
        </w:rPr>
        <w:t>万元，占</w:t>
      </w:r>
      <w:r>
        <w:rPr>
          <w:rFonts w:hint="eastAsia"/>
          <w:sz w:val="28"/>
          <w:szCs w:val="28"/>
          <w:lang w:val="en-US" w:eastAsia="zh-CN"/>
        </w:rPr>
        <w:t>2.48</w:t>
      </w:r>
      <w:r>
        <w:rPr>
          <w:sz w:val="28"/>
          <w:szCs w:val="28"/>
        </w:rPr>
        <w:t>%</w:t>
      </w:r>
      <w:r>
        <w:rPr>
          <w:rFonts w:hint="eastAsia"/>
          <w:sz w:val="28"/>
          <w:szCs w:val="28"/>
          <w:lang w:eastAsia="zh-CN"/>
        </w:rPr>
        <w:t>，因公出国（境）费支出决算为</w:t>
      </w:r>
      <w:r>
        <w:rPr>
          <w:rFonts w:hint="eastAsia"/>
          <w:sz w:val="28"/>
          <w:szCs w:val="28"/>
          <w:lang w:val="en-US" w:eastAsia="zh-CN"/>
        </w:rPr>
        <w:t>0万元，本年度无出国（境）费，与上年相比持平，主要原因是无预算安排无支出。</w:t>
      </w:r>
      <w:r>
        <w:rPr>
          <w:sz w:val="28"/>
          <w:szCs w:val="28"/>
        </w:rPr>
        <w:t>公务用车购置费</w:t>
      </w:r>
      <w:r>
        <w:rPr>
          <w:rFonts w:hint="eastAsia"/>
          <w:sz w:val="28"/>
          <w:szCs w:val="28"/>
          <w:lang w:eastAsia="zh-CN"/>
        </w:rPr>
        <w:t>支出决算</w:t>
      </w:r>
      <w:r>
        <w:rPr>
          <w:rFonts w:hint="eastAsia"/>
          <w:sz w:val="28"/>
          <w:szCs w:val="28"/>
          <w:lang w:val="en-US" w:eastAsia="zh-CN"/>
        </w:rPr>
        <w:t>10.97万元，占8.94%。公务用车</w:t>
      </w:r>
      <w:r>
        <w:rPr>
          <w:sz w:val="28"/>
          <w:szCs w:val="28"/>
        </w:rPr>
        <w:t>运行维护费支出决算</w:t>
      </w:r>
      <w:r>
        <w:rPr>
          <w:rFonts w:hint="eastAsia"/>
          <w:sz w:val="28"/>
          <w:szCs w:val="28"/>
          <w:lang w:val="en-US" w:eastAsia="zh-CN"/>
        </w:rPr>
        <w:t>108.72</w:t>
      </w:r>
      <w:r>
        <w:rPr>
          <w:sz w:val="28"/>
          <w:szCs w:val="28"/>
        </w:rPr>
        <w:t>万元，占</w:t>
      </w:r>
      <w:r>
        <w:rPr>
          <w:rFonts w:hint="eastAsia"/>
          <w:sz w:val="28"/>
          <w:szCs w:val="28"/>
          <w:lang w:val="en-US" w:eastAsia="zh-CN"/>
        </w:rPr>
        <w:t>88.58</w:t>
      </w:r>
      <w:r>
        <w:rPr>
          <w:sz w:val="28"/>
          <w:szCs w:val="28"/>
        </w:rPr>
        <w:t>%。其中：</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center"/>
        <w:rPr>
          <w:rFonts w:hint="default" w:eastAsiaTheme="minorEastAsia"/>
          <w:sz w:val="28"/>
          <w:szCs w:val="28"/>
          <w:lang w:val="en-US" w:eastAsia="zh-CN"/>
        </w:rPr>
      </w:pPr>
      <w:r>
        <w:rPr>
          <w:rFonts w:hint="eastAsia"/>
          <w:sz w:val="28"/>
          <w:szCs w:val="28"/>
          <w:lang w:val="en-US" w:eastAsia="zh-CN"/>
        </w:rPr>
        <w:t>1、因公出国（境）费支出决算为0万元，本年度无出国（境）费，与上年相比持平，主要原因是无预算安排无支出。</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center"/>
        <w:rPr>
          <w:sz w:val="28"/>
          <w:szCs w:val="28"/>
        </w:rPr>
      </w:pPr>
      <w:r>
        <w:rPr>
          <w:rFonts w:hint="eastAsia"/>
          <w:sz w:val="28"/>
          <w:szCs w:val="28"/>
          <w:lang w:val="en-US" w:eastAsia="zh-CN"/>
        </w:rPr>
        <w:t>2</w:t>
      </w:r>
      <w:r>
        <w:rPr>
          <w:sz w:val="28"/>
          <w:szCs w:val="28"/>
        </w:rPr>
        <w:t>、公务接待费支出决算为</w:t>
      </w:r>
      <w:r>
        <w:rPr>
          <w:rFonts w:hint="eastAsia"/>
          <w:sz w:val="28"/>
          <w:szCs w:val="28"/>
          <w:lang w:val="en-US" w:eastAsia="zh-CN"/>
        </w:rPr>
        <w:t>3.04</w:t>
      </w:r>
      <w:r>
        <w:rPr>
          <w:sz w:val="28"/>
          <w:szCs w:val="28"/>
        </w:rPr>
        <w:t>万元，全年共接待来访团组</w:t>
      </w:r>
      <w:r>
        <w:rPr>
          <w:rFonts w:hint="eastAsia"/>
          <w:sz w:val="28"/>
          <w:szCs w:val="28"/>
          <w:lang w:val="en-US" w:eastAsia="zh-CN"/>
        </w:rPr>
        <w:t>40</w:t>
      </w:r>
      <w:r>
        <w:rPr>
          <w:sz w:val="28"/>
          <w:szCs w:val="28"/>
        </w:rPr>
        <w:t>个、来宾</w:t>
      </w:r>
      <w:r>
        <w:rPr>
          <w:rFonts w:hint="eastAsia"/>
          <w:sz w:val="28"/>
          <w:szCs w:val="28"/>
          <w:lang w:val="en-US" w:eastAsia="zh-CN"/>
        </w:rPr>
        <w:t>300</w:t>
      </w:r>
      <w:r>
        <w:rPr>
          <w:sz w:val="28"/>
          <w:szCs w:val="28"/>
        </w:rPr>
        <w:t>人次，主要是相关单位交流工作情况及接受省、市相关部门检查指导工作发生的接待支出。</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center"/>
        <w:rPr>
          <w:sz w:val="28"/>
          <w:szCs w:val="28"/>
        </w:rPr>
      </w:pPr>
      <w:r>
        <w:rPr>
          <w:rFonts w:hint="eastAsia"/>
          <w:sz w:val="28"/>
          <w:szCs w:val="28"/>
          <w:lang w:val="en-US" w:eastAsia="zh-CN"/>
        </w:rPr>
        <w:t>3</w:t>
      </w:r>
      <w:r>
        <w:rPr>
          <w:sz w:val="28"/>
          <w:szCs w:val="28"/>
        </w:rPr>
        <w:t>、公务用车购置费及运行维护费支出决算为</w:t>
      </w:r>
      <w:r>
        <w:rPr>
          <w:rFonts w:hint="eastAsia"/>
          <w:sz w:val="28"/>
          <w:szCs w:val="28"/>
          <w:lang w:val="en-US" w:eastAsia="zh-CN"/>
        </w:rPr>
        <w:t>119.69</w:t>
      </w:r>
      <w:r>
        <w:rPr>
          <w:sz w:val="28"/>
          <w:szCs w:val="28"/>
        </w:rPr>
        <w:t>万元，其中：公务用车购置费</w:t>
      </w:r>
      <w:r>
        <w:rPr>
          <w:rFonts w:hint="eastAsia"/>
          <w:sz w:val="28"/>
          <w:szCs w:val="28"/>
          <w:lang w:val="en-US" w:eastAsia="zh-CN"/>
        </w:rPr>
        <w:t>10.97</w:t>
      </w:r>
      <w:r>
        <w:rPr>
          <w:sz w:val="28"/>
          <w:szCs w:val="28"/>
        </w:rPr>
        <w:t>万元，</w:t>
      </w:r>
      <w:r>
        <w:rPr>
          <w:rFonts w:hint="eastAsia"/>
          <w:sz w:val="28"/>
          <w:szCs w:val="28"/>
          <w:lang w:val="en-US" w:eastAsia="zh-CN"/>
        </w:rPr>
        <w:t>因支队行政执法车辆报废更新，报市机关事务局审批，更新购置行政执法车一辆。</w:t>
      </w:r>
      <w:r>
        <w:rPr>
          <w:sz w:val="28"/>
          <w:szCs w:val="28"/>
        </w:rPr>
        <w:t>公务用车运行维护费</w:t>
      </w:r>
      <w:r>
        <w:rPr>
          <w:rFonts w:hint="eastAsia"/>
          <w:sz w:val="28"/>
          <w:szCs w:val="28"/>
          <w:lang w:val="en-US" w:eastAsia="zh-CN"/>
        </w:rPr>
        <w:t>108.72</w:t>
      </w:r>
      <w:r>
        <w:rPr>
          <w:sz w:val="28"/>
          <w:szCs w:val="28"/>
        </w:rPr>
        <w:t>万元，主要是公务用车油料费、维修费</w:t>
      </w:r>
      <w:r>
        <w:rPr>
          <w:rFonts w:hint="eastAsia"/>
          <w:sz w:val="28"/>
          <w:szCs w:val="28"/>
          <w:lang w:eastAsia="zh-CN"/>
        </w:rPr>
        <w:t>等</w:t>
      </w:r>
      <w:r>
        <w:rPr>
          <w:sz w:val="28"/>
          <w:szCs w:val="28"/>
        </w:rPr>
        <w:t>支出，截止</w:t>
      </w:r>
      <w:r>
        <w:rPr>
          <w:rFonts w:hint="eastAsia"/>
          <w:sz w:val="28"/>
          <w:szCs w:val="28"/>
          <w:lang w:val="en-US" w:eastAsia="zh-CN"/>
        </w:rPr>
        <w:t>2021</w:t>
      </w:r>
      <w:r>
        <w:rPr>
          <w:sz w:val="28"/>
          <w:szCs w:val="28"/>
        </w:rPr>
        <w:t>年12月31日，我单位开支财政拨款的公务用车保有量为</w:t>
      </w:r>
      <w:r>
        <w:rPr>
          <w:rFonts w:hint="eastAsia"/>
          <w:sz w:val="28"/>
          <w:szCs w:val="28"/>
          <w:lang w:val="en-US" w:eastAsia="zh-CN"/>
        </w:rPr>
        <w:t>28</w:t>
      </w:r>
      <w:r>
        <w:rPr>
          <w:sz w:val="28"/>
          <w:szCs w:val="28"/>
        </w:rPr>
        <w:t>辆。</w:t>
      </w:r>
    </w:p>
    <w:p>
      <w:pPr>
        <w:keepNext w:val="0"/>
        <w:keepLines w:val="0"/>
        <w:pageBreakBefore w:val="0"/>
        <w:widowControl w:val="0"/>
        <w:kinsoku/>
        <w:wordWrap/>
        <w:overflowPunct/>
        <w:topLinePunct w:val="0"/>
        <w:autoSpaceDE/>
        <w:autoSpaceDN/>
        <w:bidi w:val="0"/>
        <w:adjustRightInd/>
        <w:snapToGrid/>
        <w:spacing w:line="560" w:lineRule="exact"/>
        <w:textAlignment w:val="center"/>
        <w:rPr>
          <w:sz w:val="28"/>
          <w:szCs w:val="28"/>
        </w:rPr>
      </w:pPr>
      <w:r>
        <w:rPr>
          <w:rFonts w:hint="eastAsia"/>
          <w:sz w:val="28"/>
          <w:szCs w:val="28"/>
        </w:rPr>
        <w:t>八、政府性基金预算收入支出决算情况</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center"/>
        <w:rPr>
          <w:sz w:val="28"/>
          <w:szCs w:val="28"/>
        </w:rPr>
      </w:pPr>
      <w:r>
        <w:rPr>
          <w:rFonts w:hint="eastAsia"/>
          <w:sz w:val="28"/>
          <w:szCs w:val="28"/>
          <w:lang w:val="en-US" w:eastAsia="zh-CN"/>
        </w:rPr>
        <w:t>2021年度</w:t>
      </w:r>
      <w:r>
        <w:rPr>
          <w:rFonts w:hint="eastAsia"/>
          <w:sz w:val="28"/>
          <w:szCs w:val="28"/>
          <w:lang w:eastAsia="zh-CN"/>
        </w:rPr>
        <w:t>我单位</w:t>
      </w:r>
      <w:r>
        <w:rPr>
          <w:sz w:val="28"/>
          <w:szCs w:val="28"/>
        </w:rPr>
        <w:t>无政府性基金</w:t>
      </w:r>
      <w:r>
        <w:rPr>
          <w:rFonts w:hint="eastAsia"/>
          <w:sz w:val="28"/>
          <w:szCs w:val="28"/>
          <w:lang w:eastAsia="zh-CN"/>
        </w:rPr>
        <w:t>预算</w:t>
      </w:r>
      <w:r>
        <w:rPr>
          <w:sz w:val="28"/>
          <w:szCs w:val="28"/>
        </w:rPr>
        <w:t>收支。</w:t>
      </w:r>
    </w:p>
    <w:p>
      <w:pPr>
        <w:keepNext w:val="0"/>
        <w:keepLines w:val="0"/>
        <w:pageBreakBefore w:val="0"/>
        <w:widowControl w:val="0"/>
        <w:kinsoku/>
        <w:wordWrap/>
        <w:overflowPunct/>
        <w:topLinePunct w:val="0"/>
        <w:autoSpaceDE/>
        <w:autoSpaceDN/>
        <w:bidi w:val="0"/>
        <w:adjustRightInd/>
        <w:snapToGrid/>
        <w:spacing w:line="560" w:lineRule="exact"/>
        <w:textAlignment w:val="center"/>
        <w:rPr>
          <w:sz w:val="28"/>
          <w:szCs w:val="28"/>
        </w:rPr>
      </w:pPr>
      <w:r>
        <w:rPr>
          <w:rFonts w:hint="eastAsia"/>
          <w:sz w:val="28"/>
          <w:szCs w:val="28"/>
        </w:rPr>
        <w:t>九、国有资本经营预算财政拨款支出决算情况</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center"/>
        <w:rPr>
          <w:rFonts w:hint="default"/>
          <w:sz w:val="28"/>
          <w:szCs w:val="28"/>
          <w:lang w:val="en-US"/>
        </w:rPr>
      </w:pPr>
      <w:r>
        <w:rPr>
          <w:rFonts w:hint="eastAsia"/>
          <w:sz w:val="28"/>
          <w:szCs w:val="28"/>
          <w:lang w:val="en-US" w:eastAsia="zh-CN"/>
        </w:rPr>
        <w:t>2021年度我单位无国有资本经营预算财政拨款支出。</w:t>
      </w:r>
    </w:p>
    <w:p>
      <w:pPr>
        <w:keepNext w:val="0"/>
        <w:keepLines w:val="0"/>
        <w:pageBreakBefore w:val="0"/>
        <w:widowControl w:val="0"/>
        <w:kinsoku/>
        <w:wordWrap/>
        <w:overflowPunct/>
        <w:topLinePunct w:val="0"/>
        <w:autoSpaceDE/>
        <w:autoSpaceDN/>
        <w:bidi w:val="0"/>
        <w:adjustRightInd/>
        <w:snapToGrid/>
        <w:spacing w:line="560" w:lineRule="exact"/>
        <w:textAlignment w:val="center"/>
        <w:rPr>
          <w:sz w:val="28"/>
          <w:szCs w:val="28"/>
        </w:rPr>
      </w:pPr>
      <w:r>
        <w:rPr>
          <w:rFonts w:hint="eastAsia"/>
          <w:sz w:val="28"/>
          <w:szCs w:val="28"/>
        </w:rPr>
        <w:t>十、关于机关运行经费支出说明</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center"/>
        <w:rPr>
          <w:rFonts w:hint="eastAsia"/>
          <w:sz w:val="28"/>
          <w:szCs w:val="28"/>
          <w:lang w:eastAsia="zh-CN"/>
        </w:rPr>
      </w:pPr>
      <w:r>
        <w:rPr>
          <w:rFonts w:hint="eastAsia"/>
          <w:sz w:val="28"/>
          <w:szCs w:val="28"/>
          <w:lang w:eastAsia="zh-CN"/>
        </w:rPr>
        <w:t>本单位2021年度机关运行经费支出0万元，比年初预算数（或者上年决算数）增加0万元，</w:t>
      </w:r>
      <w:r>
        <w:rPr>
          <w:rFonts w:hint="eastAsia"/>
          <w:sz w:val="28"/>
          <w:szCs w:val="28"/>
          <w:lang w:val="en-US" w:eastAsia="zh-CN"/>
        </w:rPr>
        <w:t>由于预算数为0，无法计算百分比</w:t>
      </w:r>
      <w:r>
        <w:rPr>
          <w:rFonts w:hint="eastAsia"/>
          <w:sz w:val="28"/>
          <w:szCs w:val="28"/>
          <w:lang w:eastAsia="zh-CN"/>
        </w:rPr>
        <w:t>。主要原因本单位属综合行政执法机构，部门决算报表没有机关运行经费统计数据。</w:t>
      </w:r>
    </w:p>
    <w:p>
      <w:pPr>
        <w:keepNext w:val="0"/>
        <w:keepLines w:val="0"/>
        <w:pageBreakBefore w:val="0"/>
        <w:widowControl w:val="0"/>
        <w:kinsoku/>
        <w:wordWrap/>
        <w:overflowPunct/>
        <w:topLinePunct w:val="0"/>
        <w:autoSpaceDE/>
        <w:autoSpaceDN/>
        <w:bidi w:val="0"/>
        <w:adjustRightInd/>
        <w:snapToGrid/>
        <w:spacing w:line="560" w:lineRule="exact"/>
        <w:textAlignment w:val="center"/>
        <w:rPr>
          <w:sz w:val="28"/>
          <w:szCs w:val="28"/>
        </w:rPr>
      </w:pPr>
      <w:r>
        <w:rPr>
          <w:rFonts w:hint="eastAsia"/>
          <w:sz w:val="28"/>
          <w:szCs w:val="28"/>
        </w:rPr>
        <w:t>十一、一般性支出情况</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center"/>
        <w:rPr>
          <w:rFonts w:hint="default"/>
          <w:sz w:val="28"/>
          <w:szCs w:val="28"/>
          <w:lang w:val="en-US" w:eastAsia="zh-CN"/>
        </w:rPr>
      </w:pPr>
      <w:r>
        <w:rPr>
          <w:rFonts w:hint="eastAsia"/>
          <w:sz w:val="28"/>
          <w:szCs w:val="28"/>
          <w:lang w:val="en-US" w:eastAsia="zh-CN"/>
        </w:rPr>
        <w:t>2021</w:t>
      </w:r>
      <w:r>
        <w:rPr>
          <w:sz w:val="28"/>
          <w:szCs w:val="28"/>
        </w:rPr>
        <w:t>年</w:t>
      </w:r>
      <w:r>
        <w:rPr>
          <w:rFonts w:hint="eastAsia"/>
          <w:sz w:val="28"/>
          <w:szCs w:val="28"/>
          <w:lang w:eastAsia="zh-CN"/>
        </w:rPr>
        <w:t>支队</w:t>
      </w:r>
      <w:r>
        <w:rPr>
          <w:sz w:val="28"/>
          <w:szCs w:val="28"/>
        </w:rPr>
        <w:t>开支会议费</w:t>
      </w:r>
      <w:r>
        <w:rPr>
          <w:rFonts w:hint="eastAsia"/>
          <w:sz w:val="28"/>
          <w:szCs w:val="28"/>
          <w:lang w:val="en-US" w:eastAsia="zh-CN"/>
        </w:rPr>
        <w:t>0.21</w:t>
      </w:r>
      <w:r>
        <w:rPr>
          <w:sz w:val="28"/>
          <w:szCs w:val="28"/>
        </w:rPr>
        <w:t>万元，用于召开全市春运</w:t>
      </w:r>
      <w:r>
        <w:rPr>
          <w:rFonts w:hint="eastAsia"/>
          <w:sz w:val="28"/>
          <w:szCs w:val="28"/>
          <w:lang w:eastAsia="zh-CN"/>
        </w:rPr>
        <w:t>、业务工作会议，培训人数</w:t>
      </w:r>
      <w:r>
        <w:rPr>
          <w:rFonts w:hint="eastAsia"/>
          <w:sz w:val="28"/>
          <w:szCs w:val="28"/>
          <w:lang w:val="en-US" w:eastAsia="zh-CN"/>
        </w:rPr>
        <w:t>96人</w:t>
      </w:r>
      <w:r>
        <w:rPr>
          <w:sz w:val="28"/>
          <w:szCs w:val="28"/>
        </w:rPr>
        <w:t>；开支培训费</w:t>
      </w:r>
      <w:r>
        <w:rPr>
          <w:rFonts w:hint="eastAsia"/>
          <w:sz w:val="28"/>
          <w:szCs w:val="28"/>
          <w:lang w:val="en-US" w:eastAsia="zh-CN"/>
        </w:rPr>
        <w:t>16.84</w:t>
      </w:r>
      <w:r>
        <w:rPr>
          <w:sz w:val="28"/>
          <w:szCs w:val="28"/>
        </w:rPr>
        <w:t>万元，用于开展</w:t>
      </w:r>
      <w:r>
        <w:rPr>
          <w:rFonts w:hint="eastAsia"/>
          <w:sz w:val="28"/>
          <w:szCs w:val="28"/>
          <w:lang w:eastAsia="zh-CN"/>
        </w:rPr>
        <w:t>党员干部党风廉政建设暨行政执法规范培训等，培训人数</w:t>
      </w:r>
      <w:r>
        <w:rPr>
          <w:rFonts w:hint="eastAsia"/>
          <w:sz w:val="28"/>
          <w:szCs w:val="28"/>
          <w:lang w:val="en-US" w:eastAsia="zh-CN"/>
        </w:rPr>
        <w:t>538人</w:t>
      </w:r>
      <w:r>
        <w:rPr>
          <w:rFonts w:hint="eastAsia"/>
          <w:sz w:val="28"/>
          <w:szCs w:val="28"/>
          <w:lang w:eastAsia="zh-CN"/>
        </w:rPr>
        <w:t>。</w:t>
      </w:r>
      <w:r>
        <w:rPr>
          <w:rFonts w:hint="eastAsia"/>
          <w:sz w:val="28"/>
          <w:szCs w:val="28"/>
          <w:lang w:val="en-US" w:eastAsia="zh-CN"/>
        </w:rPr>
        <w:t>2021年我单位未举办节庆、晚会、论坛、赛事活动，无此类支出，金额0万元。</w:t>
      </w:r>
    </w:p>
    <w:p>
      <w:pPr>
        <w:keepNext w:val="0"/>
        <w:keepLines w:val="0"/>
        <w:pageBreakBefore w:val="0"/>
        <w:widowControl w:val="0"/>
        <w:kinsoku/>
        <w:wordWrap/>
        <w:overflowPunct/>
        <w:topLinePunct w:val="0"/>
        <w:autoSpaceDE/>
        <w:autoSpaceDN/>
        <w:bidi w:val="0"/>
        <w:adjustRightInd/>
        <w:snapToGrid/>
        <w:spacing w:line="560" w:lineRule="exact"/>
        <w:textAlignment w:val="center"/>
        <w:rPr>
          <w:sz w:val="28"/>
          <w:szCs w:val="28"/>
        </w:rPr>
      </w:pPr>
      <w:r>
        <w:rPr>
          <w:rFonts w:hint="eastAsia"/>
          <w:sz w:val="28"/>
          <w:szCs w:val="28"/>
        </w:rPr>
        <w:t>十二、关于政府采购支出说明</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center"/>
        <w:rPr>
          <w:rFonts w:hint="default" w:eastAsiaTheme="minorEastAsia"/>
          <w:sz w:val="28"/>
          <w:szCs w:val="28"/>
          <w:lang w:val="en-US" w:eastAsia="zh-CN"/>
        </w:rPr>
      </w:pPr>
      <w:r>
        <w:rPr>
          <w:rFonts w:hint="eastAsia"/>
          <w:sz w:val="28"/>
          <w:szCs w:val="28"/>
          <w:lang w:val="en-US" w:eastAsia="zh-CN"/>
        </w:rPr>
        <w:t>我单位2021</w:t>
      </w:r>
      <w:r>
        <w:rPr>
          <w:sz w:val="28"/>
          <w:szCs w:val="28"/>
        </w:rPr>
        <w:t>年度政府采购支出总额</w:t>
      </w:r>
      <w:r>
        <w:rPr>
          <w:rFonts w:hint="eastAsia"/>
          <w:sz w:val="28"/>
          <w:szCs w:val="28"/>
          <w:lang w:val="en-US" w:eastAsia="zh-CN"/>
        </w:rPr>
        <w:t>102.23</w:t>
      </w:r>
      <w:r>
        <w:rPr>
          <w:sz w:val="28"/>
          <w:szCs w:val="28"/>
        </w:rPr>
        <w:t>万元，</w:t>
      </w:r>
      <w:r>
        <w:rPr>
          <w:rFonts w:hint="eastAsia"/>
          <w:sz w:val="28"/>
          <w:szCs w:val="28"/>
          <w:lang w:eastAsia="zh-CN"/>
        </w:rPr>
        <w:t>其中：政府采购货物支出</w:t>
      </w:r>
      <w:r>
        <w:rPr>
          <w:rFonts w:hint="eastAsia"/>
          <w:sz w:val="28"/>
          <w:szCs w:val="28"/>
          <w:lang w:val="en-US" w:eastAsia="zh-CN"/>
        </w:rPr>
        <w:t>41.35万元，政府采购工程支出0万元，政府采购服务支出60.88万元。</w:t>
      </w:r>
      <w:r>
        <w:rPr>
          <w:rFonts w:hint="eastAsia"/>
          <w:sz w:val="28"/>
          <w:szCs w:val="28"/>
          <w:lang w:eastAsia="zh-CN"/>
        </w:rPr>
        <w:t>授予中小企业合同金额</w:t>
      </w:r>
      <w:r>
        <w:rPr>
          <w:rFonts w:hint="eastAsia"/>
          <w:sz w:val="28"/>
          <w:szCs w:val="28"/>
          <w:lang w:val="en-US" w:eastAsia="zh-CN"/>
        </w:rPr>
        <w:t>102.00万元，占政府采购支出总额的99.77%，</w:t>
      </w:r>
      <w:r>
        <w:rPr>
          <w:sz w:val="28"/>
          <w:szCs w:val="28"/>
        </w:rPr>
        <w:t>其中：</w:t>
      </w:r>
      <w:r>
        <w:rPr>
          <w:rFonts w:hint="eastAsia"/>
          <w:sz w:val="28"/>
          <w:szCs w:val="28"/>
          <w:lang w:eastAsia="zh-CN"/>
        </w:rPr>
        <w:t>授予小微企业合同金额</w:t>
      </w:r>
      <w:r>
        <w:rPr>
          <w:rFonts w:hint="eastAsia"/>
          <w:sz w:val="28"/>
          <w:szCs w:val="28"/>
          <w:lang w:val="en-US" w:eastAsia="zh-CN"/>
        </w:rPr>
        <w:t>41.36万元，</w:t>
      </w:r>
      <w:r>
        <w:rPr>
          <w:sz w:val="28"/>
          <w:szCs w:val="28"/>
        </w:rPr>
        <w:t>占</w:t>
      </w:r>
      <w:r>
        <w:rPr>
          <w:rFonts w:hint="eastAsia"/>
          <w:sz w:val="28"/>
          <w:szCs w:val="28"/>
          <w:lang w:eastAsia="zh-CN"/>
        </w:rPr>
        <w:t>授予中小企业合同金额的</w:t>
      </w:r>
      <w:r>
        <w:rPr>
          <w:rFonts w:hint="eastAsia"/>
          <w:sz w:val="28"/>
          <w:szCs w:val="28"/>
          <w:lang w:val="en-US" w:eastAsia="zh-CN"/>
        </w:rPr>
        <w:t>40.55</w:t>
      </w:r>
      <w:r>
        <w:rPr>
          <w:sz w:val="28"/>
          <w:szCs w:val="28"/>
        </w:rPr>
        <w:t>%</w:t>
      </w:r>
      <w:r>
        <w:rPr>
          <w:rFonts w:hint="eastAsia"/>
          <w:sz w:val="28"/>
          <w:szCs w:val="28"/>
          <w:lang w:eastAsia="zh-CN"/>
        </w:rPr>
        <w:t>；货物采购授予中小企业合同金额占货物支出金额的</w:t>
      </w:r>
      <w:r>
        <w:rPr>
          <w:rFonts w:hint="eastAsia"/>
          <w:sz w:val="28"/>
          <w:szCs w:val="28"/>
          <w:lang w:val="en-US" w:eastAsia="zh-CN"/>
        </w:rPr>
        <w:t>100 %，工程采购授予中小企业合同金额占工程支出金额为0，服务采购授予中小企业合同金额占服务支出金额的99.62%。</w:t>
      </w:r>
    </w:p>
    <w:p>
      <w:pPr>
        <w:keepNext w:val="0"/>
        <w:keepLines w:val="0"/>
        <w:pageBreakBefore w:val="0"/>
        <w:widowControl w:val="0"/>
        <w:kinsoku/>
        <w:wordWrap/>
        <w:overflowPunct/>
        <w:topLinePunct w:val="0"/>
        <w:autoSpaceDE/>
        <w:autoSpaceDN/>
        <w:bidi w:val="0"/>
        <w:adjustRightInd/>
        <w:snapToGrid/>
        <w:spacing w:line="560" w:lineRule="exact"/>
        <w:textAlignment w:val="center"/>
        <w:rPr>
          <w:sz w:val="28"/>
          <w:szCs w:val="28"/>
        </w:rPr>
      </w:pPr>
      <w:r>
        <w:rPr>
          <w:rFonts w:hint="eastAsia"/>
          <w:sz w:val="28"/>
          <w:szCs w:val="28"/>
        </w:rPr>
        <w:t>十三、关于国有资产占用情况说明</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center"/>
        <w:rPr>
          <w:sz w:val="28"/>
          <w:szCs w:val="28"/>
        </w:rPr>
      </w:pPr>
      <w:r>
        <w:rPr>
          <w:sz w:val="28"/>
          <w:szCs w:val="28"/>
        </w:rPr>
        <w:t>截至20</w:t>
      </w:r>
      <w:r>
        <w:rPr>
          <w:rFonts w:hint="eastAsia"/>
          <w:sz w:val="28"/>
          <w:szCs w:val="28"/>
          <w:lang w:val="en-US" w:eastAsia="zh-CN"/>
        </w:rPr>
        <w:t>21</w:t>
      </w:r>
      <w:r>
        <w:rPr>
          <w:sz w:val="28"/>
          <w:szCs w:val="28"/>
        </w:rPr>
        <w:t>年12 月31 日，</w:t>
      </w:r>
      <w:r>
        <w:rPr>
          <w:rFonts w:hint="eastAsia"/>
          <w:sz w:val="28"/>
          <w:szCs w:val="28"/>
          <w:lang w:eastAsia="zh-CN"/>
        </w:rPr>
        <w:t>支队</w:t>
      </w:r>
      <w:r>
        <w:rPr>
          <w:sz w:val="28"/>
          <w:szCs w:val="28"/>
        </w:rPr>
        <w:t>共有车辆</w:t>
      </w:r>
      <w:r>
        <w:rPr>
          <w:rFonts w:hint="eastAsia"/>
          <w:sz w:val="28"/>
          <w:szCs w:val="28"/>
          <w:lang w:val="en-US" w:eastAsia="zh-CN"/>
        </w:rPr>
        <w:t>28</w:t>
      </w:r>
      <w:r>
        <w:rPr>
          <w:sz w:val="28"/>
          <w:szCs w:val="28"/>
        </w:rPr>
        <w:t>辆，</w:t>
      </w:r>
      <w:r>
        <w:rPr>
          <w:rFonts w:hint="eastAsia"/>
          <w:sz w:val="28"/>
          <w:szCs w:val="28"/>
          <w:lang w:eastAsia="zh-CN"/>
        </w:rPr>
        <w:t>均为</w:t>
      </w:r>
      <w:r>
        <w:rPr>
          <w:sz w:val="28"/>
          <w:szCs w:val="28"/>
        </w:rPr>
        <w:t>一般执法执勤用车；单位价值50 万元以上通用设备</w:t>
      </w:r>
      <w:r>
        <w:rPr>
          <w:rFonts w:hint="eastAsia"/>
          <w:sz w:val="28"/>
          <w:szCs w:val="28"/>
          <w:lang w:val="en-US" w:eastAsia="zh-CN"/>
        </w:rPr>
        <w:t>0</w:t>
      </w:r>
      <w:r>
        <w:rPr>
          <w:sz w:val="28"/>
          <w:szCs w:val="28"/>
        </w:rPr>
        <w:t>台（套），单价100 万元以上专用设备</w:t>
      </w:r>
      <w:r>
        <w:rPr>
          <w:rFonts w:hint="eastAsia"/>
          <w:sz w:val="28"/>
          <w:szCs w:val="28"/>
          <w:lang w:val="en-US" w:eastAsia="zh-CN"/>
        </w:rPr>
        <w:t>0</w:t>
      </w:r>
      <w:r>
        <w:rPr>
          <w:sz w:val="28"/>
          <w:szCs w:val="28"/>
        </w:rPr>
        <w:t>台（套）。</w:t>
      </w:r>
    </w:p>
    <w:p>
      <w:pPr>
        <w:keepNext w:val="0"/>
        <w:keepLines w:val="0"/>
        <w:pageBreakBefore w:val="0"/>
        <w:widowControl w:val="0"/>
        <w:kinsoku/>
        <w:wordWrap/>
        <w:overflowPunct/>
        <w:topLinePunct w:val="0"/>
        <w:autoSpaceDE/>
        <w:autoSpaceDN/>
        <w:bidi w:val="0"/>
        <w:adjustRightInd/>
        <w:snapToGrid/>
        <w:spacing w:line="560" w:lineRule="exact"/>
        <w:textAlignment w:val="center"/>
        <w:rPr>
          <w:sz w:val="28"/>
          <w:szCs w:val="28"/>
        </w:rPr>
      </w:pPr>
      <w:r>
        <w:rPr>
          <w:rFonts w:hint="eastAsia"/>
          <w:sz w:val="28"/>
          <w:szCs w:val="28"/>
        </w:rPr>
        <w:t>十四、202</w:t>
      </w:r>
      <w:r>
        <w:rPr>
          <w:rFonts w:hint="eastAsia"/>
          <w:sz w:val="28"/>
          <w:szCs w:val="28"/>
          <w:lang w:val="en-US" w:eastAsia="zh-CN"/>
        </w:rPr>
        <w:t>1</w:t>
      </w:r>
      <w:r>
        <w:rPr>
          <w:rFonts w:hint="eastAsia"/>
          <w:sz w:val="28"/>
          <w:szCs w:val="28"/>
        </w:rPr>
        <w:t>年度预算绩效情况说明</w:t>
      </w:r>
    </w:p>
    <w:p>
      <w:pPr>
        <w:keepNext w:val="0"/>
        <w:keepLines w:val="0"/>
        <w:pageBreakBefore w:val="0"/>
        <w:numPr>
          <w:ilvl w:val="0"/>
          <w:numId w:val="0"/>
        </w:numPr>
        <w:kinsoku/>
        <w:wordWrap/>
        <w:overflowPunct/>
        <w:topLinePunct w:val="0"/>
        <w:autoSpaceDN/>
        <w:bidi w:val="0"/>
        <w:adjustRightInd/>
        <w:snapToGrid/>
        <w:spacing w:line="240" w:lineRule="auto"/>
        <w:ind w:firstLine="840" w:firstLineChars="300"/>
        <w:textAlignment w:val="auto"/>
        <w:rPr>
          <w:rFonts w:hint="eastAsia" w:ascii="宋体" w:hAnsi="宋体" w:eastAsia="宋体" w:cs="宋体"/>
          <w:sz w:val="28"/>
          <w:szCs w:val="28"/>
          <w:lang w:val="en-US" w:eastAsia="zh-CN"/>
        </w:rPr>
      </w:pPr>
      <w:r>
        <w:rPr>
          <w:rFonts w:hint="eastAsia"/>
          <w:sz w:val="28"/>
          <w:szCs w:val="28"/>
          <w:lang w:val="en-US" w:eastAsia="zh-CN"/>
        </w:rPr>
        <w:t>根据预算绩效管理要求，我单位积极组织对2021年度财政支出开展绩效自评，整体支出自评得分99分。</w:t>
      </w:r>
      <w:r>
        <w:rPr>
          <w:rFonts w:hint="eastAsia"/>
          <w:sz w:val="28"/>
          <w:szCs w:val="28"/>
        </w:rPr>
        <w:t>20</w:t>
      </w:r>
      <w:r>
        <w:rPr>
          <w:rFonts w:hint="eastAsia"/>
          <w:sz w:val="28"/>
          <w:szCs w:val="28"/>
          <w:lang w:val="en-US" w:eastAsia="zh-CN"/>
        </w:rPr>
        <w:t>21</w:t>
      </w:r>
      <w:r>
        <w:rPr>
          <w:rFonts w:hint="eastAsia"/>
          <w:sz w:val="28"/>
          <w:szCs w:val="28"/>
        </w:rPr>
        <w:t>年</w:t>
      </w:r>
      <w:r>
        <w:rPr>
          <w:rFonts w:hint="eastAsia"/>
          <w:sz w:val="28"/>
          <w:szCs w:val="28"/>
          <w:lang w:eastAsia="zh-CN"/>
        </w:rPr>
        <w:t>，</w:t>
      </w:r>
      <w:r>
        <w:rPr>
          <w:rFonts w:hint="eastAsia" w:ascii="宋体" w:hAnsi="宋体"/>
          <w:sz w:val="28"/>
          <w:szCs w:val="28"/>
          <w:lang w:eastAsia="zh-CN"/>
        </w:rPr>
        <w:t>支队始终聚焦“打非治违”，持续加大治超治限力度，切实落实“管行业必须管安全”，零容忍打击交通问题顽瘴痼疾，实行扫黑除恶常态化，全面履行疫情防控主体责任。支队</w:t>
      </w:r>
      <w:r>
        <w:rPr>
          <w:rFonts w:hint="eastAsia"/>
          <w:sz w:val="28"/>
          <w:szCs w:val="28"/>
          <w:lang w:eastAsia="zh-CN"/>
        </w:rPr>
        <w:t>上下齐心、齐抓共管，</w:t>
      </w:r>
      <w:r>
        <w:rPr>
          <w:rFonts w:hint="eastAsia" w:ascii="宋体" w:hAnsi="宋体" w:eastAsia="宋体" w:cs="宋体"/>
          <w:b w:val="0"/>
          <w:bCs w:val="0"/>
          <w:sz w:val="28"/>
          <w:szCs w:val="28"/>
          <w:lang w:val="en-US" w:eastAsia="zh-CN"/>
        </w:rPr>
        <w:t>执法改革不断深入</w:t>
      </w:r>
      <w:r>
        <w:rPr>
          <w:rFonts w:hint="eastAsia" w:ascii="宋体" w:hAnsi="宋体" w:cs="宋体"/>
          <w:b w:val="0"/>
          <w:bCs w:val="0"/>
          <w:sz w:val="28"/>
          <w:szCs w:val="28"/>
          <w:lang w:val="en-US" w:eastAsia="zh-CN"/>
        </w:rPr>
        <w:t>，</w:t>
      </w:r>
      <w:r>
        <w:rPr>
          <w:rFonts w:hint="eastAsia" w:ascii="宋体" w:hAnsi="宋体" w:eastAsia="宋体" w:cs="宋体"/>
          <w:b w:val="0"/>
          <w:bCs w:val="0"/>
          <w:sz w:val="28"/>
          <w:szCs w:val="28"/>
          <w:lang w:val="en-US" w:eastAsia="zh-CN"/>
        </w:rPr>
        <w:t>治理能力不断增强</w:t>
      </w:r>
      <w:r>
        <w:rPr>
          <w:rFonts w:hint="eastAsia" w:ascii="宋体" w:hAnsi="宋体" w:cs="宋体"/>
          <w:b w:val="0"/>
          <w:bCs w:val="0"/>
          <w:sz w:val="28"/>
          <w:szCs w:val="28"/>
          <w:lang w:val="en-US" w:eastAsia="zh-CN"/>
        </w:rPr>
        <w:t>，</w:t>
      </w:r>
      <w:r>
        <w:rPr>
          <w:rFonts w:hint="eastAsia" w:ascii="宋体" w:hAnsi="宋体" w:eastAsia="宋体" w:cs="宋体"/>
          <w:b w:val="0"/>
          <w:bCs w:val="0"/>
          <w:sz w:val="28"/>
          <w:szCs w:val="28"/>
          <w:lang w:val="en-US" w:eastAsia="zh-CN"/>
        </w:rPr>
        <w:t>监管水平不断提升</w:t>
      </w:r>
      <w:r>
        <w:rPr>
          <w:rFonts w:hint="eastAsia" w:ascii="宋体" w:hAnsi="宋体" w:cs="宋体"/>
          <w:b w:val="0"/>
          <w:bCs w:val="0"/>
          <w:sz w:val="28"/>
          <w:szCs w:val="28"/>
          <w:lang w:val="en-US" w:eastAsia="zh-CN"/>
        </w:rPr>
        <w:t>，</w:t>
      </w:r>
      <w:r>
        <w:rPr>
          <w:rFonts w:hint="eastAsia"/>
          <w:sz w:val="28"/>
          <w:szCs w:val="28"/>
          <w:lang w:eastAsia="zh-CN"/>
        </w:rPr>
        <w:t>各项工作有序推进，成效显著。</w:t>
      </w:r>
      <w:r>
        <w:rPr>
          <w:rFonts w:hint="eastAsia" w:ascii="宋体" w:hAnsi="宋体" w:cs="宋体"/>
          <w:sz w:val="28"/>
          <w:szCs w:val="28"/>
          <w:lang w:val="en-US" w:eastAsia="zh-CN"/>
        </w:rPr>
        <w:t>民生服务质量不断提升，增强了市民出行的安全感和幸福感。</w:t>
      </w:r>
    </w:p>
    <w:p>
      <w:pPr>
        <w:keepNext w:val="0"/>
        <w:keepLines w:val="0"/>
        <w:pageBreakBefore w:val="0"/>
        <w:kinsoku/>
        <w:wordWrap/>
        <w:overflowPunct/>
        <w:topLinePunct w:val="0"/>
        <w:autoSpaceDN/>
        <w:bidi w:val="0"/>
        <w:adjustRightInd/>
        <w:snapToGrid/>
        <w:spacing w:line="240" w:lineRule="auto"/>
        <w:textAlignment w:val="auto"/>
        <w:rPr>
          <w:rFonts w:hint="eastAsia"/>
          <w:sz w:val="28"/>
          <w:szCs w:val="28"/>
          <w:lang w:eastAsia="zh-CN"/>
        </w:rPr>
      </w:pPr>
      <w:r>
        <w:rPr>
          <w:rFonts w:hint="eastAsia"/>
          <w:sz w:val="28"/>
          <w:szCs w:val="28"/>
          <w:lang w:eastAsia="zh-CN"/>
        </w:rPr>
        <w:t>主要绩效情况如下：</w:t>
      </w:r>
    </w:p>
    <w:p>
      <w:pPr>
        <w:keepNext w:val="0"/>
        <w:keepLines w:val="0"/>
        <w:pageBreakBefore w:val="0"/>
        <w:numPr>
          <w:ilvl w:val="0"/>
          <w:numId w:val="3"/>
        </w:numPr>
        <w:kinsoku/>
        <w:wordWrap/>
        <w:overflowPunct/>
        <w:topLinePunct w:val="0"/>
        <w:autoSpaceDN/>
        <w:bidi w:val="0"/>
        <w:adjustRightInd/>
        <w:snapToGrid/>
        <w:spacing w:line="240" w:lineRule="auto"/>
        <w:ind w:firstLine="560" w:firstLineChars="200"/>
        <w:textAlignment w:val="auto"/>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w:t>
      </w:r>
      <w:r>
        <w:rPr>
          <w:rFonts w:hint="eastAsia" w:ascii="宋体" w:hAnsi="宋体" w:eastAsia="宋体" w:cs="宋体"/>
          <w:sz w:val="28"/>
          <w:szCs w:val="28"/>
          <w:lang w:val="en-US" w:eastAsia="zh-CN"/>
        </w:rPr>
        <w:t>顽瘴痼疾”整治</w:t>
      </w:r>
      <w:r>
        <w:rPr>
          <w:rFonts w:hint="eastAsia" w:ascii="宋体" w:hAnsi="宋体" w:eastAsia="宋体" w:cs="宋体"/>
          <w:color w:val="000000"/>
          <w:kern w:val="0"/>
          <w:sz w:val="28"/>
          <w:szCs w:val="28"/>
          <w:lang w:val="en-US" w:eastAsia="zh-CN"/>
        </w:rPr>
        <w:t>工作卓有成效，交通运输行业安全稳定。</w:t>
      </w:r>
    </w:p>
    <w:p>
      <w:pPr>
        <w:keepNext w:val="0"/>
        <w:keepLines w:val="0"/>
        <w:pageBreakBefore w:val="0"/>
        <w:numPr>
          <w:ilvl w:val="0"/>
          <w:numId w:val="0"/>
        </w:numPr>
        <w:kinsoku/>
        <w:wordWrap/>
        <w:overflowPunct/>
        <w:topLinePunct w:val="0"/>
        <w:autoSpaceDN/>
        <w:bidi w:val="0"/>
        <w:adjustRightInd/>
        <w:snapToGrid/>
        <w:spacing w:line="24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2、辖区高速公路、</w:t>
      </w:r>
      <w:r>
        <w:rPr>
          <w:rFonts w:hint="eastAsia" w:ascii="宋体" w:hAnsi="宋体" w:eastAsia="宋体" w:cs="宋体"/>
          <w:sz w:val="28"/>
          <w:szCs w:val="28"/>
          <w:lang w:eastAsia="zh-CN"/>
        </w:rPr>
        <w:t>干线公路路域环境明显改善</w:t>
      </w:r>
      <w:r>
        <w:rPr>
          <w:rFonts w:hint="eastAsia" w:ascii="宋体" w:hAnsi="宋体" w:cs="宋体"/>
          <w:sz w:val="28"/>
          <w:szCs w:val="28"/>
          <w:lang w:eastAsia="zh-CN"/>
        </w:rPr>
        <w:t>，路容路貌再提升。</w:t>
      </w:r>
    </w:p>
    <w:p>
      <w:pPr>
        <w:keepNext w:val="0"/>
        <w:keepLines w:val="0"/>
        <w:pageBreakBefore w:val="0"/>
        <w:numPr>
          <w:ilvl w:val="0"/>
          <w:numId w:val="0"/>
        </w:numPr>
        <w:kinsoku/>
        <w:wordWrap/>
        <w:overflowPunct/>
        <w:topLinePunct w:val="0"/>
        <w:autoSpaceDN/>
        <w:bidi w:val="0"/>
        <w:adjustRightInd/>
        <w:snapToGrid/>
        <w:spacing w:line="24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w:t>
      </w:r>
      <w:r>
        <w:rPr>
          <w:rFonts w:hint="eastAsia" w:ascii="宋体" w:hAnsi="宋体" w:eastAsia="宋体" w:cs="宋体"/>
          <w:sz w:val="28"/>
          <w:szCs w:val="28"/>
        </w:rPr>
        <w:t>坚决遏制</w:t>
      </w:r>
      <w:r>
        <w:rPr>
          <w:rFonts w:hint="eastAsia" w:ascii="宋体" w:hAnsi="宋体" w:eastAsia="宋体" w:cs="宋体"/>
          <w:sz w:val="28"/>
          <w:szCs w:val="28"/>
          <w:lang w:eastAsia="zh-CN"/>
        </w:rPr>
        <w:t>了</w:t>
      </w:r>
      <w:r>
        <w:rPr>
          <w:rFonts w:hint="eastAsia" w:ascii="宋体" w:hAnsi="宋体" w:eastAsia="宋体" w:cs="宋体"/>
          <w:sz w:val="28"/>
          <w:szCs w:val="28"/>
        </w:rPr>
        <w:t>超限运输反弹，</w:t>
      </w:r>
      <w:r>
        <w:rPr>
          <w:rFonts w:hint="eastAsia" w:ascii="宋体" w:hAnsi="宋体" w:cs="宋体"/>
          <w:sz w:val="28"/>
          <w:szCs w:val="28"/>
          <w:lang w:eastAsia="zh-CN"/>
        </w:rPr>
        <w:t>公路安全畅通完好</w:t>
      </w:r>
      <w:r>
        <w:rPr>
          <w:rFonts w:hint="eastAsia" w:ascii="宋体" w:hAnsi="宋体" w:eastAsia="宋体" w:cs="宋体"/>
          <w:sz w:val="28"/>
          <w:szCs w:val="28"/>
          <w:lang w:eastAsia="zh-CN"/>
        </w:rPr>
        <w:t>。</w:t>
      </w:r>
    </w:p>
    <w:p>
      <w:pPr>
        <w:keepNext w:val="0"/>
        <w:keepLines w:val="0"/>
        <w:pageBreakBefore w:val="0"/>
        <w:numPr>
          <w:ilvl w:val="0"/>
          <w:numId w:val="0"/>
        </w:numPr>
        <w:kinsoku/>
        <w:wordWrap/>
        <w:overflowPunct/>
        <w:topLinePunct w:val="0"/>
        <w:autoSpaceDN/>
        <w:bidi w:val="0"/>
        <w:adjustRightInd/>
        <w:snapToGrid/>
        <w:spacing w:line="240" w:lineRule="auto"/>
        <w:ind w:firstLine="560" w:firstLineChars="200"/>
        <w:textAlignment w:val="auto"/>
        <w:rPr>
          <w:rFonts w:hint="eastAsia" w:ascii="宋体" w:hAnsi="宋体" w:eastAsia="宋体" w:cs="宋体"/>
          <w:sz w:val="28"/>
          <w:szCs w:val="28"/>
          <w:lang w:val="en-US" w:eastAsia="zh-CN"/>
        </w:rPr>
      </w:pPr>
      <w:r>
        <w:rPr>
          <w:rFonts w:hint="eastAsia" w:ascii="宋体" w:hAnsi="宋体" w:cs="宋体"/>
          <w:sz w:val="28"/>
          <w:szCs w:val="28"/>
          <w:lang w:val="en-US" w:eastAsia="zh-CN"/>
        </w:rPr>
        <w:t>4、</w:t>
      </w:r>
      <w:r>
        <w:rPr>
          <w:rFonts w:hint="eastAsia" w:ascii="宋体" w:hAnsi="宋体" w:cs="宋体"/>
          <w:sz w:val="28"/>
          <w:szCs w:val="28"/>
          <w:lang w:eastAsia="zh-CN"/>
        </w:rPr>
        <w:t>有效打击了</w:t>
      </w:r>
      <w:r>
        <w:rPr>
          <w:rFonts w:hint="eastAsia" w:ascii="宋体" w:hAnsi="宋体" w:eastAsia="宋体" w:cs="宋体"/>
          <w:color w:val="auto"/>
          <w:sz w:val="28"/>
          <w:szCs w:val="28"/>
        </w:rPr>
        <w:t>非法营运行为，</w:t>
      </w:r>
      <w:r>
        <w:rPr>
          <w:rFonts w:hint="eastAsia" w:ascii="宋体" w:hAnsi="宋体" w:eastAsia="宋体" w:cs="宋体"/>
          <w:color w:val="auto"/>
          <w:sz w:val="28"/>
          <w:szCs w:val="28"/>
          <w:lang w:eastAsia="zh-CN"/>
        </w:rPr>
        <w:t>道路运输</w:t>
      </w:r>
      <w:r>
        <w:rPr>
          <w:rFonts w:hint="eastAsia" w:ascii="宋体" w:hAnsi="宋体" w:eastAsia="宋体" w:cs="宋体"/>
          <w:color w:val="auto"/>
          <w:sz w:val="28"/>
          <w:szCs w:val="28"/>
        </w:rPr>
        <w:t>市场秩序</w:t>
      </w:r>
      <w:r>
        <w:rPr>
          <w:rFonts w:hint="eastAsia" w:ascii="宋体" w:hAnsi="宋体" w:eastAsia="宋体" w:cs="宋体"/>
          <w:color w:val="auto"/>
          <w:sz w:val="28"/>
          <w:szCs w:val="28"/>
          <w:lang w:eastAsia="zh-CN"/>
        </w:rPr>
        <w:t>平稳有序</w:t>
      </w:r>
      <w:r>
        <w:rPr>
          <w:rFonts w:hint="eastAsia" w:ascii="宋体" w:hAnsi="宋体" w:cs="宋体"/>
          <w:sz w:val="28"/>
          <w:szCs w:val="28"/>
          <w:lang w:val="en-US" w:eastAsia="zh-CN"/>
        </w:rPr>
        <w:t>。</w:t>
      </w:r>
    </w:p>
    <w:p>
      <w:pPr>
        <w:keepNext w:val="0"/>
        <w:keepLines w:val="0"/>
        <w:pageBreakBefore w:val="0"/>
        <w:numPr>
          <w:ilvl w:val="0"/>
          <w:numId w:val="0"/>
        </w:numPr>
        <w:kinsoku/>
        <w:wordWrap/>
        <w:overflowPunct/>
        <w:topLinePunct w:val="0"/>
        <w:autoSpaceDN/>
        <w:bidi w:val="0"/>
        <w:adjustRightInd/>
        <w:snapToGrid/>
        <w:spacing w:line="240" w:lineRule="auto"/>
        <w:ind w:firstLine="560" w:firstLineChars="200"/>
        <w:textAlignment w:val="auto"/>
        <w:rPr>
          <w:rFonts w:hint="eastAsia" w:ascii="宋体" w:hAnsi="宋体" w:eastAsia="宋体" w:cs="宋体"/>
          <w:sz w:val="28"/>
          <w:szCs w:val="28"/>
          <w:lang w:val="en-US" w:eastAsia="zh-CN"/>
        </w:rPr>
      </w:pPr>
      <w:r>
        <w:rPr>
          <w:rFonts w:hint="eastAsia" w:ascii="宋体" w:hAnsi="宋体" w:cs="宋体"/>
          <w:sz w:val="28"/>
          <w:szCs w:val="28"/>
          <w:lang w:val="en-US" w:eastAsia="zh-CN"/>
        </w:rPr>
        <w:t>5、辖区水域交通运输执法力度不断加大，水上交通运输秩序安全有序。</w:t>
      </w:r>
    </w:p>
    <w:p>
      <w:pPr>
        <w:ind w:firstLine="560" w:firstLineChars="200"/>
        <w:rPr>
          <w:rFonts w:hint="eastAsia" w:ascii="宋体" w:hAnsi="宋体" w:eastAsia="宋体" w:cs="宋体"/>
          <w:sz w:val="28"/>
          <w:szCs w:val="28"/>
        </w:rPr>
      </w:pPr>
      <w:r>
        <w:rPr>
          <w:rFonts w:hint="eastAsia"/>
          <w:sz w:val="28"/>
          <w:szCs w:val="28"/>
          <w:lang w:val="en-US" w:eastAsia="zh-CN"/>
        </w:rPr>
        <w:t>6、坚持为民服务理念，</w:t>
      </w:r>
      <w:r>
        <w:rPr>
          <w:rFonts w:hint="eastAsia"/>
          <w:sz w:val="28"/>
          <w:szCs w:val="28"/>
        </w:rPr>
        <w:t>民生服务质量</w:t>
      </w:r>
      <w:r>
        <w:rPr>
          <w:rFonts w:hint="eastAsia"/>
          <w:sz w:val="28"/>
          <w:szCs w:val="28"/>
          <w:lang w:eastAsia="zh-CN"/>
        </w:rPr>
        <w:t>大幅提升</w:t>
      </w:r>
      <w:r>
        <w:rPr>
          <w:rFonts w:hint="eastAsia"/>
          <w:sz w:val="28"/>
          <w:szCs w:val="28"/>
        </w:rPr>
        <w:t>。</w:t>
      </w: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ind w:firstLine="3253" w:firstLineChars="900"/>
        <w:textAlignment w:val="center"/>
        <w:rPr>
          <w:rFonts w:hint="eastAsia"/>
          <w:b/>
          <w:bCs/>
          <w:sz w:val="36"/>
          <w:szCs w:val="36"/>
        </w:rPr>
      </w:pPr>
    </w:p>
    <w:p>
      <w:pPr>
        <w:keepNext w:val="0"/>
        <w:keepLines w:val="0"/>
        <w:pageBreakBefore w:val="0"/>
        <w:widowControl w:val="0"/>
        <w:kinsoku/>
        <w:wordWrap/>
        <w:overflowPunct/>
        <w:topLinePunct w:val="0"/>
        <w:autoSpaceDE/>
        <w:autoSpaceDN/>
        <w:bidi w:val="0"/>
        <w:adjustRightInd/>
        <w:snapToGrid/>
        <w:spacing w:line="560" w:lineRule="exact"/>
        <w:ind w:firstLine="3253" w:firstLineChars="900"/>
        <w:textAlignment w:val="center"/>
        <w:rPr>
          <w:rFonts w:hint="eastAsia"/>
          <w:b/>
          <w:bCs/>
          <w:sz w:val="36"/>
          <w:szCs w:val="36"/>
        </w:rPr>
      </w:pPr>
    </w:p>
    <w:p>
      <w:pPr>
        <w:keepNext w:val="0"/>
        <w:keepLines w:val="0"/>
        <w:pageBreakBefore w:val="0"/>
        <w:widowControl w:val="0"/>
        <w:kinsoku/>
        <w:wordWrap/>
        <w:overflowPunct/>
        <w:topLinePunct w:val="0"/>
        <w:autoSpaceDE/>
        <w:autoSpaceDN/>
        <w:bidi w:val="0"/>
        <w:adjustRightInd/>
        <w:snapToGrid/>
        <w:spacing w:line="560" w:lineRule="exact"/>
        <w:ind w:firstLine="3253" w:firstLineChars="900"/>
        <w:textAlignment w:val="center"/>
        <w:rPr>
          <w:rFonts w:hint="eastAsia"/>
          <w:b/>
          <w:bCs/>
          <w:sz w:val="36"/>
          <w:szCs w:val="36"/>
        </w:rPr>
      </w:pPr>
    </w:p>
    <w:p>
      <w:pPr>
        <w:keepNext w:val="0"/>
        <w:keepLines w:val="0"/>
        <w:pageBreakBefore w:val="0"/>
        <w:widowControl w:val="0"/>
        <w:kinsoku/>
        <w:wordWrap/>
        <w:overflowPunct/>
        <w:topLinePunct w:val="0"/>
        <w:autoSpaceDE/>
        <w:autoSpaceDN/>
        <w:bidi w:val="0"/>
        <w:adjustRightInd/>
        <w:snapToGrid/>
        <w:spacing w:line="560" w:lineRule="exact"/>
        <w:ind w:firstLine="3253" w:firstLineChars="900"/>
        <w:textAlignment w:val="center"/>
        <w:rPr>
          <w:rFonts w:hint="eastAsia"/>
          <w:b/>
          <w:bCs/>
          <w:sz w:val="36"/>
          <w:szCs w:val="36"/>
        </w:rPr>
      </w:pPr>
    </w:p>
    <w:p>
      <w:pPr>
        <w:keepNext w:val="0"/>
        <w:keepLines w:val="0"/>
        <w:pageBreakBefore w:val="0"/>
        <w:widowControl w:val="0"/>
        <w:kinsoku/>
        <w:wordWrap/>
        <w:overflowPunct/>
        <w:topLinePunct w:val="0"/>
        <w:autoSpaceDE/>
        <w:autoSpaceDN/>
        <w:bidi w:val="0"/>
        <w:adjustRightInd/>
        <w:snapToGrid/>
        <w:spacing w:line="560" w:lineRule="exact"/>
        <w:ind w:firstLine="3253" w:firstLineChars="900"/>
        <w:textAlignment w:val="center"/>
        <w:rPr>
          <w:b/>
          <w:bCs/>
          <w:sz w:val="36"/>
          <w:szCs w:val="36"/>
        </w:rPr>
      </w:pPr>
      <w:r>
        <w:rPr>
          <w:rFonts w:hint="eastAsia"/>
          <w:b/>
          <w:bCs/>
          <w:sz w:val="36"/>
          <w:szCs w:val="36"/>
        </w:rPr>
        <w:t>第四部分</w:t>
      </w:r>
    </w:p>
    <w:p>
      <w:pPr>
        <w:keepNext w:val="0"/>
        <w:keepLines w:val="0"/>
        <w:pageBreakBefore w:val="0"/>
        <w:widowControl w:val="0"/>
        <w:kinsoku/>
        <w:wordWrap/>
        <w:overflowPunct/>
        <w:topLinePunct w:val="0"/>
        <w:autoSpaceDE/>
        <w:autoSpaceDN/>
        <w:bidi w:val="0"/>
        <w:adjustRightInd/>
        <w:snapToGrid/>
        <w:spacing w:line="560" w:lineRule="exact"/>
        <w:ind w:firstLine="3253" w:firstLineChars="900"/>
        <w:textAlignment w:val="center"/>
        <w:rPr>
          <w:b/>
          <w:bCs/>
          <w:sz w:val="36"/>
          <w:szCs w:val="36"/>
        </w:rPr>
      </w:pPr>
      <w:r>
        <w:rPr>
          <w:rFonts w:hint="eastAsia"/>
          <w:b/>
          <w:bCs/>
          <w:sz w:val="36"/>
          <w:szCs w:val="36"/>
        </w:rPr>
        <w:t>名词解释</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center"/>
        <w:rPr>
          <w:sz w:val="28"/>
          <w:szCs w:val="28"/>
        </w:rPr>
      </w:pPr>
    </w:p>
    <w:p>
      <w:pPr>
        <w:widowControl/>
        <w:spacing w:line="600" w:lineRule="exact"/>
        <w:rPr>
          <w:rFonts w:hint="eastAsia" w:ascii="宋体" w:hAnsi="宋体" w:eastAsia="宋体" w:cs="宋体"/>
          <w:kern w:val="0"/>
          <w:sz w:val="28"/>
          <w:szCs w:val="28"/>
        </w:rPr>
      </w:pPr>
      <w:r>
        <w:rPr>
          <w:rFonts w:hint="eastAsia" w:ascii="宋体" w:hAnsi="宋体" w:eastAsia="宋体" w:cs="宋体"/>
          <w:kern w:val="0"/>
          <w:sz w:val="28"/>
          <w:szCs w:val="28"/>
          <w:lang w:val="en-US" w:eastAsia="zh-CN"/>
        </w:rPr>
        <w:t>(一）</w:t>
      </w:r>
      <w:r>
        <w:rPr>
          <w:rFonts w:hint="eastAsia" w:ascii="宋体" w:hAnsi="宋体" w:eastAsia="宋体" w:cs="宋体"/>
          <w:kern w:val="0"/>
          <w:sz w:val="28"/>
          <w:szCs w:val="28"/>
        </w:rPr>
        <w:t>机关运行经费：是指各部门的公用经费，包括办公及印刷费、邮电费、差旅费、会议费、福利费、日常维修费、专用资料及一般设备购置费、办公用房水电费、办公用房取暖费、办公用房物业管理费、公务用车运行维护费以及其他费用。</w:t>
      </w:r>
    </w:p>
    <w:p>
      <w:pPr>
        <w:keepNext w:val="0"/>
        <w:keepLines w:val="0"/>
        <w:pageBreakBefore w:val="0"/>
        <w:widowControl w:val="0"/>
        <w:kinsoku/>
        <w:wordWrap/>
        <w:overflowPunct/>
        <w:topLinePunct w:val="0"/>
        <w:autoSpaceDE/>
        <w:autoSpaceDN/>
        <w:bidi w:val="0"/>
        <w:adjustRightInd/>
        <w:snapToGrid/>
        <w:spacing w:line="560" w:lineRule="exact"/>
        <w:textAlignment w:val="center"/>
        <w:rPr>
          <w:sz w:val="28"/>
          <w:szCs w:val="28"/>
        </w:rPr>
      </w:pPr>
      <w:r>
        <w:rPr>
          <w:sz w:val="28"/>
          <w:szCs w:val="28"/>
        </w:rPr>
        <w:t>（</w:t>
      </w:r>
      <w:r>
        <w:rPr>
          <w:rFonts w:hint="eastAsia"/>
          <w:sz w:val="28"/>
          <w:szCs w:val="28"/>
          <w:lang w:eastAsia="zh-CN"/>
        </w:rPr>
        <w:t>二</w:t>
      </w:r>
      <w:r>
        <w:rPr>
          <w:sz w:val="28"/>
          <w:szCs w:val="28"/>
        </w:rPr>
        <w:t>）</w:t>
      </w:r>
      <w:r>
        <w:rPr>
          <w:rFonts w:hint="eastAsia"/>
          <w:sz w:val="28"/>
          <w:szCs w:val="28"/>
          <w:lang w:eastAsia="zh-CN"/>
        </w:rPr>
        <w:t>公用</w:t>
      </w:r>
      <w:r>
        <w:rPr>
          <w:sz w:val="28"/>
          <w:szCs w:val="28"/>
        </w:rPr>
        <w:t>经费：是指各部门的公用经费，包括办公及印刷费、邮电费、差旅费、会议费、福利费、日常维修费、一般设备购置费、办公用房水电费、办公用房物业管理费、公务用车运行维护费以及其他费用。</w:t>
      </w:r>
    </w:p>
    <w:p>
      <w:pPr>
        <w:keepNext w:val="0"/>
        <w:keepLines w:val="0"/>
        <w:pageBreakBefore w:val="0"/>
        <w:widowControl w:val="0"/>
        <w:kinsoku/>
        <w:wordWrap/>
        <w:overflowPunct/>
        <w:topLinePunct w:val="0"/>
        <w:autoSpaceDE/>
        <w:autoSpaceDN/>
        <w:bidi w:val="0"/>
        <w:adjustRightInd/>
        <w:snapToGrid/>
        <w:spacing w:line="560" w:lineRule="exact"/>
        <w:textAlignment w:val="center"/>
        <w:rPr>
          <w:sz w:val="28"/>
          <w:szCs w:val="28"/>
        </w:rPr>
      </w:pPr>
      <w:r>
        <w:rPr>
          <w:sz w:val="28"/>
          <w:szCs w:val="28"/>
        </w:rPr>
        <w:t>（</w:t>
      </w:r>
      <w:r>
        <w:rPr>
          <w:rFonts w:hint="eastAsia"/>
          <w:sz w:val="28"/>
          <w:szCs w:val="28"/>
          <w:lang w:eastAsia="zh-CN"/>
        </w:rPr>
        <w:t>三</w:t>
      </w:r>
      <w:r>
        <w:rPr>
          <w:sz w:val="28"/>
          <w:szCs w:val="28"/>
        </w:rPr>
        <w:t>）“三公”经费：纳入市财政预算管理的“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食宿费等支出。</w:t>
      </w:r>
    </w:p>
    <w:p>
      <w:pPr>
        <w:keepNext w:val="0"/>
        <w:keepLines w:val="0"/>
        <w:pageBreakBefore w:val="0"/>
        <w:widowControl w:val="0"/>
        <w:kinsoku/>
        <w:wordWrap/>
        <w:overflowPunct/>
        <w:topLinePunct w:val="0"/>
        <w:autoSpaceDE/>
        <w:autoSpaceDN/>
        <w:bidi w:val="0"/>
        <w:adjustRightInd/>
        <w:snapToGrid/>
        <w:spacing w:line="560" w:lineRule="exact"/>
        <w:ind w:firstLine="3253" w:firstLineChars="900"/>
        <w:textAlignment w:val="center"/>
        <w:rPr>
          <w:b/>
          <w:bCs/>
          <w:sz w:val="36"/>
          <w:szCs w:val="36"/>
        </w:rPr>
      </w:pPr>
      <w:r>
        <w:rPr>
          <w:rFonts w:hint="eastAsia"/>
          <w:b/>
          <w:bCs/>
          <w:sz w:val="36"/>
          <w:szCs w:val="36"/>
        </w:rPr>
        <w:t>第五部分</w:t>
      </w:r>
    </w:p>
    <w:p>
      <w:pPr>
        <w:keepNext w:val="0"/>
        <w:keepLines w:val="0"/>
        <w:pageBreakBefore w:val="0"/>
        <w:widowControl w:val="0"/>
        <w:kinsoku/>
        <w:wordWrap/>
        <w:overflowPunct/>
        <w:topLinePunct w:val="0"/>
        <w:autoSpaceDE/>
        <w:autoSpaceDN/>
        <w:bidi w:val="0"/>
        <w:adjustRightInd/>
        <w:snapToGrid/>
        <w:spacing w:line="560" w:lineRule="exact"/>
        <w:ind w:firstLine="3614" w:firstLineChars="1000"/>
        <w:textAlignment w:val="center"/>
        <w:rPr>
          <w:rFonts w:hint="eastAsia"/>
          <w:b/>
          <w:bCs/>
          <w:sz w:val="36"/>
          <w:szCs w:val="36"/>
        </w:rPr>
      </w:pPr>
      <w:r>
        <w:rPr>
          <w:rFonts w:hint="eastAsia"/>
          <w:b/>
          <w:bCs/>
          <w:sz w:val="36"/>
          <w:szCs w:val="36"/>
        </w:rPr>
        <w:t>附件</w:t>
      </w:r>
    </w:p>
    <w:p>
      <w:pPr>
        <w:keepNext w:val="0"/>
        <w:keepLines w:val="0"/>
        <w:pageBreakBefore w:val="0"/>
        <w:widowControl w:val="0"/>
        <w:kinsoku/>
        <w:wordWrap/>
        <w:overflowPunct/>
        <w:topLinePunct w:val="0"/>
        <w:autoSpaceDE/>
        <w:autoSpaceDN/>
        <w:bidi w:val="0"/>
        <w:adjustRightInd/>
        <w:snapToGrid/>
        <w:spacing w:line="560" w:lineRule="exact"/>
        <w:textAlignment w:val="center"/>
        <w:rPr>
          <w:rFonts w:hint="default" w:eastAsiaTheme="minorEastAsia"/>
          <w:b/>
          <w:bCs/>
          <w:sz w:val="28"/>
          <w:szCs w:val="28"/>
          <w:lang w:val="en-US" w:eastAsia="zh-CN"/>
        </w:rPr>
      </w:pPr>
      <w:r>
        <w:rPr>
          <w:rFonts w:hint="eastAsia"/>
          <w:b/>
          <w:bCs/>
          <w:sz w:val="28"/>
          <w:szCs w:val="28"/>
          <w:lang w:val="en-US" w:eastAsia="zh-CN"/>
        </w:rPr>
        <w:t>2021年度部门决算公开数据</w:t>
      </w:r>
    </w:p>
    <w:p>
      <w:pPr>
        <w:keepNext w:val="0"/>
        <w:keepLines w:val="0"/>
        <w:pageBreakBefore w:val="0"/>
        <w:widowControl w:val="0"/>
        <w:kinsoku/>
        <w:wordWrap/>
        <w:overflowPunct/>
        <w:topLinePunct w:val="0"/>
        <w:autoSpaceDE/>
        <w:autoSpaceDN/>
        <w:bidi w:val="0"/>
        <w:adjustRightInd/>
        <w:snapToGrid/>
        <w:spacing w:line="560" w:lineRule="exact"/>
        <w:textAlignment w:val="center"/>
        <w:rPr>
          <w:rFonts w:hint="eastAsia"/>
          <w:b/>
          <w:bCs/>
          <w:sz w:val="28"/>
          <w:szCs w:val="28"/>
        </w:rPr>
      </w:pPr>
      <w:r>
        <w:rPr>
          <w:rFonts w:hint="eastAsia"/>
          <w:b/>
          <w:bCs/>
          <w:sz w:val="28"/>
          <w:szCs w:val="28"/>
        </w:rPr>
        <w:t>202</w:t>
      </w:r>
      <w:r>
        <w:rPr>
          <w:rFonts w:hint="eastAsia"/>
          <w:b/>
          <w:bCs/>
          <w:sz w:val="28"/>
          <w:szCs w:val="28"/>
          <w:lang w:val="en-US" w:eastAsia="zh-CN"/>
        </w:rPr>
        <w:t>1</w:t>
      </w:r>
      <w:r>
        <w:rPr>
          <w:rFonts w:hint="eastAsia"/>
          <w:b/>
          <w:bCs/>
          <w:sz w:val="28"/>
          <w:szCs w:val="28"/>
        </w:rPr>
        <w:t>年度部门整体支出绩效评价报告</w:t>
      </w:r>
    </w:p>
    <w:p>
      <w:pPr>
        <w:pStyle w:val="2"/>
        <w:rPr>
          <w:rFonts w:hint="eastAsia"/>
          <w:b/>
          <w:bCs/>
          <w:sz w:val="28"/>
          <w:szCs w:val="28"/>
        </w:rPr>
      </w:pPr>
    </w:p>
    <w:p>
      <w:pPr>
        <w:pStyle w:val="2"/>
        <w:ind w:left="0" w:leftChars="0" w:firstLine="0" w:firstLineChars="0"/>
        <w:rPr>
          <w:rFonts w:hint="eastAsia"/>
          <w:b/>
          <w:bCs/>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altName w:val="微软雅黑"/>
    <w:panose1 w:val="02010601030101010101"/>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Wingdings 2">
    <w:altName w:val="Wingdings"/>
    <w:panose1 w:val="05020102010507070707"/>
    <w:charset w:val="00"/>
    <w:family w:val="auto"/>
    <w:pitch w:val="default"/>
    <w:sig w:usb0="00000000" w:usb1="00000000" w:usb2="00000000" w:usb3="00000000" w:csb0="80000000" w:csb1="00000000"/>
  </w:font>
  <w:font w:name="楷体_GB2312">
    <w:altName w:val="楷体"/>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Wingdings">
    <w:panose1 w:val="05000000000000000000"/>
    <w:charset w:val="00"/>
    <w:family w:val="auto"/>
    <w:pitch w:val="default"/>
    <w:sig w:usb0="00000000" w:usb1="00000000" w:usb2="00000000" w:usb3="00000000" w:csb0="8000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72143"/>
    <w:multiLevelType w:val="singleLevel"/>
    <w:tmpl w:val="07872143"/>
    <w:lvl w:ilvl="0" w:tentative="0">
      <w:start w:val="1"/>
      <w:numFmt w:val="decimal"/>
      <w:suff w:val="nothing"/>
      <w:lvlText w:val="%1、"/>
      <w:lvlJc w:val="left"/>
    </w:lvl>
  </w:abstractNum>
  <w:abstractNum w:abstractNumId="1">
    <w:nsid w:val="0937ACE8"/>
    <w:multiLevelType w:val="singleLevel"/>
    <w:tmpl w:val="0937ACE8"/>
    <w:lvl w:ilvl="0" w:tentative="0">
      <w:start w:val="1"/>
      <w:numFmt w:val="decimal"/>
      <w:suff w:val="nothing"/>
      <w:lvlText w:val="%1、"/>
      <w:lvlJc w:val="left"/>
    </w:lvl>
  </w:abstractNum>
  <w:abstractNum w:abstractNumId="2">
    <w:nsid w:val="351369B0"/>
    <w:multiLevelType w:val="singleLevel"/>
    <w:tmpl w:val="351369B0"/>
    <w:lvl w:ilvl="0" w:tentative="0">
      <w:start w:val="1"/>
      <w:numFmt w:val="decimal"/>
      <w:suff w:val="nothing"/>
      <w:lvlText w:val="%1、"/>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g2N2Y2NThlMzA4NjUzODI2NzE4MzdlNGQwMzQxMzAifQ=="/>
  </w:docVars>
  <w:rsids>
    <w:rsidRoot w:val="0A6E3642"/>
    <w:rsid w:val="01613CFB"/>
    <w:rsid w:val="024F6E03"/>
    <w:rsid w:val="02C13F10"/>
    <w:rsid w:val="03113920"/>
    <w:rsid w:val="04271B8B"/>
    <w:rsid w:val="04D42C77"/>
    <w:rsid w:val="051F34F6"/>
    <w:rsid w:val="064C669D"/>
    <w:rsid w:val="06D541AA"/>
    <w:rsid w:val="06E203B4"/>
    <w:rsid w:val="06E57950"/>
    <w:rsid w:val="076F140E"/>
    <w:rsid w:val="0817778D"/>
    <w:rsid w:val="0A6E3642"/>
    <w:rsid w:val="0AFB187F"/>
    <w:rsid w:val="0B1D155E"/>
    <w:rsid w:val="0DAF13CE"/>
    <w:rsid w:val="0E88114B"/>
    <w:rsid w:val="0F9A0D17"/>
    <w:rsid w:val="11E42CC3"/>
    <w:rsid w:val="152F3804"/>
    <w:rsid w:val="16A45485"/>
    <w:rsid w:val="17DC1A6D"/>
    <w:rsid w:val="17E16716"/>
    <w:rsid w:val="1A9B0966"/>
    <w:rsid w:val="1C414BE0"/>
    <w:rsid w:val="1E045316"/>
    <w:rsid w:val="1FCA037C"/>
    <w:rsid w:val="205D778E"/>
    <w:rsid w:val="23004CA5"/>
    <w:rsid w:val="23063799"/>
    <w:rsid w:val="238E2DC3"/>
    <w:rsid w:val="2474497F"/>
    <w:rsid w:val="26034E42"/>
    <w:rsid w:val="26E779C4"/>
    <w:rsid w:val="26EB043A"/>
    <w:rsid w:val="28556275"/>
    <w:rsid w:val="29D2437C"/>
    <w:rsid w:val="29D939A1"/>
    <w:rsid w:val="2A0A7E7D"/>
    <w:rsid w:val="2B6D565C"/>
    <w:rsid w:val="2C720224"/>
    <w:rsid w:val="2C994CE0"/>
    <w:rsid w:val="2D81316C"/>
    <w:rsid w:val="2E4A0FF6"/>
    <w:rsid w:val="2E9679EC"/>
    <w:rsid w:val="2F9910AF"/>
    <w:rsid w:val="30050EA3"/>
    <w:rsid w:val="307D149C"/>
    <w:rsid w:val="318D433D"/>
    <w:rsid w:val="32A20728"/>
    <w:rsid w:val="32C97F57"/>
    <w:rsid w:val="340D7B7D"/>
    <w:rsid w:val="359D5B1B"/>
    <w:rsid w:val="36485816"/>
    <w:rsid w:val="377543F3"/>
    <w:rsid w:val="37C44526"/>
    <w:rsid w:val="384C5666"/>
    <w:rsid w:val="3A60559B"/>
    <w:rsid w:val="3C16686F"/>
    <w:rsid w:val="3C58192B"/>
    <w:rsid w:val="3E1D4B5A"/>
    <w:rsid w:val="3ED25DF8"/>
    <w:rsid w:val="3ED712E1"/>
    <w:rsid w:val="3FB62733"/>
    <w:rsid w:val="3FE02D10"/>
    <w:rsid w:val="406D1542"/>
    <w:rsid w:val="411B5313"/>
    <w:rsid w:val="4189094A"/>
    <w:rsid w:val="42E71C7C"/>
    <w:rsid w:val="47933597"/>
    <w:rsid w:val="489C1BE9"/>
    <w:rsid w:val="494402AD"/>
    <w:rsid w:val="4A4D298F"/>
    <w:rsid w:val="4AE97323"/>
    <w:rsid w:val="4E654068"/>
    <w:rsid w:val="4FB20A98"/>
    <w:rsid w:val="519F53FD"/>
    <w:rsid w:val="5276523B"/>
    <w:rsid w:val="530E195E"/>
    <w:rsid w:val="55485BC1"/>
    <w:rsid w:val="56B449F1"/>
    <w:rsid w:val="56F852AB"/>
    <w:rsid w:val="579161E1"/>
    <w:rsid w:val="57A87B03"/>
    <w:rsid w:val="57E01DB8"/>
    <w:rsid w:val="57E1049D"/>
    <w:rsid w:val="57EC3C7B"/>
    <w:rsid w:val="5A5F5922"/>
    <w:rsid w:val="5AD7424D"/>
    <w:rsid w:val="5CBF1111"/>
    <w:rsid w:val="5DEE2090"/>
    <w:rsid w:val="5E1A538E"/>
    <w:rsid w:val="5EE27322"/>
    <w:rsid w:val="5F606094"/>
    <w:rsid w:val="601B3C77"/>
    <w:rsid w:val="6030518C"/>
    <w:rsid w:val="6062406E"/>
    <w:rsid w:val="6098413C"/>
    <w:rsid w:val="612453A9"/>
    <w:rsid w:val="613423FA"/>
    <w:rsid w:val="61E65296"/>
    <w:rsid w:val="62CB54C7"/>
    <w:rsid w:val="635D737E"/>
    <w:rsid w:val="64D9686A"/>
    <w:rsid w:val="65203F13"/>
    <w:rsid w:val="65B65145"/>
    <w:rsid w:val="66925973"/>
    <w:rsid w:val="66957E48"/>
    <w:rsid w:val="67B75E4A"/>
    <w:rsid w:val="687B6F1F"/>
    <w:rsid w:val="688020DD"/>
    <w:rsid w:val="6A203CDE"/>
    <w:rsid w:val="6B497F78"/>
    <w:rsid w:val="6B761C20"/>
    <w:rsid w:val="6BF80185"/>
    <w:rsid w:val="6CD73130"/>
    <w:rsid w:val="6D9C7DC8"/>
    <w:rsid w:val="6DFC076D"/>
    <w:rsid w:val="6F653D83"/>
    <w:rsid w:val="734357E8"/>
    <w:rsid w:val="73526C7B"/>
    <w:rsid w:val="74261D79"/>
    <w:rsid w:val="747F0555"/>
    <w:rsid w:val="77781381"/>
    <w:rsid w:val="77B17470"/>
    <w:rsid w:val="7BE54B65"/>
    <w:rsid w:val="7E60253B"/>
    <w:rsid w:val="7EB066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qFormat/>
    <w:uiPriority w:val="0"/>
  </w:style>
  <w:style w:type="table" w:default="1" w:styleId="9">
    <w:name w:val="Normal Table"/>
    <w:semiHidden/>
    <w:qFormat/>
    <w:uiPriority w:val="0"/>
    <w:pPr>
      <w:keepNext w:val="0"/>
      <w:keepLines w:val="0"/>
      <w:widowControl/>
      <w:suppressLineNumbers w:val="0"/>
      <w:spacing w:before="0" w:beforeAutospacing="0" w:after="0" w:afterAutospacing="0"/>
      <w:ind w:left="0" w:right="0"/>
    </w:pPr>
    <w:rPr>
      <w:rFonts w:hint="default" w:ascii="Calibri" w:hAnsi="Calibri" w:cs="Calibri"/>
      <w:kern w:val="2"/>
      <w:sz w:val="21"/>
      <w:szCs w:val="22"/>
    </w:rPr>
    <w:tblPr>
      <w:tblLayout w:type="fixed"/>
      <w:tblCellMar>
        <w:top w:w="0" w:type="dxa"/>
        <w:left w:w="108" w:type="dxa"/>
        <w:bottom w:w="0" w:type="dxa"/>
        <w:right w:w="108" w:type="dxa"/>
      </w:tblCellMar>
    </w:tblPr>
  </w:style>
  <w:style w:type="paragraph" w:styleId="2">
    <w:name w:val="Body Text First Indent"/>
    <w:basedOn w:val="3"/>
    <w:qFormat/>
    <w:uiPriority w:val="0"/>
    <w:pPr>
      <w:ind w:firstLine="420" w:firstLineChars="100"/>
    </w:pPr>
  </w:style>
  <w:style w:type="paragraph" w:styleId="3">
    <w:name w:val="Body Text"/>
    <w:basedOn w:val="1"/>
    <w:qFormat/>
    <w:uiPriority w:val="0"/>
    <w:pPr>
      <w:spacing w:after="120"/>
    </w:pPr>
  </w:style>
  <w:style w:type="paragraph" w:styleId="4">
    <w:name w:val="footer"/>
    <w:basedOn w:val="1"/>
    <w:unhideWhenUsed/>
    <w:qFormat/>
    <w:uiPriority w:val="0"/>
    <w:pPr>
      <w:tabs>
        <w:tab w:val="center" w:pos="4153"/>
        <w:tab w:val="right" w:pos="8306"/>
      </w:tabs>
      <w:snapToGrid w:val="0"/>
      <w:jc w:val="left"/>
    </w:pPr>
    <w:rPr>
      <w:sz w:val="18"/>
      <w:szCs w:val="18"/>
    </w:rPr>
  </w:style>
  <w:style w:type="paragraph" w:styleId="5">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keepNext w:val="0"/>
      <w:keepLines w:val="0"/>
      <w:widowControl/>
      <w:suppressLineNumbers w:val="0"/>
      <w:spacing w:before="0" w:beforeAutospacing="1" w:after="0" w:afterAutospacing="1"/>
      <w:ind w:left="0" w:right="0"/>
      <w:jc w:val="left"/>
    </w:pPr>
    <w:rPr>
      <w:rFonts w:hint="eastAsia" w:ascii="宋体" w:hAnsi="宋体" w:eastAsia="宋体" w:cs="宋体"/>
      <w:kern w:val="0"/>
      <w:sz w:val="24"/>
      <w:szCs w:val="24"/>
      <w:lang w:val="en-US" w:eastAsia="zh-CN" w:bidi="ar"/>
    </w:rPr>
  </w:style>
  <w:style w:type="character" w:styleId="8">
    <w:name w:val="Strong"/>
    <w:basedOn w:val="7"/>
    <w:qFormat/>
    <w:uiPriority w:val="22"/>
    <w:rPr>
      <w:b/>
      <w:bCs/>
    </w:rPr>
  </w:style>
  <w:style w:type="paragraph" w:customStyle="1" w:styleId="10">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1">
    <w:name w:val="List Paragraph"/>
    <w:basedOn w:val="1"/>
    <w:qFormat/>
    <w:uiPriority w:val="34"/>
    <w:pPr>
      <w:ind w:firstLine="420" w:firstLineChars="200"/>
    </w:pPr>
  </w:style>
  <w:style w:type="character" w:customStyle="1" w:styleId="12">
    <w:name w:val="font11"/>
    <w:basedOn w:val="7"/>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4956</Words>
  <Characters>5486</Characters>
  <Lines>0</Lines>
  <Paragraphs>0</Paragraphs>
  <TotalTime>0</TotalTime>
  <ScaleCrop>false</ScaleCrop>
  <LinksUpToDate>false</LinksUpToDate>
  <CharactersWithSpaces>5545</CharactersWithSpaces>
  <Application>WPS Office_10.8.2.6613_F1E327BC-269C-435d-A152-05C5408002CA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2021-09-17T03:10:00Z</dcterms:created>
  <dc:creator>Administrator</dc:creator>
  <cp:lastModifiedBy>Administrator</cp:lastModifiedBy>
  <cp:lastPrinted>2022-09-20T00:36:00Z</cp:lastPrinted>
  <dcterms:modified xsi:type="dcterms:W3CDTF">2023-09-22T03:24:33Z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2052-10.8.2.6613</vt:lpwstr>
  </property>
  <property fmtid="{D5CDD505-2E9C-101B-9397-08002B2CF9AE}" pid="3" name="ICV">
    <vt:lpwstr>B847AE97B3F143AABEE353A2F429DC82</vt:lpwstr>
  </property>
</Properties>
</file>