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hint="eastAsia"/>
          <w:color w:val="auto"/>
          <w:sz w:val="56"/>
          <w:szCs w:val="56"/>
        </w:rPr>
      </w:pPr>
    </w:p>
    <w:p>
      <w:pPr>
        <w:pStyle w:val="9"/>
        <w:jc w:val="center"/>
        <w:rPr>
          <w:color w:val="auto"/>
          <w:sz w:val="56"/>
          <w:szCs w:val="56"/>
        </w:rPr>
      </w:pPr>
    </w:p>
    <w:p>
      <w:pPr>
        <w:pStyle w:val="9"/>
        <w:jc w:val="center"/>
        <w:rPr>
          <w:color w:val="auto"/>
          <w:sz w:val="84"/>
          <w:szCs w:val="84"/>
        </w:rPr>
      </w:pPr>
    </w:p>
    <w:p>
      <w:pPr>
        <w:pStyle w:val="9"/>
        <w:jc w:val="center"/>
        <w:rPr>
          <w:color w:val="auto"/>
          <w:sz w:val="84"/>
          <w:szCs w:val="84"/>
        </w:rPr>
      </w:pPr>
    </w:p>
    <w:p>
      <w:pPr>
        <w:pStyle w:val="9"/>
        <w:jc w:val="center"/>
        <w:rPr>
          <w:color w:val="auto"/>
          <w:sz w:val="84"/>
          <w:szCs w:val="84"/>
        </w:rPr>
      </w:pPr>
      <w:r>
        <w:rPr>
          <w:rFonts w:hint="eastAsia"/>
          <w:color w:val="auto"/>
          <w:sz w:val="84"/>
          <w:szCs w:val="84"/>
        </w:rPr>
        <w:t>2021年度</w:t>
      </w:r>
    </w:p>
    <w:p>
      <w:pPr>
        <w:pStyle w:val="9"/>
        <w:jc w:val="center"/>
        <w:rPr>
          <w:rFonts w:hint="eastAsia"/>
          <w:color w:val="auto"/>
          <w:sz w:val="84"/>
          <w:szCs w:val="84"/>
          <w:lang w:eastAsia="zh-CN"/>
        </w:rPr>
      </w:pPr>
      <w:r>
        <w:rPr>
          <w:rFonts w:hint="eastAsia"/>
          <w:color w:val="auto"/>
          <w:sz w:val="84"/>
          <w:szCs w:val="84"/>
          <w:lang w:eastAsia="zh-CN"/>
        </w:rPr>
        <w:t>岳阳市检验检测中心</w:t>
      </w:r>
    </w:p>
    <w:p>
      <w:pPr>
        <w:pStyle w:val="9"/>
        <w:jc w:val="center"/>
        <w:rPr>
          <w:color w:val="auto"/>
          <w:sz w:val="84"/>
          <w:szCs w:val="84"/>
        </w:rPr>
      </w:pPr>
      <w:r>
        <w:rPr>
          <w:rFonts w:hint="eastAsia"/>
          <w:color w:val="auto"/>
          <w:sz w:val="84"/>
          <w:szCs w:val="84"/>
        </w:rPr>
        <w:t>部门决算</w:t>
      </w: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32"/>
          <w:szCs w:val="32"/>
        </w:rPr>
      </w:pPr>
    </w:p>
    <w:p>
      <w:pPr>
        <w:pStyle w:val="9"/>
        <w:jc w:val="center"/>
        <w:rPr>
          <w:color w:val="auto"/>
          <w:sz w:val="32"/>
          <w:szCs w:val="32"/>
        </w:rPr>
      </w:pPr>
    </w:p>
    <w:p>
      <w:pPr>
        <w:pStyle w:val="9"/>
        <w:jc w:val="center"/>
        <w:rPr>
          <w:color w:val="auto"/>
          <w:sz w:val="32"/>
          <w:szCs w:val="32"/>
        </w:rPr>
      </w:pPr>
    </w:p>
    <w:p>
      <w:pPr>
        <w:pStyle w:val="9"/>
        <w:jc w:val="center"/>
        <w:rPr>
          <w:color w:val="auto"/>
          <w:sz w:val="32"/>
          <w:szCs w:val="32"/>
        </w:rPr>
      </w:pPr>
    </w:p>
    <w:p>
      <w:pPr>
        <w:pStyle w:val="9"/>
        <w:jc w:val="center"/>
        <w:rPr>
          <w:color w:val="auto"/>
          <w:sz w:val="32"/>
          <w:szCs w:val="32"/>
        </w:rPr>
      </w:pPr>
    </w:p>
    <w:p>
      <w:pPr>
        <w:pStyle w:val="9"/>
        <w:keepNext w:val="0"/>
        <w:keepLines w:val="0"/>
        <w:pageBreakBefore w:val="0"/>
        <w:widowControl w:val="0"/>
        <w:kinsoku/>
        <w:wordWrap/>
        <w:overflowPunct/>
        <w:topLinePunct w:val="0"/>
        <w:bidi w:val="0"/>
        <w:snapToGrid/>
        <w:spacing w:line="480" w:lineRule="exact"/>
        <w:jc w:val="center"/>
        <w:textAlignment w:val="auto"/>
        <w:rPr>
          <w:b/>
          <w:color w:val="auto"/>
          <w:sz w:val="36"/>
          <w:szCs w:val="28"/>
        </w:rPr>
      </w:pPr>
      <w:r>
        <w:rPr>
          <w:rFonts w:hint="eastAsia"/>
          <w:b/>
          <w:color w:val="auto"/>
          <w:sz w:val="36"/>
          <w:szCs w:val="28"/>
        </w:rPr>
        <w:t>目录</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b/>
          <w:color w:val="auto"/>
          <w:sz w:val="28"/>
          <w:szCs w:val="28"/>
        </w:rPr>
        <w:t>第一部分</w:t>
      </w:r>
      <w:r>
        <w:rPr>
          <w:rFonts w:hint="eastAsia"/>
          <w:b/>
          <w:color w:val="auto"/>
          <w:sz w:val="28"/>
          <w:szCs w:val="28"/>
          <w:lang w:val="en-US" w:eastAsia="zh-CN"/>
        </w:rPr>
        <w:t xml:space="preserve">  </w:t>
      </w:r>
      <w:r>
        <w:rPr>
          <w:rFonts w:hint="eastAsia"/>
          <w:b/>
          <w:color w:val="auto"/>
          <w:sz w:val="28"/>
          <w:szCs w:val="28"/>
          <w:lang w:eastAsia="zh-CN"/>
        </w:rPr>
        <w:t>岳阳市检验检测中心</w:t>
      </w:r>
      <w:r>
        <w:rPr>
          <w:rFonts w:hint="eastAsia"/>
          <w:b/>
          <w:color w:val="auto"/>
          <w:sz w:val="28"/>
          <w:szCs w:val="28"/>
        </w:rPr>
        <w:t>概况</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9"/>
        <w:spacing w:line="48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w:t>
      </w:r>
      <w:r>
        <w:rPr>
          <w:rFonts w:hint="eastAsia" w:cs="仿宋_GB2312" w:asciiTheme="minorEastAsia" w:hAnsiTheme="minorEastAsia" w:eastAsiaTheme="minorEastAsia"/>
          <w:sz w:val="28"/>
          <w:szCs w:val="28"/>
        </w:rPr>
        <w:t>机构设置及决算单位构成</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hAnsi="仿宋_GB2312"/>
          <w:b/>
          <w:color w:val="auto"/>
          <w:sz w:val="28"/>
          <w:szCs w:val="28"/>
        </w:rPr>
        <w:t>第二部分</w:t>
      </w:r>
      <w:r>
        <w:rPr>
          <w:rFonts w:hint="eastAsia" w:hAnsi="仿宋_GB2312"/>
          <w:b/>
          <w:color w:val="auto"/>
          <w:sz w:val="28"/>
          <w:szCs w:val="28"/>
          <w:lang w:val="en-US" w:eastAsia="zh-CN"/>
        </w:rPr>
        <w:t xml:space="preserve">  </w:t>
      </w:r>
      <w:r>
        <w:rPr>
          <w:rFonts w:hAnsi="仿宋_GB2312"/>
          <w:b/>
          <w:color w:val="auto"/>
          <w:sz w:val="28"/>
          <w:szCs w:val="28"/>
        </w:rPr>
        <w:t>20</w:t>
      </w:r>
      <w:r>
        <w:rPr>
          <w:rFonts w:hint="eastAsia" w:hAnsi="仿宋_GB2312"/>
          <w:b/>
          <w:color w:val="auto"/>
          <w:sz w:val="28"/>
          <w:szCs w:val="28"/>
        </w:rPr>
        <w:t>21年度部门决算表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w:t>
      </w:r>
      <w:r>
        <w:rPr>
          <w:rFonts w:hint="eastAsia" w:cs="仿宋_GB2312" w:asciiTheme="minorEastAsia" w:hAnsiTheme="minorEastAsia" w:eastAsiaTheme="minorEastAsia"/>
          <w:color w:val="auto"/>
          <w:sz w:val="28"/>
          <w:szCs w:val="28"/>
        </w:rPr>
        <w:t>明细</w:t>
      </w:r>
      <w:r>
        <w:rPr>
          <w:rFonts w:cs="仿宋_GB2312" w:asciiTheme="minorEastAsia" w:hAnsiTheme="minorEastAsia" w:eastAsiaTheme="minorEastAsia"/>
          <w:color w:val="auto"/>
          <w:sz w:val="28"/>
          <w:szCs w:val="28"/>
        </w:rPr>
        <w:t>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hint="eastAsia" w:cs="仿宋_GB2312" w:asciiTheme="minorEastAsia" w:hAnsiTheme="minorEastAsia" w:eastAsiaTheme="minorEastAsia"/>
          <w:color w:val="auto"/>
          <w:sz w:val="28"/>
          <w:szCs w:val="28"/>
        </w:rPr>
        <w:t>九、国有资本经营预算财政拨款支出决算表</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hAnsi="仿宋_GB2312"/>
          <w:b/>
          <w:color w:val="auto"/>
          <w:sz w:val="28"/>
          <w:szCs w:val="28"/>
        </w:rPr>
        <w:t>第三部分</w:t>
      </w:r>
      <w:r>
        <w:rPr>
          <w:rFonts w:hint="eastAsia" w:hAnsi="仿宋_GB2312"/>
          <w:b/>
          <w:color w:val="auto"/>
          <w:sz w:val="28"/>
          <w:szCs w:val="28"/>
          <w:lang w:val="en-US" w:eastAsia="zh-CN"/>
        </w:rPr>
        <w:t xml:space="preserve">  </w:t>
      </w:r>
      <w:r>
        <w:rPr>
          <w:rFonts w:hAnsi="仿宋_GB2312"/>
          <w:b/>
          <w:color w:val="auto"/>
          <w:sz w:val="28"/>
          <w:szCs w:val="28"/>
        </w:rPr>
        <w:t>20</w:t>
      </w:r>
      <w:r>
        <w:rPr>
          <w:rFonts w:hint="eastAsia" w:hAnsi="仿宋_GB2312"/>
          <w:b/>
          <w:color w:val="auto"/>
          <w:sz w:val="28"/>
          <w:szCs w:val="28"/>
        </w:rPr>
        <w:t>21年度部门决算情况说明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color w:val="auto"/>
          <w:sz w:val="28"/>
          <w:szCs w:val="28"/>
        </w:rPr>
      </w:pPr>
      <w:r>
        <w:rPr>
          <w:rFonts w:ascii="仿宋_GB2312" w:hAnsi="仿宋_GB2312" w:cs="仿宋_GB2312"/>
          <w:color w:val="auto"/>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七、一般公共预算财政拨款</w:t>
      </w:r>
      <w:r>
        <w:rPr>
          <w:rFonts w:hint="eastAsia" w:ascii="仿宋_GB2312" w:hAnsi="仿宋_GB2312" w:cs="仿宋_GB2312"/>
          <w:color w:val="auto"/>
          <w:kern w:val="0"/>
          <w:sz w:val="28"/>
          <w:szCs w:val="28"/>
        </w:rPr>
        <w:t>“</w:t>
      </w:r>
      <w:r>
        <w:rPr>
          <w:rFonts w:ascii="仿宋_GB2312" w:hAnsi="仿宋_GB2312" w:cs="仿宋_GB2312"/>
          <w:color w:val="auto"/>
          <w:kern w:val="0"/>
          <w:sz w:val="28"/>
          <w:szCs w:val="28"/>
        </w:rPr>
        <w:t>三公</w:t>
      </w:r>
      <w:r>
        <w:rPr>
          <w:rFonts w:hint="eastAsia" w:ascii="仿宋_GB2312" w:hAnsi="仿宋_GB2312" w:cs="仿宋_GB2312"/>
          <w:color w:val="auto"/>
          <w:kern w:val="0"/>
          <w:sz w:val="28"/>
          <w:szCs w:val="28"/>
        </w:rPr>
        <w:t>”</w:t>
      </w:r>
      <w:r>
        <w:rPr>
          <w:rFonts w:ascii="仿宋_GB2312" w:hAnsi="仿宋_GB2312" w:cs="仿宋_GB2312"/>
          <w:color w:val="auto"/>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八</w:t>
      </w:r>
      <w:r>
        <w:rPr>
          <w:rFonts w:ascii="仿宋_GB2312" w:hAnsi="仿宋_GB2312" w:cs="仿宋_GB2312"/>
          <w:color w:val="auto"/>
          <w:kern w:val="0"/>
          <w:sz w:val="28"/>
          <w:szCs w:val="28"/>
        </w:rPr>
        <w:t>、</w:t>
      </w:r>
      <w:r>
        <w:rPr>
          <w:rFonts w:hint="eastAsia" w:ascii="仿宋_GB2312" w:hAnsi="仿宋_GB2312" w:cs="仿宋_GB2312"/>
          <w:color w:val="auto"/>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auto"/>
          <w:kern w:val="0"/>
          <w:sz w:val="28"/>
          <w:szCs w:val="28"/>
          <w:lang w:eastAsia="zh-CN"/>
        </w:rPr>
      </w:pPr>
      <w:r>
        <w:rPr>
          <w:rFonts w:hint="eastAsia" w:ascii="仿宋_GB2312" w:hAnsi="仿宋_GB2312" w:cs="仿宋_GB2312"/>
          <w:color w:val="auto"/>
          <w:kern w:val="0"/>
          <w:sz w:val="28"/>
          <w:szCs w:val="28"/>
        </w:rPr>
        <w:t>九</w:t>
      </w:r>
      <w:r>
        <w:rPr>
          <w:rFonts w:ascii="仿宋_GB2312" w:hAnsi="仿宋_GB2312" w:cs="仿宋_GB2312"/>
          <w:color w:val="auto"/>
          <w:kern w:val="0"/>
          <w:sz w:val="28"/>
          <w:szCs w:val="28"/>
        </w:rPr>
        <w:t>、</w:t>
      </w:r>
      <w:r>
        <w:rPr>
          <w:rFonts w:hint="eastAsia" w:cs="仿宋_GB2312" w:asciiTheme="minorEastAsia" w:hAnsiTheme="minorEastAsia" w:eastAsiaTheme="minorEastAsia"/>
          <w:color w:val="auto"/>
          <w:sz w:val="28"/>
          <w:szCs w:val="28"/>
        </w:rPr>
        <w:t>国有资本经营预算财政拨款支出决算</w:t>
      </w:r>
      <w:r>
        <w:rPr>
          <w:rFonts w:hint="eastAsia" w:cs="仿宋_GB2312" w:asciiTheme="minorEastAsia" w:hAnsiTheme="minorEastAsia"/>
          <w:color w:val="auto"/>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十二、</w:t>
      </w:r>
      <w:r>
        <w:rPr>
          <w:rFonts w:hint="eastAsia" w:ascii="仿宋_GB2312" w:hAnsi="仿宋_GB2312" w:cs="仿宋_GB2312"/>
          <w:color w:val="auto"/>
          <w:kern w:val="0"/>
          <w:sz w:val="28"/>
          <w:szCs w:val="28"/>
        </w:rPr>
        <w:t>政府采购支出说明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十三、国有资产占用情况说明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color w:val="auto"/>
          <w:sz w:val="28"/>
          <w:szCs w:val="28"/>
          <w:lang w:eastAsia="zh-CN"/>
        </w:rPr>
      </w:pPr>
      <w:r>
        <w:rPr>
          <w:rFonts w:hint="eastAsia" w:ascii="仿宋_GB2312" w:hAnsi="仿宋_GB2312" w:cs="仿宋_GB2312" w:eastAsiaTheme="minorEastAsia"/>
          <w:color w:val="auto"/>
          <w:sz w:val="28"/>
          <w:szCs w:val="28"/>
          <w:lang w:eastAsia="zh-CN"/>
        </w:rPr>
        <w:t>十四、</w:t>
      </w:r>
      <w:r>
        <w:rPr>
          <w:rFonts w:hint="eastAsia" w:cs="仿宋_GB2312" w:asciiTheme="minorEastAsia" w:hAnsiTheme="minorEastAsia" w:eastAsiaTheme="minorEastAsia"/>
          <w:color w:val="auto"/>
          <w:sz w:val="28"/>
          <w:szCs w:val="28"/>
        </w:rPr>
        <w:t>2021年</w:t>
      </w:r>
      <w:r>
        <w:rPr>
          <w:rFonts w:hint="eastAsia" w:ascii="仿宋_GB2312" w:hAnsi="仿宋_GB2312" w:cs="仿宋_GB2312" w:eastAsiaTheme="minorEastAsia"/>
          <w:color w:val="auto"/>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auto"/>
          <w:kern w:val="0"/>
          <w:sz w:val="28"/>
          <w:szCs w:val="28"/>
        </w:rPr>
      </w:pPr>
      <w:r>
        <w:rPr>
          <w:rFonts w:ascii="黑体" w:hAnsi="黑体" w:eastAsia="黑体" w:cs="黑体"/>
          <w:b/>
          <w:color w:val="auto"/>
          <w:kern w:val="0"/>
          <w:sz w:val="28"/>
          <w:szCs w:val="28"/>
        </w:rPr>
        <w:t>第四部分</w:t>
      </w:r>
      <w:r>
        <w:rPr>
          <w:rFonts w:hint="eastAsia" w:ascii="黑体" w:hAnsi="黑体" w:eastAsia="黑体" w:cs="黑体"/>
          <w:b/>
          <w:color w:val="auto"/>
          <w:kern w:val="0"/>
          <w:sz w:val="28"/>
          <w:szCs w:val="28"/>
          <w:lang w:val="en-US" w:eastAsia="zh-CN"/>
        </w:rPr>
        <w:t xml:space="preserve">  </w:t>
      </w:r>
      <w:r>
        <w:rPr>
          <w:rFonts w:ascii="黑体" w:hAnsi="黑体" w:eastAsia="黑体" w:cs="黑体"/>
          <w:b/>
          <w:color w:val="auto"/>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auto"/>
          <w:kern w:val="0"/>
          <w:sz w:val="28"/>
          <w:szCs w:val="28"/>
        </w:rPr>
      </w:pPr>
      <w:r>
        <w:rPr>
          <w:rFonts w:hint="eastAsia" w:ascii="黑体" w:hAnsi="黑体" w:eastAsia="黑体" w:cs="黑体"/>
          <w:b/>
          <w:color w:val="auto"/>
          <w:kern w:val="0"/>
          <w:sz w:val="28"/>
          <w:szCs w:val="28"/>
        </w:rPr>
        <w:t>第五部分</w:t>
      </w:r>
      <w:r>
        <w:rPr>
          <w:rFonts w:hint="eastAsia" w:ascii="黑体" w:hAnsi="黑体" w:eastAsia="黑体" w:cs="黑体"/>
          <w:b/>
          <w:color w:val="auto"/>
          <w:kern w:val="0"/>
          <w:sz w:val="28"/>
          <w:szCs w:val="28"/>
          <w:lang w:val="en-US" w:eastAsia="zh-CN"/>
        </w:rPr>
        <w:t xml:space="preserve">  </w:t>
      </w:r>
      <w:r>
        <w:rPr>
          <w:rFonts w:hint="eastAsia" w:ascii="黑体" w:hAnsi="黑体" w:eastAsia="黑体" w:cs="黑体"/>
          <w:b/>
          <w:color w:val="auto"/>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rPr>
          <w:color w:val="auto"/>
          <w:sz w:val="72"/>
          <w:szCs w:val="72"/>
        </w:rPr>
      </w:pPr>
    </w:p>
    <w:p>
      <w:pPr>
        <w:pStyle w:val="9"/>
        <w:jc w:val="center"/>
        <w:rPr>
          <w:color w:val="auto"/>
          <w:sz w:val="84"/>
          <w:szCs w:val="84"/>
        </w:rPr>
      </w:pPr>
      <w:r>
        <w:rPr>
          <w:rFonts w:hint="eastAsia"/>
          <w:color w:val="auto"/>
          <w:sz w:val="84"/>
          <w:szCs w:val="84"/>
        </w:rPr>
        <w:t>第一部分</w:t>
      </w:r>
      <w:r>
        <w:rPr>
          <w:color w:val="auto"/>
          <w:sz w:val="84"/>
          <w:szCs w:val="84"/>
        </w:rPr>
        <w:t xml:space="preserve"> </w:t>
      </w:r>
    </w:p>
    <w:p>
      <w:pPr>
        <w:pStyle w:val="9"/>
        <w:jc w:val="center"/>
        <w:rPr>
          <w:color w:val="auto"/>
          <w:sz w:val="84"/>
          <w:szCs w:val="84"/>
        </w:rPr>
      </w:pPr>
    </w:p>
    <w:p>
      <w:pPr>
        <w:pStyle w:val="9"/>
        <w:jc w:val="center"/>
        <w:rPr>
          <w:color w:val="auto"/>
          <w:sz w:val="84"/>
          <w:szCs w:val="84"/>
        </w:rPr>
      </w:pPr>
      <w:r>
        <w:rPr>
          <w:rFonts w:hint="eastAsia"/>
          <w:color w:val="auto"/>
          <w:sz w:val="84"/>
          <w:szCs w:val="84"/>
          <w:lang w:eastAsia="zh-CN"/>
        </w:rPr>
        <w:t>岳阳市检验检测中心</w:t>
      </w:r>
      <w:r>
        <w:rPr>
          <w:rFonts w:hint="eastAsia"/>
          <w:color w:val="auto"/>
          <w:sz w:val="84"/>
          <w:szCs w:val="84"/>
        </w:rPr>
        <w:t>概况</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pStyle w:val="10"/>
        <w:ind w:left="720" w:firstLine="0" w:firstLineChars="0"/>
        <w:jc w:val="left"/>
        <w:rPr>
          <w:rFonts w:ascii="黑体" w:hAnsi="黑体" w:eastAsia="黑体"/>
          <w:color w:val="auto"/>
          <w:sz w:val="32"/>
          <w:szCs w:val="32"/>
        </w:rPr>
      </w:pPr>
    </w:p>
    <w:p>
      <w:pPr>
        <w:pStyle w:val="10"/>
        <w:ind w:left="0" w:leftChars="0" w:firstLine="0" w:firstLineChars="0"/>
        <w:jc w:val="left"/>
        <w:rPr>
          <w:rFonts w:ascii="黑体" w:hAnsi="黑体" w:eastAsia="黑体"/>
          <w:color w:val="auto"/>
          <w:sz w:val="32"/>
          <w:szCs w:val="32"/>
        </w:rPr>
      </w:pPr>
    </w:p>
    <w:p>
      <w:pPr>
        <w:pStyle w:val="10"/>
        <w:pageBreakBefore w:val="0"/>
        <w:widowControl w:val="0"/>
        <w:numPr>
          <w:ilvl w:val="0"/>
          <w:numId w:val="1"/>
        </w:numPr>
        <w:kinsoku/>
        <w:wordWrap/>
        <w:overflowPunct/>
        <w:topLinePunct w:val="0"/>
        <w:autoSpaceDE/>
        <w:autoSpaceDN/>
        <w:bidi w:val="0"/>
        <w:adjustRightInd/>
        <w:snapToGrid/>
        <w:spacing w:line="600" w:lineRule="exact"/>
        <w:ind w:firstLineChars="0"/>
        <w:jc w:val="left"/>
        <w:textAlignment w:val="auto"/>
        <w:rPr>
          <w:rFonts w:hint="eastAsia" w:asciiTheme="minorEastAsia" w:hAnsiTheme="minorEastAsia"/>
          <w:color w:val="auto"/>
          <w:sz w:val="32"/>
          <w:szCs w:val="32"/>
        </w:rPr>
      </w:pPr>
      <w:r>
        <w:rPr>
          <w:rFonts w:ascii="黑体" w:hAnsi="黑体" w:eastAsia="黑体"/>
          <w:color w:val="auto"/>
          <w:sz w:val="32"/>
          <w:szCs w:val="32"/>
        </w:rPr>
        <w:t>部门职责</w:t>
      </w:r>
    </w:p>
    <w:p>
      <w:pPr>
        <w:pStyle w:val="10"/>
        <w:pageBreakBefore w:val="0"/>
        <w:widowControl w:val="0"/>
        <w:numPr>
          <w:ilvl w:val="0"/>
          <w:numId w:val="0"/>
        </w:numPr>
        <w:kinsoku/>
        <w:wordWrap/>
        <w:overflowPunct/>
        <w:topLinePunct w:val="0"/>
        <w:autoSpaceDE/>
        <w:autoSpaceDN/>
        <w:bidi w:val="0"/>
        <w:adjustRightInd/>
        <w:snapToGrid/>
        <w:spacing w:line="560" w:lineRule="exact"/>
        <w:ind w:leftChars="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(一 )为机关提供支持保障的职能</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1.负责市场监督管理部门委托的产品、重要工业产品的 监督抽查抽样、检验工作;负责管辖范围内纤维制品、棉花质量监督工作;负责棉花、国家储备棉质量公证检验工作; 承担市场监督管理部门委托的食品安全抽样、检验工作;负责依法实施药品监督管理所需的检验工作;负 责市场监督管 理部门委托的化妆品、医疗器械检验工作。</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2.负责卫生行政部门和市场监督管理部门委托的食品 安全风险监测工作;参与食品安全风险评估信息和食品安全监督管理信息工作。</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3.承担农业行政管理部门委托的农产品质量安全监督抽查检测工作。</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4.承担粮食行政管理部门委托的粮食质量安全的扦样和检验工作。</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5.负责研究建立计量基准、社会公用计量标准,进行量 值传递;执行强制检定和法律规定的其他检定、测试任务; 起草技术规范,为实施计量监督提供技术保证;承办有关计量监督工作。</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6.向国务院标准化行政主管部门提 出强制性国家标准的立项建议。</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7.负责为市市场监督管理局、市农业农村局、市商务粮食局等政府其他职能部门履行产品质量监管职责提供技术支撑工作。</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(二 )面向社会提供公益服务的职能</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1.接受有关部门、社会组织、法人及公民委托,依法开展检验检测工作,提供计量检定、校准、测试证书和质检报 告等质量证明。</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2.为县(市 )检验检测技术机构开展新标准、新技术的 推广工作提供技术支持,为 检验检测技术机构和相关行业、企业提供检验专业技术人员培训和技术服务。</w:t>
      </w:r>
    </w:p>
    <w:p>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jc w:val="left"/>
        <w:textAlignment w:val="auto"/>
        <w:rPr>
          <w:rFonts w:hint="eastAsia" w:asciiTheme="minorEastAsia" w:hAnsiTheme="minorEastAsia"/>
          <w:color w:val="auto"/>
          <w:sz w:val="32"/>
          <w:szCs w:val="32"/>
        </w:rPr>
      </w:pPr>
      <w:r>
        <w:rPr>
          <w:rFonts w:hint="eastAsia" w:asciiTheme="minorEastAsia" w:hAnsiTheme="minorEastAsia"/>
          <w:color w:val="auto"/>
          <w:sz w:val="32"/>
          <w:szCs w:val="32"/>
        </w:rPr>
        <w:t>(三 )完成市市场监管局交办的其他任务。</w:t>
      </w:r>
    </w:p>
    <w:p>
      <w:pPr>
        <w:widowControl/>
        <w:spacing w:line="600" w:lineRule="exact"/>
        <w:rPr>
          <w:rFonts w:ascii="黑体" w:hAnsi="黑体" w:eastAsia="黑体"/>
          <w:bCs/>
          <w:color w:val="auto"/>
          <w:kern w:val="0"/>
          <w:sz w:val="32"/>
          <w:szCs w:val="32"/>
        </w:rPr>
      </w:pPr>
      <w:r>
        <w:rPr>
          <w:rFonts w:hint="eastAsia" w:ascii="黑体" w:hAnsi="黑体" w:eastAsia="黑体"/>
          <w:bCs/>
          <w:color w:val="auto"/>
          <w:kern w:val="0"/>
          <w:sz w:val="32"/>
          <w:szCs w:val="32"/>
        </w:rPr>
        <w:t>二、机构设置及决算单位构成</w:t>
      </w:r>
    </w:p>
    <w:p>
      <w:pPr>
        <w:widowControl/>
        <w:spacing w:line="600" w:lineRule="exact"/>
        <w:rPr>
          <w:rFonts w:hint="default" w:asciiTheme="minorEastAsia" w:hAnsiTheme="minorEastAsia" w:eastAsiaTheme="minorEastAsia"/>
          <w:bCs/>
          <w:color w:val="auto"/>
          <w:kern w:val="0"/>
          <w:sz w:val="32"/>
          <w:szCs w:val="32"/>
          <w:lang w:val="en-US" w:eastAsia="zh-CN"/>
        </w:rPr>
      </w:pPr>
      <w:r>
        <w:rPr>
          <w:rFonts w:hint="eastAsia" w:asciiTheme="minorEastAsia" w:hAnsiTheme="minorEastAsia"/>
          <w:bCs/>
          <w:color w:val="auto"/>
          <w:kern w:val="0"/>
          <w:sz w:val="32"/>
          <w:szCs w:val="32"/>
        </w:rPr>
        <w:t>（一）内设机构设置。</w:t>
      </w:r>
      <w:r>
        <w:rPr>
          <w:rFonts w:hint="eastAsia" w:asciiTheme="minorEastAsia" w:hAnsiTheme="minorEastAsia"/>
          <w:bCs/>
          <w:color w:val="auto"/>
          <w:kern w:val="0"/>
          <w:sz w:val="32"/>
          <w:szCs w:val="32"/>
          <w:lang w:eastAsia="zh-CN"/>
        </w:rPr>
        <w:t>岳阳市检验检测</w:t>
      </w:r>
      <w:r>
        <w:rPr>
          <w:rFonts w:hint="eastAsia" w:asciiTheme="minorEastAsia" w:hAnsiTheme="minorEastAsia"/>
          <w:bCs/>
          <w:color w:val="auto"/>
          <w:kern w:val="0"/>
          <w:sz w:val="32"/>
          <w:szCs w:val="32"/>
        </w:rPr>
        <w:t>包括： 10个内设机构</w:t>
      </w:r>
      <w:r>
        <w:rPr>
          <w:rFonts w:hint="eastAsia" w:asciiTheme="minorEastAsia" w:hAnsiTheme="minorEastAsia"/>
          <w:bCs/>
          <w:color w:val="auto"/>
          <w:kern w:val="0"/>
          <w:sz w:val="32"/>
          <w:szCs w:val="32"/>
          <w:lang w:eastAsia="zh-CN"/>
        </w:rPr>
        <w:t>：综合部、质量控制部、技术保障部、抽检部、业务发展部、标准化工作部、农产品检验部、粮食质量检验监测部、人事部、计划财务部。</w:t>
      </w:r>
      <w:r>
        <w:rPr>
          <w:rFonts w:hint="eastAsia" w:asciiTheme="minorEastAsia" w:hAnsiTheme="minorEastAsia"/>
          <w:bCs/>
          <w:color w:val="auto"/>
          <w:kern w:val="0"/>
          <w:sz w:val="32"/>
          <w:szCs w:val="32"/>
          <w:lang w:val="en-US" w:eastAsia="zh-CN"/>
        </w:rPr>
        <w:t>3个分支机构：市产品质量检验所、市计量测试检定所、市食品药品检验所。</w:t>
      </w:r>
    </w:p>
    <w:p>
      <w:pPr>
        <w:widowControl/>
        <w:numPr>
          <w:ilvl w:val="0"/>
          <w:numId w:val="2"/>
        </w:numPr>
        <w:spacing w:line="600" w:lineRule="exact"/>
        <w:rPr>
          <w:rFonts w:asciiTheme="minorEastAsia" w:hAnsiTheme="minorEastAsia"/>
          <w:bCs/>
          <w:color w:val="auto"/>
          <w:kern w:val="0"/>
          <w:sz w:val="32"/>
          <w:szCs w:val="32"/>
        </w:rPr>
      </w:pPr>
      <w:r>
        <w:rPr>
          <w:rFonts w:hint="eastAsia" w:asciiTheme="minorEastAsia" w:hAnsiTheme="minorEastAsia"/>
          <w:bCs/>
          <w:color w:val="auto"/>
          <w:kern w:val="0"/>
          <w:sz w:val="32"/>
          <w:szCs w:val="32"/>
        </w:rPr>
        <w:t>决算单位构成。</w:t>
      </w:r>
      <w:r>
        <w:rPr>
          <w:rFonts w:hint="eastAsia" w:asciiTheme="minorEastAsia" w:hAnsiTheme="minorEastAsia"/>
          <w:bCs/>
          <w:color w:val="auto"/>
          <w:kern w:val="0"/>
          <w:sz w:val="32"/>
          <w:szCs w:val="32"/>
          <w:lang w:eastAsia="zh-CN"/>
        </w:rPr>
        <w:t>岳阳市检验检测中心</w:t>
      </w:r>
      <w:r>
        <w:rPr>
          <w:rFonts w:asciiTheme="minorEastAsia" w:hAnsiTheme="minorEastAsia"/>
          <w:bCs/>
          <w:color w:val="auto"/>
          <w:kern w:val="0"/>
          <w:sz w:val="32"/>
          <w:szCs w:val="32"/>
        </w:rPr>
        <w:t>20</w:t>
      </w:r>
      <w:r>
        <w:rPr>
          <w:rFonts w:hint="eastAsia" w:asciiTheme="minorEastAsia" w:hAnsiTheme="minorEastAsia"/>
          <w:bCs/>
          <w:color w:val="auto"/>
          <w:kern w:val="0"/>
          <w:sz w:val="32"/>
          <w:szCs w:val="32"/>
        </w:rPr>
        <w:t>21年部门决算汇总公开单位构成包括：</w:t>
      </w:r>
      <w:r>
        <w:rPr>
          <w:rFonts w:hint="eastAsia" w:asciiTheme="minorEastAsia" w:hAnsiTheme="minorEastAsia"/>
          <w:bCs/>
          <w:color w:val="auto"/>
          <w:kern w:val="0"/>
          <w:sz w:val="32"/>
          <w:szCs w:val="32"/>
          <w:lang w:eastAsia="zh-CN"/>
        </w:rPr>
        <w:t>岳阳市检验检测中心</w:t>
      </w:r>
      <w:r>
        <w:rPr>
          <w:rFonts w:hint="eastAsia" w:asciiTheme="minorEastAsia" w:hAnsiTheme="minorEastAsia"/>
          <w:bCs/>
          <w:color w:val="auto"/>
          <w:kern w:val="0"/>
          <w:sz w:val="32"/>
          <w:szCs w:val="32"/>
        </w:rPr>
        <w:t>本级</w:t>
      </w:r>
      <w:r>
        <w:rPr>
          <w:rFonts w:hint="eastAsia" w:asciiTheme="minorEastAsia" w:hAnsiTheme="minorEastAsia"/>
          <w:bCs/>
          <w:color w:val="auto"/>
          <w:kern w:val="0"/>
          <w:sz w:val="32"/>
          <w:szCs w:val="32"/>
          <w:lang w:eastAsia="zh-CN"/>
        </w:rPr>
        <w:t>。</w:t>
      </w: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rFonts w:hint="eastAsia"/>
          <w:color w:val="auto"/>
          <w:sz w:val="72"/>
          <w:szCs w:val="72"/>
        </w:rPr>
      </w:pPr>
    </w:p>
    <w:p>
      <w:pPr>
        <w:jc w:val="center"/>
        <w:rPr>
          <w:rFonts w:hint="eastAsia"/>
          <w:color w:val="auto"/>
          <w:sz w:val="72"/>
          <w:szCs w:val="72"/>
        </w:rPr>
      </w:pPr>
    </w:p>
    <w:p>
      <w:pPr>
        <w:jc w:val="center"/>
        <w:rPr>
          <w:rFonts w:hint="eastAsia"/>
          <w:color w:val="auto"/>
          <w:sz w:val="72"/>
          <w:szCs w:val="72"/>
        </w:rPr>
      </w:pPr>
    </w:p>
    <w:p>
      <w:pPr>
        <w:jc w:val="center"/>
        <w:rPr>
          <w:rFonts w:hint="eastAsia"/>
          <w:color w:val="auto"/>
          <w:sz w:val="72"/>
          <w:szCs w:val="72"/>
        </w:rPr>
      </w:pPr>
    </w:p>
    <w:p>
      <w:pPr>
        <w:jc w:val="center"/>
        <w:rPr>
          <w:color w:val="auto"/>
          <w:sz w:val="72"/>
          <w:szCs w:val="72"/>
        </w:rPr>
      </w:pPr>
      <w:r>
        <w:rPr>
          <w:rFonts w:hint="eastAsia"/>
          <w:color w:val="auto"/>
          <w:sz w:val="72"/>
          <w:szCs w:val="72"/>
        </w:rPr>
        <w:t>第二部分</w:t>
      </w:r>
    </w:p>
    <w:p>
      <w:pPr>
        <w:jc w:val="center"/>
        <w:rPr>
          <w:color w:val="auto"/>
          <w:sz w:val="72"/>
          <w:szCs w:val="72"/>
        </w:rPr>
      </w:pPr>
    </w:p>
    <w:p>
      <w:pPr>
        <w:jc w:val="center"/>
        <w:rPr>
          <w:rFonts w:hint="eastAsia"/>
          <w:color w:val="auto"/>
          <w:sz w:val="72"/>
          <w:szCs w:val="72"/>
        </w:rPr>
      </w:pPr>
      <w:r>
        <w:rPr>
          <w:rFonts w:hint="eastAsia"/>
          <w:color w:val="auto"/>
          <w:sz w:val="72"/>
          <w:szCs w:val="72"/>
        </w:rPr>
        <w:t>部门决算表</w:t>
      </w:r>
    </w:p>
    <w:p>
      <w:pPr>
        <w:jc w:val="center"/>
        <w:rPr>
          <w:rFonts w:hint="eastAsia" w:eastAsiaTheme="minorEastAsia"/>
          <w:color w:val="auto"/>
          <w:sz w:val="72"/>
          <w:szCs w:val="72"/>
          <w:lang w:eastAsia="zh-CN"/>
        </w:rPr>
      </w:pPr>
      <w:r>
        <w:rPr>
          <w:rFonts w:hint="eastAsia"/>
          <w:color w:val="auto"/>
          <w:sz w:val="72"/>
          <w:szCs w:val="72"/>
          <w:lang w:eastAsia="zh-CN"/>
        </w:rPr>
        <w:t>（见附件）</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left"/>
        <w:rPr>
          <w:rFonts w:asciiTheme="minorEastAsia" w:hAnsiTheme="minorEastAsia"/>
          <w:color w:val="auto"/>
          <w:sz w:val="32"/>
          <w:szCs w:val="32"/>
        </w:rPr>
        <w:sectPr>
          <w:pgSz w:w="11906" w:h="16838"/>
          <w:pgMar w:top="720" w:right="720" w:bottom="720" w:left="720" w:header="851" w:footer="992" w:gutter="0"/>
          <w:cols w:space="425" w:num="1"/>
          <w:docGrid w:type="lines" w:linePitch="312" w:charSpace="0"/>
        </w:sectPr>
      </w:pPr>
    </w:p>
    <w:p>
      <w:pPr>
        <w:pStyle w:val="9"/>
        <w:jc w:val="both"/>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第三部分</w:t>
      </w:r>
    </w:p>
    <w:p>
      <w:pPr>
        <w:pStyle w:val="9"/>
        <w:jc w:val="center"/>
        <w:rPr>
          <w:color w:val="auto"/>
          <w:sz w:val="70"/>
          <w:szCs w:val="70"/>
        </w:rPr>
      </w:pPr>
    </w:p>
    <w:p>
      <w:pPr>
        <w:pStyle w:val="9"/>
        <w:jc w:val="center"/>
        <w:rPr>
          <w:color w:val="auto"/>
          <w:sz w:val="70"/>
          <w:szCs w:val="70"/>
        </w:rPr>
      </w:pPr>
      <w:r>
        <w:rPr>
          <w:color w:val="auto"/>
          <w:sz w:val="70"/>
          <w:szCs w:val="70"/>
        </w:rPr>
        <w:t>20</w:t>
      </w:r>
      <w:r>
        <w:rPr>
          <w:rFonts w:hint="eastAsia"/>
          <w:color w:val="auto"/>
          <w:sz w:val="70"/>
          <w:szCs w:val="70"/>
        </w:rPr>
        <w:t>21年度部门决算情况说明</w:t>
      </w:r>
    </w:p>
    <w:p>
      <w:pPr>
        <w:widowControl/>
        <w:jc w:val="left"/>
        <w:rPr>
          <w:rFonts w:ascii="黑体" w:eastAsia="黑体" w:cs="黑体"/>
          <w:color w:val="auto"/>
          <w:kern w:val="0"/>
          <w:sz w:val="70"/>
          <w:szCs w:val="70"/>
        </w:rPr>
      </w:pPr>
      <w:r>
        <w:rPr>
          <w:color w:val="auto"/>
          <w:sz w:val="70"/>
          <w:szCs w:val="70"/>
        </w:rPr>
        <w:br w:type="page"/>
      </w:r>
    </w:p>
    <w:p>
      <w:pPr>
        <w:pStyle w:val="9"/>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一、收入支出决算总体情况说明</w:t>
      </w:r>
    </w:p>
    <w:p>
      <w:pPr>
        <w:pStyle w:val="9"/>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2021年度收、支总计</w:t>
      </w:r>
      <w:r>
        <w:rPr>
          <w:rFonts w:hint="eastAsia" w:asciiTheme="minorEastAsia" w:hAnsiTheme="minorEastAsia" w:eastAsiaTheme="minorEastAsia"/>
          <w:color w:val="auto"/>
          <w:sz w:val="32"/>
          <w:szCs w:val="32"/>
          <w:lang w:val="en-US" w:eastAsia="zh-CN"/>
        </w:rPr>
        <w:t>3799.96</w:t>
      </w:r>
      <w:r>
        <w:rPr>
          <w:rFonts w:hint="eastAsia" w:asciiTheme="minorEastAsia" w:hAnsiTheme="minorEastAsia" w:eastAsiaTheme="minorEastAsia"/>
          <w:color w:val="auto"/>
          <w:sz w:val="32"/>
          <w:szCs w:val="32"/>
        </w:rPr>
        <w:t>万元。与上年相比，增加</w:t>
      </w:r>
      <w:r>
        <w:rPr>
          <w:rFonts w:hint="eastAsia" w:asciiTheme="minorEastAsia" w:hAnsiTheme="minorEastAsia" w:eastAsiaTheme="minorEastAsia"/>
          <w:color w:val="auto"/>
          <w:sz w:val="32"/>
          <w:szCs w:val="32"/>
          <w:lang w:val="en-US" w:eastAsia="zh-CN"/>
        </w:rPr>
        <w:t>557.04</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17.18</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eastAsia="zh-CN"/>
        </w:rPr>
        <w:t>人员经费支出增加，项目支出增加。</w:t>
      </w:r>
    </w:p>
    <w:p>
      <w:pPr>
        <w:pStyle w:val="9"/>
        <w:rPr>
          <w:rFonts w:hAnsi="黑体"/>
          <w:b/>
          <w:color w:val="auto"/>
          <w:sz w:val="32"/>
          <w:szCs w:val="32"/>
        </w:rPr>
      </w:pPr>
      <w:r>
        <w:rPr>
          <w:rFonts w:hint="eastAsia" w:hAnsi="黑体"/>
          <w:b/>
          <w:color w:val="auto"/>
          <w:sz w:val="32"/>
          <w:szCs w:val="32"/>
        </w:rPr>
        <w:t>二、收入决算情况说明</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w:t>
      </w:r>
      <w:r>
        <w:rPr>
          <w:rFonts w:hint="eastAsia" w:asciiTheme="minorEastAsia" w:hAnsiTheme="minorEastAsia" w:eastAsiaTheme="minorEastAsia"/>
          <w:color w:val="auto"/>
          <w:sz w:val="32"/>
          <w:szCs w:val="32"/>
          <w:lang w:val="en-US" w:eastAsia="zh-CN"/>
        </w:rPr>
        <w:t>3677.1</w:t>
      </w:r>
      <w:r>
        <w:rPr>
          <w:rFonts w:hint="eastAsia" w:asciiTheme="minorEastAsia" w:hAnsiTheme="minorEastAsia" w:eastAsiaTheme="minorEastAsia"/>
          <w:color w:val="auto"/>
          <w:sz w:val="32"/>
          <w:szCs w:val="32"/>
        </w:rPr>
        <w:t>万元，其中：财政拨款收入</w:t>
      </w:r>
      <w:r>
        <w:rPr>
          <w:rFonts w:hint="eastAsia" w:asciiTheme="minorEastAsia" w:hAnsiTheme="minorEastAsia" w:eastAsiaTheme="minorEastAsia"/>
          <w:color w:val="auto"/>
          <w:sz w:val="32"/>
          <w:szCs w:val="32"/>
          <w:lang w:val="en-US" w:eastAsia="zh-CN"/>
        </w:rPr>
        <w:t>2677.1</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72.8</w:t>
      </w:r>
      <w:r>
        <w:rPr>
          <w:rFonts w:hint="eastAsia" w:asciiTheme="minorEastAsia" w:hAnsiTheme="minorEastAsia" w:eastAsiaTheme="minorEastAsia"/>
          <w:color w:val="auto"/>
          <w:sz w:val="32"/>
          <w:szCs w:val="32"/>
        </w:rPr>
        <w:t>%；上级补助收入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%；事业收入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%；经营收入</w:t>
      </w:r>
      <w:r>
        <w:rPr>
          <w:rFonts w:hint="eastAsia" w:asciiTheme="minorEastAsia" w:hAnsiTheme="minorEastAsia" w:eastAsiaTheme="minorEastAsia"/>
          <w:color w:val="auto"/>
          <w:sz w:val="32"/>
          <w:szCs w:val="32"/>
          <w:lang w:val="en-US" w:eastAsia="zh-CN"/>
        </w:rPr>
        <w:t>0万</w:t>
      </w:r>
      <w:r>
        <w:rPr>
          <w:rFonts w:hint="eastAsia" w:asciiTheme="minorEastAsia" w:hAnsiTheme="minorEastAsia" w:eastAsiaTheme="minorEastAsia"/>
          <w:color w:val="auto"/>
          <w:sz w:val="32"/>
          <w:szCs w:val="32"/>
        </w:rPr>
        <w:t>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%；附属单位上缴收入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%；其他收入</w:t>
      </w:r>
      <w:r>
        <w:rPr>
          <w:rFonts w:hint="eastAsia" w:asciiTheme="minorEastAsia" w:hAnsiTheme="minorEastAsia" w:eastAsiaTheme="minorEastAsia"/>
          <w:color w:val="auto"/>
          <w:sz w:val="32"/>
          <w:szCs w:val="32"/>
          <w:lang w:val="en-US" w:eastAsia="zh-CN"/>
        </w:rPr>
        <w:t>1000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27.2</w:t>
      </w:r>
      <w:r>
        <w:rPr>
          <w:rFonts w:hint="eastAsia" w:asciiTheme="minorEastAsia" w:hAnsiTheme="minorEastAsia" w:eastAsiaTheme="minorEastAsia"/>
          <w:color w:val="auto"/>
          <w:sz w:val="32"/>
          <w:szCs w:val="32"/>
        </w:rPr>
        <w:t>%。</w:t>
      </w:r>
    </w:p>
    <w:p>
      <w:pPr>
        <w:pStyle w:val="9"/>
        <w:rPr>
          <w:rFonts w:hAnsi="黑体"/>
          <w:b/>
          <w:color w:val="auto"/>
          <w:sz w:val="32"/>
          <w:szCs w:val="32"/>
        </w:rPr>
      </w:pPr>
      <w:r>
        <w:rPr>
          <w:rFonts w:hint="eastAsia" w:hAnsi="黑体"/>
          <w:b/>
          <w:color w:val="auto"/>
          <w:sz w:val="32"/>
          <w:szCs w:val="32"/>
        </w:rPr>
        <w:t>三、支出决算情况说明</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2021年度支出合计</w:t>
      </w:r>
      <w:r>
        <w:rPr>
          <w:rFonts w:hint="eastAsia" w:asciiTheme="minorEastAsia" w:hAnsiTheme="minorEastAsia" w:eastAsiaTheme="minorEastAsia"/>
          <w:color w:val="auto"/>
          <w:sz w:val="32"/>
          <w:szCs w:val="32"/>
          <w:lang w:val="en-US" w:eastAsia="zh-CN"/>
        </w:rPr>
        <w:t>3343.13</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val="en-US" w:eastAsia="zh-CN"/>
        </w:rPr>
        <w:t>1712.74</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51.23</w:t>
      </w:r>
      <w:r>
        <w:rPr>
          <w:rFonts w:hint="eastAsia" w:asciiTheme="minorEastAsia" w:hAnsiTheme="minorEastAsia" w:eastAsiaTheme="minorEastAsia"/>
          <w:color w:val="auto"/>
          <w:sz w:val="32"/>
          <w:szCs w:val="32"/>
        </w:rPr>
        <w:t>%；项目支出</w:t>
      </w:r>
      <w:r>
        <w:rPr>
          <w:rFonts w:hint="eastAsia" w:asciiTheme="minorEastAsia" w:hAnsiTheme="minorEastAsia" w:eastAsiaTheme="minorEastAsia"/>
          <w:color w:val="auto"/>
          <w:sz w:val="32"/>
          <w:szCs w:val="32"/>
          <w:lang w:val="en-US" w:eastAsia="zh-CN"/>
        </w:rPr>
        <w:t>1630.39</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48.77</w:t>
      </w:r>
      <w:r>
        <w:rPr>
          <w:rFonts w:hint="eastAsia" w:asciiTheme="minorEastAsia" w:hAnsiTheme="minorEastAsia" w:eastAsiaTheme="minorEastAsia"/>
          <w:color w:val="auto"/>
          <w:sz w:val="32"/>
          <w:szCs w:val="32"/>
        </w:rPr>
        <w:t>%；上缴上级支出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%；经营支出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%；对附属单位补助支出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w:t>
      </w:r>
    </w:p>
    <w:p>
      <w:pPr>
        <w:pStyle w:val="9"/>
        <w:rPr>
          <w:rFonts w:hAnsi="黑体"/>
          <w:b/>
          <w:color w:val="auto"/>
          <w:sz w:val="32"/>
          <w:szCs w:val="32"/>
        </w:rPr>
      </w:pPr>
      <w:r>
        <w:rPr>
          <w:rFonts w:hint="eastAsia" w:hAnsi="黑体"/>
          <w:b/>
          <w:color w:val="auto"/>
          <w:sz w:val="32"/>
          <w:szCs w:val="32"/>
        </w:rPr>
        <w:t>四、财政拨款收入支出决算总体情况说明</w:t>
      </w:r>
    </w:p>
    <w:p>
      <w:pPr>
        <w:pStyle w:val="9"/>
        <w:ind w:firstLine="640" w:firstLineChars="200"/>
        <w:rPr>
          <w:rFonts w:asciiTheme="minorEastAsia" w:hAnsiTheme="minorEastAsia" w:eastAsiaTheme="minorEastAsia"/>
          <w:i/>
          <w:iCs/>
          <w:color w:val="auto"/>
          <w:sz w:val="32"/>
          <w:szCs w:val="32"/>
        </w:rPr>
      </w:pPr>
      <w:r>
        <w:rPr>
          <w:rFonts w:hint="eastAsia" w:asciiTheme="minorEastAsia" w:hAnsiTheme="minorEastAsia" w:eastAsiaTheme="minorEastAsia"/>
          <w:color w:val="auto"/>
          <w:sz w:val="32"/>
          <w:szCs w:val="32"/>
        </w:rPr>
        <w:t xml:space="preserve"> 2021年度财政拨款收、支总计</w:t>
      </w:r>
      <w:r>
        <w:rPr>
          <w:rFonts w:hint="eastAsia" w:asciiTheme="minorEastAsia" w:hAnsiTheme="minorEastAsia" w:eastAsiaTheme="minorEastAsia"/>
          <w:color w:val="auto"/>
          <w:sz w:val="32"/>
          <w:szCs w:val="32"/>
          <w:lang w:val="en-US" w:eastAsia="zh-CN"/>
        </w:rPr>
        <w:t>2785.15</w:t>
      </w:r>
      <w:r>
        <w:rPr>
          <w:rFonts w:hint="eastAsia" w:asciiTheme="minorEastAsia" w:hAnsiTheme="minorEastAsia" w:eastAsiaTheme="minorEastAsia"/>
          <w:color w:val="auto"/>
          <w:sz w:val="32"/>
          <w:szCs w:val="32"/>
        </w:rPr>
        <w:t>万元，与上年相比</w:t>
      </w:r>
      <w:r>
        <w:rPr>
          <w:rFonts w:hint="eastAsia" w:asciiTheme="minorEastAsia" w:hAnsiTheme="minorEastAsia" w:eastAsiaTheme="minorEastAsia"/>
          <w:color w:val="auto"/>
          <w:sz w:val="32"/>
          <w:szCs w:val="32"/>
          <w:lang w:eastAsia="zh-CN"/>
        </w:rPr>
        <w:t>减少</w:t>
      </w:r>
      <w:r>
        <w:rPr>
          <w:rFonts w:hint="eastAsia" w:asciiTheme="minorEastAsia" w:hAnsiTheme="minorEastAsia" w:eastAsiaTheme="minorEastAsia"/>
          <w:color w:val="auto"/>
          <w:sz w:val="32"/>
          <w:szCs w:val="32"/>
          <w:lang w:val="en-US" w:eastAsia="zh-CN"/>
        </w:rPr>
        <w:t>443</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13.73</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eastAsia="zh-CN"/>
        </w:rPr>
        <w:t>基本建设项目支出减少。</w:t>
      </w:r>
    </w:p>
    <w:p>
      <w:pPr>
        <w:pStyle w:val="9"/>
        <w:rPr>
          <w:rFonts w:hAnsi="黑体"/>
          <w:b/>
          <w:color w:val="auto"/>
          <w:sz w:val="32"/>
          <w:szCs w:val="32"/>
        </w:rPr>
      </w:pPr>
      <w:r>
        <w:rPr>
          <w:rFonts w:hint="eastAsia" w:hAnsi="黑体"/>
          <w:b/>
          <w:color w:val="auto"/>
          <w:sz w:val="32"/>
          <w:szCs w:val="32"/>
        </w:rPr>
        <w:t>五、一般公共预算财政拨款支出决算情况说明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2021年度财政拨款支出</w:t>
      </w:r>
      <w:r>
        <w:rPr>
          <w:rFonts w:hint="eastAsia" w:asciiTheme="minorEastAsia" w:hAnsiTheme="minorEastAsia" w:eastAsiaTheme="minorEastAsia"/>
          <w:color w:val="auto"/>
          <w:sz w:val="32"/>
          <w:szCs w:val="32"/>
          <w:lang w:val="en-US" w:eastAsia="zh-CN"/>
        </w:rPr>
        <w:t>2785.15</w:t>
      </w:r>
      <w:r>
        <w:rPr>
          <w:rFonts w:hint="eastAsia" w:asciiTheme="minorEastAsia" w:hAnsiTheme="minorEastAsia" w:eastAsiaTheme="minorEastAsia"/>
          <w:color w:val="auto"/>
          <w:sz w:val="32"/>
          <w:szCs w:val="32"/>
        </w:rPr>
        <w:t>万元，占本年支出合计的</w:t>
      </w:r>
      <w:r>
        <w:rPr>
          <w:rFonts w:hint="eastAsia" w:asciiTheme="minorEastAsia" w:hAnsiTheme="minorEastAsia" w:eastAsiaTheme="minorEastAsia"/>
          <w:color w:val="auto"/>
          <w:sz w:val="32"/>
          <w:szCs w:val="32"/>
          <w:lang w:val="en-US" w:eastAsia="zh-CN"/>
        </w:rPr>
        <w:t>83.31</w:t>
      </w:r>
      <w:r>
        <w:rPr>
          <w:rFonts w:hint="eastAsia" w:asciiTheme="minorEastAsia" w:hAnsiTheme="minorEastAsia" w:eastAsiaTheme="minorEastAsia"/>
          <w:color w:val="auto"/>
          <w:sz w:val="32"/>
          <w:szCs w:val="32"/>
        </w:rPr>
        <w:t>%，与上年相比，财政拨款支出减少</w:t>
      </w:r>
      <w:r>
        <w:rPr>
          <w:rFonts w:hint="eastAsia" w:asciiTheme="minorEastAsia" w:hAnsiTheme="minorEastAsia" w:eastAsiaTheme="minorEastAsia"/>
          <w:color w:val="auto"/>
          <w:sz w:val="32"/>
          <w:szCs w:val="32"/>
          <w:lang w:val="en-US" w:eastAsia="zh-CN"/>
        </w:rPr>
        <w:t>334.56</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10.73</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eastAsia="zh-CN"/>
        </w:rPr>
        <w:t>基本建设项目支出减少。</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w:t>
      </w:r>
      <w:r>
        <w:rPr>
          <w:rFonts w:hint="eastAsia" w:asciiTheme="minorEastAsia" w:hAnsiTheme="minorEastAsia" w:eastAsiaTheme="minorEastAsia"/>
          <w:color w:val="auto"/>
          <w:sz w:val="32"/>
          <w:szCs w:val="32"/>
          <w:lang w:val="en-US" w:eastAsia="zh-CN"/>
        </w:rPr>
        <w:t>2785.15</w:t>
      </w:r>
      <w:r>
        <w:rPr>
          <w:rFonts w:hint="eastAsia" w:asciiTheme="minorEastAsia" w:hAnsiTheme="minorEastAsia" w:eastAsiaTheme="minorEastAsia"/>
          <w:color w:val="auto"/>
          <w:sz w:val="32"/>
          <w:szCs w:val="32"/>
        </w:rPr>
        <w:t>万元，主要用于以下方面：一般公共服务（类）支出</w:t>
      </w:r>
      <w:r>
        <w:rPr>
          <w:rFonts w:hint="eastAsia" w:asciiTheme="minorEastAsia" w:hAnsiTheme="minorEastAsia" w:eastAsiaTheme="minorEastAsia"/>
          <w:color w:val="auto"/>
          <w:sz w:val="32"/>
          <w:szCs w:val="32"/>
          <w:lang w:val="en-US" w:eastAsia="zh-CN"/>
        </w:rPr>
        <w:t>2675.11</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96.05</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社会保障和就业</w:t>
      </w:r>
      <w:r>
        <w:rPr>
          <w:rFonts w:hint="eastAsia" w:asciiTheme="minorEastAsia" w:hAnsiTheme="minorEastAsia" w:eastAsiaTheme="minorEastAsia"/>
          <w:color w:val="auto"/>
          <w:sz w:val="32"/>
          <w:szCs w:val="32"/>
        </w:rPr>
        <w:t>（类）支出</w:t>
      </w:r>
      <w:r>
        <w:rPr>
          <w:rFonts w:hint="eastAsia" w:asciiTheme="minorEastAsia" w:hAnsiTheme="minorEastAsia" w:eastAsiaTheme="minorEastAsia"/>
          <w:color w:val="auto"/>
          <w:sz w:val="32"/>
          <w:szCs w:val="32"/>
          <w:lang w:val="en-US" w:eastAsia="zh-CN"/>
        </w:rPr>
        <w:t>77.07</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2.77</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卫生健康（类）支出</w:t>
      </w:r>
      <w:r>
        <w:rPr>
          <w:rFonts w:hint="eastAsia" w:asciiTheme="minorEastAsia" w:hAnsiTheme="minorEastAsia" w:eastAsiaTheme="minorEastAsia"/>
          <w:color w:val="auto"/>
          <w:sz w:val="32"/>
          <w:szCs w:val="32"/>
          <w:lang w:val="en-US" w:eastAsia="zh-CN"/>
        </w:rPr>
        <w:t>32.97万元，占1.18%。</w:t>
      </w:r>
    </w:p>
    <w:p>
      <w:pPr>
        <w:pStyle w:val="9"/>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2021年度财政拨款支出年初预算数为</w:t>
      </w:r>
      <w:r>
        <w:rPr>
          <w:rFonts w:hint="eastAsia" w:asciiTheme="minorEastAsia" w:hAnsiTheme="minorEastAsia" w:eastAsiaTheme="minorEastAsia"/>
          <w:color w:val="auto"/>
          <w:sz w:val="32"/>
          <w:szCs w:val="32"/>
          <w:lang w:val="en-US" w:eastAsia="zh-CN"/>
        </w:rPr>
        <w:t>746.19</w:t>
      </w:r>
      <w:r>
        <w:rPr>
          <w:rFonts w:hint="eastAsia" w:asciiTheme="minorEastAsia" w:hAnsiTheme="minorEastAsia" w:eastAsiaTheme="minorEastAsia"/>
          <w:color w:val="auto"/>
          <w:sz w:val="32"/>
          <w:szCs w:val="32"/>
        </w:rPr>
        <w:t>万元，支出决算数为</w:t>
      </w:r>
      <w:r>
        <w:rPr>
          <w:rFonts w:hint="eastAsia" w:asciiTheme="minorEastAsia" w:hAnsiTheme="minorEastAsia" w:eastAsiaTheme="minorEastAsia"/>
          <w:color w:val="auto"/>
          <w:sz w:val="32"/>
          <w:szCs w:val="32"/>
          <w:lang w:val="en-US" w:eastAsia="zh-CN"/>
        </w:rPr>
        <w:t>2785.15</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373.25</w:t>
      </w:r>
      <w:r>
        <w:rPr>
          <w:rFonts w:hint="eastAsia" w:asciiTheme="minorEastAsia" w:hAnsiTheme="minorEastAsia" w:eastAsiaTheme="minorEastAsia"/>
          <w:color w:val="auto"/>
          <w:sz w:val="32"/>
          <w:szCs w:val="32"/>
        </w:rPr>
        <w:t>%，其中：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1、一般公共服务支出（类）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行政运行</w:t>
      </w:r>
      <w:r>
        <w:rPr>
          <w:rFonts w:hint="eastAsia" w:asciiTheme="minorEastAsia" w:hAnsiTheme="minorEastAsia" w:eastAsiaTheme="minorEastAsia"/>
          <w:color w:val="auto"/>
          <w:sz w:val="32"/>
          <w:szCs w:val="32"/>
        </w:rPr>
        <w:t>（项）。</w:t>
      </w:r>
    </w:p>
    <w:p>
      <w:pPr>
        <w:pStyle w:val="9"/>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194.78</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0，无法计算百分比，决</w:t>
      </w:r>
      <w:r>
        <w:rPr>
          <w:rFonts w:hint="eastAsia" w:asciiTheme="minorEastAsia" w:hAnsiTheme="minorEastAsia" w:eastAsiaTheme="minorEastAsia"/>
          <w:sz w:val="32"/>
          <w:szCs w:val="32"/>
        </w:rPr>
        <w:t>算数大于年初预算数的主要原因是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eastAsia="zh-CN"/>
        </w:rPr>
        <w:t>非税收入返回安排支出。</w:t>
      </w:r>
    </w:p>
    <w:p>
      <w:pPr>
        <w:pStyle w:val="9"/>
        <w:ind w:firstLine="960" w:firstLineChars="3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2、一般公共服务支出（类）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一般行政管理事务（</w:t>
      </w:r>
      <w:r>
        <w:rPr>
          <w:rFonts w:hint="eastAsia" w:asciiTheme="minorEastAsia" w:hAnsiTheme="minorEastAsia" w:eastAsiaTheme="minorEastAsia"/>
          <w:color w:val="auto"/>
          <w:sz w:val="32"/>
          <w:szCs w:val="32"/>
        </w:rPr>
        <w:t>项）。</w:t>
      </w:r>
    </w:p>
    <w:p>
      <w:pPr>
        <w:pStyle w:val="9"/>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1730.85</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0，无法计算百分比，决</w:t>
      </w:r>
      <w:r>
        <w:rPr>
          <w:rFonts w:hint="eastAsia" w:asciiTheme="minorEastAsia" w:hAnsiTheme="minorEastAsia" w:eastAsiaTheme="minorEastAsia"/>
          <w:sz w:val="32"/>
          <w:szCs w:val="32"/>
        </w:rPr>
        <w:t>算数大于年初预算数的主要原因是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eastAsia="zh-CN"/>
        </w:rPr>
        <w:t>非税收入返回安排支出。</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3</w:t>
      </w:r>
      <w:r>
        <w:rPr>
          <w:rFonts w:hint="eastAsia" w:asciiTheme="minorEastAsia" w:hAnsiTheme="minorEastAsia" w:eastAsiaTheme="minorEastAsia"/>
          <w:color w:val="auto"/>
          <w:sz w:val="32"/>
          <w:szCs w:val="32"/>
        </w:rPr>
        <w:t>、一般公共服务支出（类）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质量基础</w:t>
      </w:r>
      <w:r>
        <w:rPr>
          <w:rFonts w:hint="eastAsia" w:asciiTheme="minorEastAsia" w:hAnsiTheme="minorEastAsia" w:eastAsiaTheme="minorEastAsia"/>
          <w:color w:val="auto"/>
          <w:sz w:val="32"/>
          <w:szCs w:val="32"/>
        </w:rPr>
        <w:t>（项）。</w:t>
      </w:r>
    </w:p>
    <w:p>
      <w:pPr>
        <w:pStyle w:val="9"/>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79</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0，无法计算百分比，决</w:t>
      </w:r>
      <w:r>
        <w:rPr>
          <w:rFonts w:hint="eastAsia" w:asciiTheme="minorEastAsia" w:hAnsiTheme="minorEastAsia" w:eastAsiaTheme="minorEastAsia"/>
          <w:sz w:val="32"/>
          <w:szCs w:val="32"/>
        </w:rPr>
        <w:t>算数大于年初预算数的主要原因是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eastAsia="zh-CN"/>
        </w:rPr>
        <w:t>专项资金安排支出。</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4</w:t>
      </w:r>
      <w:r>
        <w:rPr>
          <w:rFonts w:hint="eastAsia" w:asciiTheme="minorEastAsia" w:hAnsiTheme="minorEastAsia" w:eastAsiaTheme="minorEastAsia"/>
          <w:color w:val="auto"/>
          <w:sz w:val="32"/>
          <w:szCs w:val="32"/>
        </w:rPr>
        <w:t>、一般公共服务支出（类）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药品事务</w:t>
      </w:r>
      <w:r>
        <w:rPr>
          <w:rFonts w:hint="eastAsia" w:asciiTheme="minorEastAsia" w:hAnsiTheme="minorEastAsia" w:eastAsiaTheme="minorEastAsia"/>
          <w:color w:val="auto"/>
          <w:sz w:val="32"/>
          <w:szCs w:val="32"/>
        </w:rPr>
        <w:t>（项）。</w:t>
      </w:r>
    </w:p>
    <w:p>
      <w:pPr>
        <w:pStyle w:val="9"/>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41</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0，无法计算百分比，决</w:t>
      </w:r>
      <w:r>
        <w:rPr>
          <w:rFonts w:hint="eastAsia" w:asciiTheme="minorEastAsia" w:hAnsiTheme="minorEastAsia" w:eastAsiaTheme="minorEastAsia"/>
          <w:sz w:val="32"/>
          <w:szCs w:val="32"/>
        </w:rPr>
        <w:t>算数大于年初预算数的主要原因是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eastAsia="zh-CN"/>
        </w:rPr>
        <w:t>专项资金安排支出。</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、一般公共服务支出（类）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事业运行</w:t>
      </w:r>
      <w:r>
        <w:rPr>
          <w:rFonts w:hint="eastAsia" w:asciiTheme="minorEastAsia" w:hAnsiTheme="minorEastAsia" w:eastAsiaTheme="minorEastAsia"/>
          <w:color w:val="auto"/>
          <w:sz w:val="32"/>
          <w:szCs w:val="32"/>
        </w:rPr>
        <w:t>（项）。</w:t>
      </w:r>
    </w:p>
    <w:p>
      <w:pPr>
        <w:pStyle w:val="9"/>
        <w:ind w:left="638" w:leftChars="304" w:firstLine="160" w:firstLineChars="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582.72</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579.48</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99.44</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。决算数小于预算数是因为工伤保险有</w:t>
      </w:r>
      <w:r>
        <w:rPr>
          <w:rFonts w:hint="eastAsia" w:asciiTheme="minorEastAsia" w:hAnsiTheme="minorEastAsia" w:eastAsiaTheme="minorEastAsia"/>
          <w:color w:val="auto"/>
          <w:sz w:val="32"/>
          <w:szCs w:val="32"/>
          <w:lang w:val="en-US" w:eastAsia="zh-CN"/>
        </w:rPr>
        <w:t>结余和市财政代扣了工会经费。</w:t>
      </w:r>
    </w:p>
    <w:p>
      <w:pPr>
        <w:pStyle w:val="9"/>
        <w:ind w:left="638" w:leftChars="304" w:firstLine="160" w:firstLineChars="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6</w:t>
      </w:r>
      <w:r>
        <w:rPr>
          <w:rFonts w:hint="eastAsia" w:asciiTheme="minorEastAsia" w:hAnsiTheme="minorEastAsia" w:eastAsiaTheme="minorEastAsia"/>
          <w:color w:val="auto"/>
          <w:sz w:val="32"/>
          <w:szCs w:val="32"/>
        </w:rPr>
        <w:t>、一般公共服务支出（类）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其他市场监督管理事务</w:t>
      </w:r>
      <w:r>
        <w:rPr>
          <w:rFonts w:hint="eastAsia" w:asciiTheme="minorEastAsia" w:hAnsiTheme="minorEastAsia" w:eastAsiaTheme="minorEastAsia"/>
          <w:color w:val="auto"/>
          <w:sz w:val="32"/>
          <w:szCs w:val="32"/>
        </w:rPr>
        <w:t>（项）。</w:t>
      </w:r>
    </w:p>
    <w:p>
      <w:pPr>
        <w:pStyle w:val="9"/>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50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0，无法计算百分比，决</w:t>
      </w:r>
      <w:r>
        <w:rPr>
          <w:rFonts w:hint="eastAsia" w:asciiTheme="minorEastAsia" w:hAnsiTheme="minorEastAsia" w:eastAsiaTheme="minorEastAsia"/>
          <w:sz w:val="32"/>
          <w:szCs w:val="32"/>
        </w:rPr>
        <w:t>算数大于年初预算数的主要原因是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eastAsia="zh-CN"/>
        </w:rPr>
        <w:t>非税收入安排支出。</w:t>
      </w:r>
    </w:p>
    <w:p>
      <w:pPr>
        <w:pStyle w:val="9"/>
        <w:numPr>
          <w:ilvl w:val="0"/>
          <w:numId w:val="3"/>
        </w:numPr>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社会保障和就业支出（类）行政事业单位养老支出（款）机关事业单位基本养老保险缴费支出（项）</w:t>
      </w:r>
    </w:p>
    <w:p>
      <w:pPr>
        <w:pStyle w:val="9"/>
        <w:numPr>
          <w:ilvl w:val="0"/>
          <w:numId w:val="0"/>
        </w:numPr>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 xml:space="preserve">      年初预算数为71.24万元，支出决算数71.24万元，完成年初预算的100%。决算数等于年初预算数的主要原因是执行预算。</w:t>
      </w:r>
    </w:p>
    <w:p>
      <w:pPr>
        <w:pStyle w:val="9"/>
        <w:numPr>
          <w:ilvl w:val="0"/>
          <w:numId w:val="3"/>
        </w:numPr>
        <w:ind w:left="0" w:leftChars="0"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社会保障和就业支出（类）残疾人事业（款）其他残疾人事业支出（项）</w:t>
      </w:r>
    </w:p>
    <w:p>
      <w:pPr>
        <w:pStyle w:val="9"/>
        <w:numPr>
          <w:ilvl w:val="0"/>
          <w:numId w:val="0"/>
        </w:numPr>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 xml:space="preserve">     年初预算数为5.83万元，支出决算数5.83万元，完成年初预算的100%。决算数等于年初预算数的主要原因是执行预算。</w:t>
      </w:r>
    </w:p>
    <w:p>
      <w:pPr>
        <w:pStyle w:val="9"/>
        <w:numPr>
          <w:ilvl w:val="0"/>
          <w:numId w:val="3"/>
        </w:numPr>
        <w:ind w:left="0" w:leftChars="0"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卫生健康支出（类）行政事业单位医疗（款）事业单位医疗（项）</w:t>
      </w:r>
    </w:p>
    <w:p>
      <w:pPr>
        <w:pStyle w:val="9"/>
        <w:numPr>
          <w:ilvl w:val="0"/>
          <w:numId w:val="0"/>
        </w:numPr>
        <w:ind w:leftChars="250" w:firstLine="320" w:firstLineChars="10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年初预算数为32.97万元，支出决算数32.97万元，完成年初预算的100%。决算数等于年初预算数的主要原因是执行预算。</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 xml:space="preserve"> </w:t>
      </w:r>
      <w:r>
        <w:rPr>
          <w:rFonts w:hint="eastAsia" w:ascii="宋体" w:hAnsi="宋体" w:eastAsia="宋体"/>
          <w:color w:val="auto"/>
          <w:sz w:val="32"/>
          <w:szCs w:val="32"/>
          <w:lang w:val="en-US" w:eastAsia="zh-CN"/>
        </w:rPr>
        <w:t>10、</w:t>
      </w:r>
      <w:r>
        <w:rPr>
          <w:rFonts w:hint="eastAsia" w:asciiTheme="minorEastAsia" w:hAnsiTheme="minorEastAsia" w:eastAsiaTheme="minorEastAsia"/>
          <w:color w:val="auto"/>
          <w:sz w:val="32"/>
          <w:szCs w:val="32"/>
          <w:lang w:eastAsia="zh-CN"/>
        </w:rPr>
        <w:t>住房保障支出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住房改革支出</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住房公积金</w:t>
      </w:r>
      <w:r>
        <w:rPr>
          <w:rFonts w:hint="eastAsia" w:asciiTheme="minorEastAsia" w:hAnsiTheme="minorEastAsia" w:eastAsiaTheme="minorEastAsia"/>
          <w:color w:val="auto"/>
          <w:sz w:val="32"/>
          <w:szCs w:val="32"/>
        </w:rPr>
        <w:t>（项）。</w:t>
      </w:r>
    </w:p>
    <w:p>
      <w:pPr>
        <w:pStyle w:val="9"/>
        <w:numPr>
          <w:ilvl w:val="0"/>
          <w:numId w:val="0"/>
        </w:numPr>
        <w:ind w:left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53.43</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万元，决算数</w:t>
      </w:r>
      <w:r>
        <w:rPr>
          <w:rFonts w:hint="eastAsia" w:asciiTheme="minorEastAsia" w:hAnsiTheme="minorEastAsia" w:eastAsiaTheme="minorEastAsia"/>
          <w:color w:val="auto"/>
          <w:sz w:val="32"/>
          <w:szCs w:val="32"/>
          <w:lang w:eastAsia="zh-CN"/>
        </w:rPr>
        <w:t>小于</w:t>
      </w:r>
      <w:r>
        <w:rPr>
          <w:rFonts w:hint="eastAsia" w:asciiTheme="minorEastAsia" w:hAnsiTheme="minorEastAsia" w:eastAsiaTheme="minorEastAsia"/>
          <w:color w:val="auto"/>
          <w:sz w:val="32"/>
          <w:szCs w:val="32"/>
        </w:rPr>
        <w:t>年初预算数的主要原因是</w:t>
      </w:r>
      <w:r>
        <w:rPr>
          <w:rFonts w:hint="eastAsia" w:asciiTheme="minorEastAsia" w:hAnsiTheme="minorEastAsia" w:eastAsiaTheme="minorEastAsia"/>
          <w:color w:val="auto"/>
          <w:sz w:val="32"/>
          <w:szCs w:val="32"/>
          <w:lang w:eastAsia="zh-CN"/>
        </w:rPr>
        <w:t>住房公积金由财政代扣代缴。</w:t>
      </w:r>
      <w:r>
        <w:rPr>
          <w:rFonts w:hint="eastAsia" w:asciiTheme="minorEastAsia" w:hAnsiTheme="minorEastAsia" w:eastAsiaTheme="minorEastAsia"/>
          <w:color w:val="auto"/>
          <w:sz w:val="32"/>
          <w:szCs w:val="32"/>
          <w:lang w:val="en-US" w:eastAsia="zh-CN"/>
        </w:rPr>
        <w:t xml:space="preserve"> </w:t>
      </w:r>
    </w:p>
    <w:p>
      <w:pPr>
        <w:pStyle w:val="9"/>
        <w:rPr>
          <w:rFonts w:hAnsi="黑体"/>
          <w:b/>
          <w:color w:val="auto"/>
          <w:sz w:val="32"/>
          <w:szCs w:val="32"/>
        </w:rPr>
      </w:pPr>
      <w:r>
        <w:rPr>
          <w:rFonts w:hint="eastAsia" w:hAnsi="黑体"/>
          <w:b/>
          <w:color w:val="auto"/>
          <w:sz w:val="32"/>
          <w:szCs w:val="32"/>
        </w:rPr>
        <w:t>六、一般公共预算财政拨款基本支出决算情况说明</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2021年度财政拨款基本支出</w:t>
      </w:r>
      <w:r>
        <w:rPr>
          <w:rFonts w:hint="eastAsia" w:asciiTheme="minorEastAsia" w:hAnsiTheme="minorEastAsia" w:eastAsiaTheme="minorEastAsia"/>
          <w:color w:val="auto"/>
          <w:sz w:val="32"/>
          <w:szCs w:val="32"/>
          <w:lang w:val="en-US" w:eastAsia="zh-CN"/>
        </w:rPr>
        <w:t>1712.74</w:t>
      </w:r>
      <w:r>
        <w:rPr>
          <w:rFonts w:hint="eastAsia" w:asciiTheme="minorEastAsia" w:hAnsiTheme="minorEastAsia" w:eastAsiaTheme="minorEastAsia"/>
          <w:color w:val="auto"/>
          <w:sz w:val="32"/>
          <w:szCs w:val="32"/>
        </w:rPr>
        <w:t>万元，其中：人员经费</w:t>
      </w:r>
      <w:r>
        <w:rPr>
          <w:rFonts w:hint="eastAsia" w:asciiTheme="minorEastAsia" w:hAnsiTheme="minorEastAsia" w:eastAsiaTheme="minorEastAsia"/>
          <w:color w:val="auto"/>
          <w:sz w:val="32"/>
          <w:szCs w:val="32"/>
          <w:lang w:val="en-US" w:eastAsia="zh-CN"/>
        </w:rPr>
        <w:t>1330.31</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77.67</w:t>
      </w:r>
      <w:r>
        <w:rPr>
          <w:rFonts w:hint="eastAsia" w:asciiTheme="minorEastAsia" w:hAnsiTheme="minorEastAsia" w:eastAsiaTheme="minorEastAsia"/>
          <w:color w:val="auto"/>
          <w:sz w:val="32"/>
          <w:szCs w:val="32"/>
        </w:rPr>
        <w:t>%,主要包括主要包括基本工资、津贴补贴、</w:t>
      </w:r>
      <w:r>
        <w:rPr>
          <w:rFonts w:hint="eastAsia" w:asciiTheme="minorEastAsia" w:hAnsiTheme="minorEastAsia" w:eastAsiaTheme="minorEastAsia"/>
          <w:color w:val="auto"/>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color w:val="auto"/>
          <w:sz w:val="32"/>
          <w:szCs w:val="32"/>
        </w:rPr>
        <w:t>；公用经费</w:t>
      </w:r>
      <w:r>
        <w:rPr>
          <w:rFonts w:hint="eastAsia" w:asciiTheme="minorEastAsia" w:hAnsiTheme="minorEastAsia" w:eastAsiaTheme="minorEastAsia"/>
          <w:color w:val="auto"/>
          <w:sz w:val="32"/>
          <w:szCs w:val="32"/>
          <w:lang w:val="en-US" w:eastAsia="zh-CN"/>
        </w:rPr>
        <w:t>382.43</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22.33</w:t>
      </w:r>
      <w:r>
        <w:rPr>
          <w:rFonts w:hint="eastAsia" w:asciiTheme="minorEastAsia" w:hAnsiTheme="minorEastAsia" w:eastAsiaTheme="minorEastAsia"/>
          <w:color w:val="auto"/>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9"/>
        <w:rPr>
          <w:rFonts w:hAnsi="黑体"/>
          <w:b/>
          <w:color w:val="auto"/>
          <w:sz w:val="32"/>
          <w:szCs w:val="32"/>
        </w:rPr>
      </w:pPr>
      <w:r>
        <w:rPr>
          <w:rFonts w:hint="eastAsia" w:hAnsi="黑体"/>
          <w:b/>
          <w:color w:val="auto"/>
          <w:sz w:val="32"/>
          <w:szCs w:val="32"/>
        </w:rPr>
        <w:t>七、一般公共预算财政拨款“三公”经费支出决算情况说明</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2021年度“三公”经费财政拨款支出预算为</w:t>
      </w:r>
      <w:r>
        <w:rPr>
          <w:rFonts w:hint="eastAsia" w:asciiTheme="minorEastAsia" w:hAnsiTheme="minorEastAsia" w:eastAsiaTheme="minorEastAsia"/>
          <w:color w:val="auto"/>
          <w:sz w:val="32"/>
          <w:szCs w:val="32"/>
          <w:lang w:val="en-US" w:eastAsia="zh-CN"/>
        </w:rPr>
        <w:t>36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27.25</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75.7</w:t>
      </w:r>
      <w:r>
        <w:rPr>
          <w:rFonts w:hint="eastAsia" w:asciiTheme="minorEastAsia" w:hAnsiTheme="minorEastAsia" w:eastAsiaTheme="minorEastAsia"/>
          <w:color w:val="auto"/>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0，无法计算百分比；与上年比持平，原因是上年、本年都没有此项费用</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w:t>
      </w:r>
      <w:r>
        <w:rPr>
          <w:rFonts w:hint="eastAsia" w:asciiTheme="minorEastAsia" w:hAnsiTheme="minorEastAsia" w:eastAsiaTheme="minorEastAsia"/>
          <w:color w:val="auto"/>
          <w:sz w:val="32"/>
          <w:szCs w:val="32"/>
          <w:lang w:val="en-US" w:eastAsia="zh-CN"/>
        </w:rPr>
        <w:t>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2.37</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39.5</w:t>
      </w:r>
      <w:r>
        <w:rPr>
          <w:rFonts w:hint="eastAsia" w:asciiTheme="minorEastAsia" w:hAnsiTheme="minorEastAsia" w:eastAsiaTheme="minorEastAsia"/>
          <w:color w:val="auto"/>
          <w:sz w:val="32"/>
          <w:szCs w:val="32"/>
        </w:rPr>
        <w:t>%，决算数小于预算数的主要原因是</w:t>
      </w:r>
      <w:r>
        <w:rPr>
          <w:rFonts w:hint="eastAsia" w:asciiTheme="minorEastAsia" w:hAnsiTheme="minorEastAsia" w:eastAsiaTheme="minorEastAsia"/>
          <w:color w:val="auto"/>
          <w:sz w:val="32"/>
          <w:szCs w:val="32"/>
          <w:lang w:eastAsia="zh-CN"/>
        </w:rPr>
        <w:t>控制招待次数</w:t>
      </w:r>
      <w:r>
        <w:rPr>
          <w:rFonts w:hint="eastAsia" w:asciiTheme="minorEastAsia" w:hAnsiTheme="minorEastAsia" w:eastAsiaTheme="minorEastAsia"/>
          <w:color w:val="auto"/>
          <w:sz w:val="32"/>
          <w:szCs w:val="32"/>
        </w:rPr>
        <w:t>，与上年相比减少</w:t>
      </w:r>
      <w:r>
        <w:rPr>
          <w:rFonts w:hint="eastAsia" w:asciiTheme="minorEastAsia" w:hAnsiTheme="minorEastAsia" w:eastAsiaTheme="minorEastAsia"/>
          <w:color w:val="auto"/>
          <w:sz w:val="32"/>
          <w:szCs w:val="32"/>
          <w:lang w:val="en-US" w:eastAsia="zh-CN"/>
        </w:rPr>
        <w:t>2.44</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50.72</w:t>
      </w:r>
      <w:r>
        <w:rPr>
          <w:rFonts w:hint="eastAsia" w:asciiTheme="minorEastAsia" w:hAnsiTheme="minorEastAsia" w:eastAsiaTheme="minorEastAsia"/>
          <w:color w:val="auto"/>
          <w:sz w:val="32"/>
          <w:szCs w:val="32"/>
        </w:rPr>
        <w:t>%,减少的主要原因是</w:t>
      </w:r>
      <w:r>
        <w:rPr>
          <w:rFonts w:hint="eastAsia" w:asciiTheme="minorEastAsia" w:hAnsiTheme="minorEastAsia" w:eastAsiaTheme="minorEastAsia"/>
          <w:color w:val="auto"/>
          <w:sz w:val="32"/>
          <w:szCs w:val="32"/>
          <w:lang w:eastAsia="zh-CN"/>
        </w:rPr>
        <w:t>控制招待次数</w:t>
      </w:r>
      <w:r>
        <w:rPr>
          <w:rFonts w:hint="eastAsia" w:asciiTheme="minorEastAsia" w:hAnsiTheme="minorEastAsia" w:eastAsiaTheme="minorEastAsia"/>
          <w:color w:val="auto"/>
          <w:sz w:val="32"/>
          <w:szCs w:val="32"/>
        </w:rPr>
        <w:t>。</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公务用车购置费支出预算为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rPr>
        <w:t>与上年</w:t>
      </w:r>
      <w:r>
        <w:rPr>
          <w:rFonts w:hint="eastAsia" w:asciiTheme="minorEastAsia" w:hAnsiTheme="minorEastAsia" w:eastAsiaTheme="minorEastAsia"/>
          <w:color w:val="auto"/>
          <w:sz w:val="32"/>
          <w:szCs w:val="32"/>
          <w:lang w:val="en-US" w:eastAsia="zh-CN"/>
        </w:rPr>
        <w:t>比</w:t>
      </w:r>
      <w:r>
        <w:rPr>
          <w:rFonts w:hint="eastAsia" w:asciiTheme="minorEastAsia" w:hAnsiTheme="minorEastAsia" w:eastAsiaTheme="minorEastAsia"/>
          <w:color w:val="auto"/>
          <w:sz w:val="32"/>
          <w:szCs w:val="32"/>
        </w:rPr>
        <w:t>减少</w:t>
      </w:r>
      <w:r>
        <w:rPr>
          <w:rFonts w:hint="eastAsia" w:asciiTheme="minorEastAsia" w:hAnsiTheme="minorEastAsia" w:eastAsiaTheme="minorEastAsia"/>
          <w:color w:val="auto"/>
          <w:sz w:val="32"/>
          <w:szCs w:val="32"/>
          <w:lang w:val="en-US" w:eastAsia="zh-CN"/>
        </w:rPr>
        <w:t>13.88</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%,减少原因是</w:t>
      </w:r>
      <w:r>
        <w:rPr>
          <w:rFonts w:hint="eastAsia" w:asciiTheme="minorEastAsia" w:hAnsiTheme="minorEastAsia" w:eastAsiaTheme="minorEastAsia"/>
          <w:color w:val="auto"/>
          <w:sz w:val="32"/>
          <w:szCs w:val="32"/>
          <w:lang w:val="en-US" w:eastAsia="zh-CN"/>
        </w:rPr>
        <w:t>2020年购置一</w:t>
      </w:r>
      <w:r>
        <w:rPr>
          <w:rFonts w:hint="eastAsia" w:asciiTheme="minorEastAsia" w:hAnsiTheme="minorEastAsia" w:eastAsiaTheme="minorEastAsia"/>
          <w:color w:val="auto"/>
          <w:sz w:val="32"/>
          <w:szCs w:val="32"/>
          <w:lang w:eastAsia="zh-CN"/>
        </w:rPr>
        <w:t>台车辆</w:t>
      </w:r>
      <w:r>
        <w:rPr>
          <w:rFonts w:hint="eastAsia" w:asciiTheme="minorEastAsia" w:hAnsiTheme="minorEastAsia" w:eastAsiaTheme="minorEastAsia"/>
          <w:color w:val="auto"/>
          <w:sz w:val="32"/>
          <w:szCs w:val="32"/>
        </w:rPr>
        <w:t>。</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公务用车运行维护费支出预算</w:t>
      </w:r>
      <w:r>
        <w:rPr>
          <w:rFonts w:hint="eastAsia" w:asciiTheme="minorEastAsia" w:hAnsiTheme="minorEastAsia" w:eastAsiaTheme="minorEastAsia"/>
          <w:color w:val="auto"/>
          <w:sz w:val="32"/>
          <w:szCs w:val="32"/>
          <w:lang w:val="en-US" w:eastAsia="zh-CN"/>
        </w:rPr>
        <w:t>30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24.88</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82.93</w:t>
      </w:r>
      <w:r>
        <w:rPr>
          <w:rFonts w:hint="eastAsia" w:asciiTheme="minorEastAsia" w:hAnsiTheme="minorEastAsia" w:eastAsiaTheme="minorEastAsia"/>
          <w:color w:val="auto"/>
          <w:sz w:val="32"/>
          <w:szCs w:val="32"/>
        </w:rPr>
        <w:t>%，决算数小于预算数的主要原因是</w:t>
      </w:r>
      <w:r>
        <w:rPr>
          <w:rFonts w:hint="eastAsia" w:asciiTheme="minorEastAsia" w:hAnsiTheme="minorEastAsia" w:eastAsiaTheme="minorEastAsia"/>
          <w:color w:val="auto"/>
          <w:sz w:val="32"/>
          <w:szCs w:val="32"/>
          <w:lang w:eastAsia="zh-CN"/>
        </w:rPr>
        <w:t>车辆维修费用减少</w:t>
      </w:r>
      <w:r>
        <w:rPr>
          <w:rFonts w:hint="eastAsia" w:asciiTheme="minorEastAsia" w:hAnsiTheme="minorEastAsia" w:eastAsiaTheme="minorEastAsia"/>
          <w:color w:val="auto"/>
          <w:sz w:val="32"/>
          <w:szCs w:val="32"/>
        </w:rPr>
        <w:t>，与上年相比</w:t>
      </w:r>
      <w:r>
        <w:rPr>
          <w:rFonts w:hint="eastAsia" w:asciiTheme="minorEastAsia" w:hAnsiTheme="minorEastAsia" w:eastAsiaTheme="minorEastAsia"/>
          <w:color w:val="auto"/>
          <w:sz w:val="32"/>
          <w:szCs w:val="32"/>
          <w:lang w:eastAsia="zh-CN"/>
        </w:rPr>
        <w:t>增加</w:t>
      </w:r>
      <w:r>
        <w:rPr>
          <w:rFonts w:hint="eastAsia" w:asciiTheme="minorEastAsia" w:hAnsiTheme="minorEastAsia" w:eastAsiaTheme="minorEastAsia"/>
          <w:color w:val="auto"/>
          <w:sz w:val="32"/>
          <w:szCs w:val="32"/>
          <w:lang w:val="en-US" w:eastAsia="zh-CN"/>
        </w:rPr>
        <w:t>2.96</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13.5</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增加</w:t>
      </w:r>
      <w:r>
        <w:rPr>
          <w:rFonts w:hint="eastAsia" w:asciiTheme="minorEastAsia" w:hAnsiTheme="minorEastAsia" w:eastAsiaTheme="minorEastAsia"/>
          <w:color w:val="auto"/>
          <w:sz w:val="32"/>
          <w:szCs w:val="32"/>
        </w:rPr>
        <w:t>的主要原因是</w:t>
      </w:r>
      <w:r>
        <w:rPr>
          <w:rFonts w:hint="eastAsia" w:asciiTheme="minorEastAsia" w:hAnsiTheme="minorEastAsia" w:eastAsiaTheme="minorEastAsia"/>
          <w:color w:val="auto"/>
          <w:sz w:val="32"/>
          <w:szCs w:val="32"/>
          <w:lang w:eastAsia="zh-CN"/>
        </w:rPr>
        <w:t>车辆增加一台</w:t>
      </w:r>
      <w:r>
        <w:rPr>
          <w:rFonts w:hint="eastAsia" w:asciiTheme="minorEastAsia" w:hAnsiTheme="minorEastAsia" w:eastAsiaTheme="minorEastAsia"/>
          <w:color w:val="auto"/>
          <w:sz w:val="32"/>
          <w:szCs w:val="32"/>
        </w:rPr>
        <w:t>。</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2021年度“三公”经费财政拨款支出决算中，公务接待费支出决算</w:t>
      </w:r>
      <w:r>
        <w:rPr>
          <w:rFonts w:hint="eastAsia" w:asciiTheme="minorEastAsia" w:hAnsiTheme="minorEastAsia" w:eastAsiaTheme="minorEastAsia"/>
          <w:color w:val="auto"/>
          <w:sz w:val="32"/>
          <w:szCs w:val="32"/>
          <w:lang w:val="en-US" w:eastAsia="zh-CN"/>
        </w:rPr>
        <w:t>2.37</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8.7</w:t>
      </w:r>
      <w:r>
        <w:rPr>
          <w:rFonts w:hint="eastAsia" w:asciiTheme="minorEastAsia" w:hAnsiTheme="minorEastAsia" w:eastAsiaTheme="minorEastAsia"/>
          <w:color w:val="auto"/>
          <w:sz w:val="32"/>
          <w:szCs w:val="32"/>
        </w:rPr>
        <w:t>%,因公出国（境）费支出决算</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%,公务用车购置费及运行维护费支出决算</w:t>
      </w:r>
      <w:r>
        <w:rPr>
          <w:rFonts w:hint="eastAsia" w:asciiTheme="minorEastAsia" w:hAnsiTheme="minorEastAsia" w:eastAsiaTheme="minorEastAsia"/>
          <w:color w:val="auto"/>
          <w:sz w:val="32"/>
          <w:szCs w:val="32"/>
          <w:lang w:val="en-US" w:eastAsia="zh-CN"/>
        </w:rPr>
        <w:t>24.88</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91.3</w:t>
      </w:r>
      <w:r>
        <w:rPr>
          <w:rFonts w:hint="eastAsia" w:asciiTheme="minorEastAsia" w:hAnsiTheme="minorEastAsia" w:eastAsiaTheme="minorEastAsia"/>
          <w:color w:val="auto"/>
          <w:sz w:val="32"/>
          <w:szCs w:val="32"/>
        </w:rPr>
        <w:t>%。其中：</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1、因公出国（境）费支出决算为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万元，全年安排因公出国（境）团组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个，累计</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人次,</w:t>
      </w:r>
      <w:r>
        <w:rPr>
          <w:rFonts w:hint="eastAsia" w:asciiTheme="minorEastAsia" w:hAnsiTheme="minorEastAsia" w:eastAsiaTheme="minorEastAsia"/>
          <w:color w:val="auto"/>
          <w:sz w:val="32"/>
          <w:szCs w:val="32"/>
          <w:lang w:eastAsia="zh-CN"/>
        </w:rPr>
        <w:t>无费用发生。</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2、公务接待费支出决算为</w:t>
      </w:r>
      <w:r>
        <w:rPr>
          <w:rFonts w:hint="eastAsia" w:asciiTheme="minorEastAsia" w:hAnsiTheme="minorEastAsia" w:eastAsiaTheme="minorEastAsia"/>
          <w:color w:val="auto"/>
          <w:sz w:val="32"/>
          <w:szCs w:val="32"/>
          <w:lang w:val="en-US" w:eastAsia="zh-CN"/>
        </w:rPr>
        <w:t>2.37</w:t>
      </w:r>
      <w:r>
        <w:rPr>
          <w:rFonts w:hint="eastAsia" w:asciiTheme="minorEastAsia" w:hAnsiTheme="minorEastAsia" w:eastAsiaTheme="minorEastAsia"/>
          <w:color w:val="auto"/>
          <w:sz w:val="32"/>
          <w:szCs w:val="32"/>
        </w:rPr>
        <w:t>万元，全年共接待来访团组</w:t>
      </w:r>
      <w:r>
        <w:rPr>
          <w:rFonts w:hint="eastAsia" w:asciiTheme="minorEastAsia" w:hAnsiTheme="minorEastAsia" w:eastAsiaTheme="minorEastAsia"/>
          <w:color w:val="auto"/>
          <w:sz w:val="32"/>
          <w:szCs w:val="32"/>
          <w:lang w:val="en-US" w:eastAsia="zh-CN"/>
        </w:rPr>
        <w:t>23</w:t>
      </w:r>
      <w:r>
        <w:rPr>
          <w:rFonts w:hint="eastAsia" w:asciiTheme="minorEastAsia" w:hAnsiTheme="minorEastAsia" w:eastAsiaTheme="minorEastAsia"/>
          <w:color w:val="auto"/>
          <w:sz w:val="32"/>
          <w:szCs w:val="32"/>
        </w:rPr>
        <w:t>个、来宾</w:t>
      </w:r>
      <w:r>
        <w:rPr>
          <w:rFonts w:hint="eastAsia" w:asciiTheme="minorEastAsia" w:hAnsiTheme="minorEastAsia" w:eastAsiaTheme="minorEastAsia"/>
          <w:color w:val="auto"/>
          <w:sz w:val="32"/>
          <w:szCs w:val="32"/>
          <w:lang w:val="en-US" w:eastAsia="zh-CN"/>
        </w:rPr>
        <w:t>181</w:t>
      </w:r>
      <w:r>
        <w:rPr>
          <w:rFonts w:hint="eastAsia" w:asciiTheme="minorEastAsia" w:hAnsiTheme="minorEastAsia" w:eastAsiaTheme="minorEastAsia"/>
          <w:color w:val="auto"/>
          <w:sz w:val="32"/>
          <w:szCs w:val="32"/>
        </w:rPr>
        <w:t>人次，主要是</w:t>
      </w:r>
      <w:r>
        <w:rPr>
          <w:rFonts w:hint="eastAsia" w:asciiTheme="minorEastAsia" w:hAnsiTheme="minorEastAsia" w:eastAsiaTheme="minorEastAsia"/>
          <w:color w:val="auto"/>
          <w:sz w:val="32"/>
          <w:szCs w:val="32"/>
          <w:lang w:eastAsia="zh-CN"/>
        </w:rPr>
        <w:t>为开展业务技术交流及业务开展活动</w:t>
      </w:r>
      <w:r>
        <w:rPr>
          <w:rFonts w:hint="eastAsia" w:asciiTheme="minorEastAsia" w:hAnsiTheme="minorEastAsia" w:eastAsiaTheme="minorEastAsia"/>
          <w:color w:val="auto"/>
          <w:sz w:val="32"/>
          <w:szCs w:val="32"/>
        </w:rPr>
        <w:t>发生的接待支出。</w:t>
      </w:r>
    </w:p>
    <w:p>
      <w:pPr>
        <w:ind w:firstLine="800" w:firstLineChars="250"/>
        <w:rPr>
          <w:rFonts w:hint="eastAsia" w:asciiTheme="minorEastAsia" w:hAnsiTheme="minorEastAsia"/>
          <w:color w:val="auto"/>
          <w:sz w:val="32"/>
          <w:szCs w:val="32"/>
        </w:rPr>
      </w:pPr>
      <w:r>
        <w:rPr>
          <w:rFonts w:hint="eastAsia" w:asciiTheme="minorEastAsia" w:hAnsiTheme="minorEastAsia"/>
          <w:color w:val="auto"/>
          <w:sz w:val="32"/>
          <w:szCs w:val="32"/>
        </w:rPr>
        <w:t>3、公务用车购置费及运行维护费支出决算为</w:t>
      </w:r>
      <w:r>
        <w:rPr>
          <w:rFonts w:hint="eastAsia" w:asciiTheme="minorEastAsia" w:hAnsiTheme="minorEastAsia"/>
          <w:color w:val="auto"/>
          <w:sz w:val="32"/>
          <w:szCs w:val="32"/>
          <w:lang w:val="en-US" w:eastAsia="zh-CN"/>
        </w:rPr>
        <w:t>24.88</w:t>
      </w:r>
      <w:r>
        <w:rPr>
          <w:rFonts w:hint="eastAsia" w:asciiTheme="minorEastAsia" w:hAnsiTheme="minorEastAsia"/>
          <w:color w:val="auto"/>
          <w:sz w:val="32"/>
          <w:szCs w:val="32"/>
        </w:rPr>
        <w:t>万元，其中：公务用车购置费</w:t>
      </w:r>
      <w:r>
        <w:rPr>
          <w:rFonts w:hint="eastAsia" w:asciiTheme="minorEastAsia" w:hAnsiTheme="minorEastAsia"/>
          <w:color w:val="auto"/>
          <w:sz w:val="32"/>
          <w:szCs w:val="32"/>
          <w:lang w:val="en-US" w:eastAsia="zh-CN"/>
        </w:rPr>
        <w:t>0</w:t>
      </w:r>
      <w:r>
        <w:rPr>
          <w:rFonts w:hint="eastAsia" w:asciiTheme="minorEastAsia" w:hAnsiTheme="minorEastAsia"/>
          <w:color w:val="auto"/>
          <w:sz w:val="32"/>
          <w:szCs w:val="32"/>
        </w:rPr>
        <w:t>万元</w:t>
      </w:r>
      <w:r>
        <w:rPr>
          <w:rFonts w:hint="eastAsia" w:asciiTheme="minorEastAsia" w:hAnsiTheme="minorEastAsia"/>
          <w:color w:val="auto"/>
          <w:sz w:val="32"/>
          <w:szCs w:val="32"/>
          <w:lang w:eastAsia="zh-CN"/>
        </w:rPr>
        <w:t>，</w:t>
      </w:r>
      <w:r>
        <w:rPr>
          <w:rFonts w:hint="eastAsia" w:asciiTheme="minorEastAsia" w:hAnsiTheme="minorEastAsia"/>
          <w:color w:val="auto"/>
          <w:sz w:val="32"/>
          <w:szCs w:val="32"/>
        </w:rPr>
        <w:t>公务用车运行维护费</w:t>
      </w:r>
      <w:r>
        <w:rPr>
          <w:rFonts w:hint="eastAsia" w:asciiTheme="minorEastAsia" w:hAnsiTheme="minorEastAsia"/>
          <w:color w:val="auto"/>
          <w:sz w:val="32"/>
          <w:szCs w:val="32"/>
          <w:lang w:val="en-US" w:eastAsia="zh-CN"/>
        </w:rPr>
        <w:t>24.88</w:t>
      </w:r>
      <w:r>
        <w:rPr>
          <w:rFonts w:hint="eastAsia" w:asciiTheme="minorEastAsia" w:hAnsiTheme="minorEastAsia"/>
          <w:color w:val="auto"/>
          <w:sz w:val="32"/>
          <w:szCs w:val="32"/>
        </w:rPr>
        <w:t>万元，主要是</w:t>
      </w:r>
      <w:r>
        <w:rPr>
          <w:rFonts w:hint="eastAsia" w:asciiTheme="minorEastAsia" w:hAnsiTheme="minorEastAsia"/>
          <w:color w:val="auto"/>
          <w:sz w:val="32"/>
          <w:szCs w:val="32"/>
          <w:lang w:eastAsia="zh-CN"/>
        </w:rPr>
        <w:t>车辆汽油保险维修费用</w:t>
      </w:r>
      <w:r>
        <w:rPr>
          <w:rFonts w:hint="eastAsia" w:asciiTheme="minorEastAsia" w:hAnsiTheme="minorEastAsia"/>
          <w:color w:val="auto"/>
          <w:sz w:val="32"/>
          <w:szCs w:val="32"/>
        </w:rPr>
        <w:t>支出，截止2021年12月31日，我单位开支财政拨款的公务用车保有量为</w:t>
      </w:r>
      <w:r>
        <w:rPr>
          <w:rFonts w:hint="eastAsia" w:asciiTheme="minorEastAsia" w:hAnsiTheme="minorEastAsia"/>
          <w:color w:val="auto"/>
          <w:sz w:val="32"/>
          <w:szCs w:val="32"/>
          <w:lang w:val="en-US" w:eastAsia="zh-CN"/>
        </w:rPr>
        <w:t>10</w:t>
      </w:r>
      <w:r>
        <w:rPr>
          <w:rFonts w:hint="eastAsia" w:asciiTheme="minorEastAsia" w:hAnsiTheme="minorEastAsia"/>
          <w:color w:val="auto"/>
          <w:sz w:val="32"/>
          <w:szCs w:val="32"/>
        </w:rPr>
        <w:t>辆。</w:t>
      </w:r>
    </w:p>
    <w:p>
      <w:pPr>
        <w:pStyle w:val="9"/>
        <w:rPr>
          <w:rFonts w:hAnsi="黑体"/>
          <w:b/>
          <w:color w:val="auto"/>
          <w:sz w:val="32"/>
          <w:szCs w:val="32"/>
        </w:rPr>
      </w:pPr>
      <w:r>
        <w:rPr>
          <w:rFonts w:hint="eastAsia" w:hAnsi="黑体"/>
          <w:b/>
          <w:color w:val="auto"/>
          <w:sz w:val="32"/>
          <w:szCs w:val="32"/>
        </w:rPr>
        <w:t>八、政府性基金预算收入支出决算情况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2021年度政府性基金预算财政拨款收入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p>
    <w:p>
      <w:pPr>
        <w:pStyle w:val="9"/>
        <w:numPr>
          <w:ilvl w:val="0"/>
          <w:numId w:val="0"/>
        </w:numPr>
        <w:rPr>
          <w:rFonts w:hint="eastAsia" w:hAnsi="黑体"/>
          <w:b/>
          <w:color w:val="auto"/>
          <w:sz w:val="32"/>
          <w:szCs w:val="32"/>
          <w:lang w:eastAsia="zh-CN"/>
        </w:rPr>
      </w:pPr>
      <w:r>
        <w:rPr>
          <w:rFonts w:hint="eastAsia" w:hAnsi="黑体"/>
          <w:b/>
          <w:color w:val="auto"/>
          <w:sz w:val="32"/>
          <w:szCs w:val="32"/>
          <w:lang w:val="en-US" w:eastAsia="zh-CN"/>
        </w:rPr>
        <w:t>九、</w:t>
      </w:r>
      <w:r>
        <w:rPr>
          <w:rFonts w:hint="eastAsia" w:hAnsi="黑体"/>
          <w:b/>
          <w:color w:val="auto"/>
          <w:sz w:val="32"/>
          <w:szCs w:val="32"/>
        </w:rPr>
        <w:t>资本经营预算财政拨款支出决算</w:t>
      </w:r>
      <w:r>
        <w:rPr>
          <w:rFonts w:hint="eastAsia" w:hAnsi="黑体"/>
          <w:b/>
          <w:color w:val="auto"/>
          <w:sz w:val="32"/>
          <w:szCs w:val="32"/>
          <w:lang w:eastAsia="zh-CN"/>
        </w:rPr>
        <w:t>情况</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2021年度国有资本经营预算财政拨款</w:t>
      </w:r>
      <w:r>
        <w:rPr>
          <w:rFonts w:hint="eastAsia" w:asciiTheme="minorEastAsia" w:hAnsiTheme="minorEastAsia" w:eastAsiaTheme="minorEastAsia"/>
          <w:color w:val="auto"/>
          <w:sz w:val="32"/>
          <w:szCs w:val="32"/>
          <w:lang w:eastAsia="zh-CN"/>
        </w:rPr>
        <w:t>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万元；基本支出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p>
    <w:p>
      <w:pPr>
        <w:pStyle w:val="9"/>
        <w:rPr>
          <w:rFonts w:hAnsi="黑体"/>
          <w:b/>
          <w:color w:val="auto"/>
          <w:sz w:val="32"/>
          <w:szCs w:val="32"/>
        </w:rPr>
      </w:pPr>
      <w:r>
        <w:rPr>
          <w:rFonts w:hint="eastAsia" w:hAnsi="黑体"/>
          <w:b/>
          <w:color w:val="auto"/>
          <w:sz w:val="32"/>
          <w:szCs w:val="32"/>
        </w:rPr>
        <w:t>十、机关运行经费支出说明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本部门2021年度机关运行经费支出</w:t>
      </w:r>
      <w:r>
        <w:rPr>
          <w:rFonts w:hint="eastAsia" w:asciiTheme="minorEastAsia" w:hAnsiTheme="minorEastAsia" w:eastAsiaTheme="minorEastAsia"/>
          <w:color w:val="auto"/>
          <w:sz w:val="32"/>
          <w:szCs w:val="32"/>
          <w:lang w:val="en-US" w:eastAsia="zh-CN"/>
        </w:rPr>
        <w:t>382.43</w:t>
      </w:r>
      <w:r>
        <w:rPr>
          <w:rFonts w:hint="eastAsia" w:asciiTheme="minorEastAsia" w:hAnsiTheme="minorEastAsia" w:eastAsiaTheme="minorEastAsia"/>
          <w:color w:val="auto"/>
          <w:sz w:val="32"/>
          <w:szCs w:val="32"/>
        </w:rPr>
        <w:t>万元，比年初预算数（或者上年决算数）减少</w:t>
      </w:r>
      <w:r>
        <w:rPr>
          <w:rFonts w:hint="eastAsia" w:asciiTheme="minorEastAsia" w:hAnsiTheme="minorEastAsia" w:eastAsiaTheme="minorEastAsia"/>
          <w:color w:val="auto"/>
          <w:sz w:val="32"/>
          <w:szCs w:val="32"/>
          <w:lang w:val="en-US" w:eastAsia="zh-CN"/>
        </w:rPr>
        <w:t>98.83</w:t>
      </w:r>
      <w:r>
        <w:rPr>
          <w:rFonts w:hint="eastAsia" w:asciiTheme="minorEastAsia" w:hAnsiTheme="minorEastAsia" w:eastAsiaTheme="minorEastAsia"/>
          <w:color w:val="auto"/>
          <w:sz w:val="32"/>
          <w:szCs w:val="32"/>
        </w:rPr>
        <w:t xml:space="preserve"> 万元，降低</w:t>
      </w:r>
      <w:r>
        <w:rPr>
          <w:rFonts w:hint="eastAsia" w:asciiTheme="minorEastAsia" w:hAnsiTheme="minorEastAsia" w:eastAsiaTheme="minorEastAsia"/>
          <w:color w:val="auto"/>
          <w:sz w:val="32"/>
          <w:szCs w:val="32"/>
          <w:lang w:val="en-US" w:eastAsia="zh-CN"/>
        </w:rPr>
        <w:t>20.53</w:t>
      </w:r>
      <w:r>
        <w:rPr>
          <w:rFonts w:hint="eastAsia" w:asciiTheme="minorEastAsia" w:hAnsiTheme="minorEastAsia" w:eastAsiaTheme="minorEastAsia"/>
          <w:color w:val="auto"/>
          <w:sz w:val="32"/>
          <w:szCs w:val="32"/>
        </w:rPr>
        <w:t>%。主要原因是：</w:t>
      </w:r>
      <w:r>
        <w:rPr>
          <w:rFonts w:hint="eastAsia" w:asciiTheme="minorEastAsia" w:hAnsiTheme="minorEastAsia" w:eastAsiaTheme="minorEastAsia"/>
          <w:color w:val="auto"/>
          <w:sz w:val="32"/>
          <w:szCs w:val="32"/>
          <w:lang w:eastAsia="zh-CN"/>
        </w:rPr>
        <w:t>办公费减少</w:t>
      </w:r>
      <w:r>
        <w:rPr>
          <w:rFonts w:hint="eastAsia" w:asciiTheme="minorEastAsia" w:hAnsiTheme="minorEastAsia" w:eastAsiaTheme="minorEastAsia"/>
          <w:color w:val="auto"/>
          <w:sz w:val="32"/>
          <w:szCs w:val="32"/>
          <w:lang w:val="en-US" w:eastAsia="zh-CN"/>
        </w:rPr>
        <w:t>16.44万元，主要是节约办公经费，印刷费增加1.18万元，主要是业务量增大需要，差旅费增加4.87万元，主要是业务量开展需要，维护费增加22.74万元，主要是房屋维修增加，租赁费减少19.18万元，主要是租赁费未付清，培训费减少1.77万元，主要是培训人数减少，公务接待减少1.15万元，主要是接待次数减少，专用材料增加3.06万元，主要是业务开展需要，工会经费减少48.19万元，主要是支付了往年的工会经费支出，其它交通费用增加8.94万元，主要是个人公务出行报销，其他商品服务支出减少50万元，主要是控制了运行经费支出，税金及附加减少1.07万元，主要是税金抵扣完后不需要支付税金。</w:t>
      </w:r>
    </w:p>
    <w:p>
      <w:pPr>
        <w:pStyle w:val="9"/>
        <w:rPr>
          <w:rFonts w:hAnsi="黑体"/>
          <w:b/>
          <w:color w:val="auto"/>
          <w:sz w:val="32"/>
          <w:szCs w:val="32"/>
        </w:rPr>
      </w:pPr>
      <w:r>
        <w:rPr>
          <w:rFonts w:hint="eastAsia" w:hAnsi="黑体"/>
          <w:b/>
          <w:color w:val="auto"/>
          <w:sz w:val="32"/>
          <w:szCs w:val="32"/>
        </w:rPr>
        <w:t>十一、一般性支出情况说明</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2021年本部门开支会议费</w:t>
      </w:r>
      <w:r>
        <w:rPr>
          <w:rFonts w:hint="eastAsia" w:asciiTheme="minorEastAsia" w:hAnsiTheme="minorEastAsia" w:eastAsiaTheme="minorEastAsia"/>
          <w:color w:val="auto"/>
          <w:sz w:val="32"/>
          <w:szCs w:val="32"/>
          <w:lang w:val="en-US" w:eastAsia="zh-CN"/>
        </w:rPr>
        <w:t>4.84</w:t>
      </w:r>
      <w:r>
        <w:rPr>
          <w:rFonts w:hint="eastAsia" w:asciiTheme="minorEastAsia" w:hAnsiTheme="minorEastAsia" w:eastAsiaTheme="minorEastAsia"/>
          <w:color w:val="auto"/>
          <w:sz w:val="32"/>
          <w:szCs w:val="32"/>
        </w:rPr>
        <w:t>万元，用于召开</w:t>
      </w:r>
      <w:r>
        <w:rPr>
          <w:rFonts w:hint="eastAsia" w:asciiTheme="minorEastAsia" w:hAnsiTheme="minorEastAsia" w:eastAsiaTheme="minorEastAsia"/>
          <w:color w:val="auto"/>
          <w:sz w:val="32"/>
          <w:szCs w:val="32"/>
          <w:lang w:eastAsia="zh-CN"/>
        </w:rPr>
        <w:t>离心机验收与标准会务</w:t>
      </w:r>
      <w:r>
        <w:rPr>
          <w:rFonts w:hint="eastAsia" w:asciiTheme="minorEastAsia" w:hAnsiTheme="minorEastAsia" w:eastAsiaTheme="minorEastAsia"/>
          <w:color w:val="auto"/>
          <w:sz w:val="32"/>
          <w:szCs w:val="32"/>
        </w:rPr>
        <w:t>会议，人数</w:t>
      </w:r>
      <w:r>
        <w:rPr>
          <w:rFonts w:hint="eastAsia" w:asciiTheme="minorEastAsia" w:hAnsiTheme="minorEastAsia" w:eastAsiaTheme="minorEastAsia"/>
          <w:color w:val="auto"/>
          <w:sz w:val="32"/>
          <w:szCs w:val="32"/>
          <w:lang w:val="en-US" w:eastAsia="zh-CN"/>
        </w:rPr>
        <w:t>22</w:t>
      </w:r>
      <w:r>
        <w:rPr>
          <w:rFonts w:hint="eastAsia" w:asciiTheme="minorEastAsia" w:hAnsiTheme="minorEastAsia" w:eastAsiaTheme="minorEastAsia"/>
          <w:color w:val="auto"/>
          <w:sz w:val="32"/>
          <w:szCs w:val="32"/>
        </w:rPr>
        <w:t>人，内容为</w:t>
      </w:r>
      <w:r>
        <w:rPr>
          <w:rFonts w:hint="eastAsia" w:asciiTheme="minorEastAsia" w:hAnsiTheme="minorEastAsia" w:eastAsiaTheme="minorEastAsia"/>
          <w:color w:val="auto"/>
          <w:sz w:val="32"/>
          <w:szCs w:val="32"/>
          <w:lang w:eastAsia="zh-CN"/>
        </w:rPr>
        <w:t>《离心机验收与标准》</w:t>
      </w:r>
      <w:r>
        <w:rPr>
          <w:rFonts w:hint="eastAsia" w:asciiTheme="minorEastAsia" w:hAnsiTheme="minorEastAsia" w:eastAsiaTheme="minorEastAsia"/>
          <w:color w:val="auto"/>
          <w:sz w:val="32"/>
          <w:szCs w:val="32"/>
        </w:rPr>
        <w:t>；开支培训费</w:t>
      </w:r>
      <w:r>
        <w:rPr>
          <w:rFonts w:hint="eastAsia" w:asciiTheme="minorEastAsia" w:hAnsiTheme="minorEastAsia" w:eastAsiaTheme="minorEastAsia"/>
          <w:color w:val="auto"/>
          <w:sz w:val="32"/>
          <w:szCs w:val="32"/>
          <w:lang w:val="en-US" w:eastAsia="zh-CN"/>
        </w:rPr>
        <w:t>3.89</w:t>
      </w:r>
      <w:r>
        <w:rPr>
          <w:rFonts w:hint="eastAsia" w:asciiTheme="minorEastAsia" w:hAnsiTheme="minorEastAsia" w:eastAsiaTheme="minorEastAsia"/>
          <w:color w:val="auto"/>
          <w:sz w:val="32"/>
          <w:szCs w:val="32"/>
        </w:rPr>
        <w:t>万元，用于开展</w:t>
      </w:r>
      <w:r>
        <w:rPr>
          <w:rFonts w:hint="eastAsia" w:asciiTheme="minorEastAsia" w:hAnsiTheme="minorEastAsia" w:eastAsiaTheme="minorEastAsia"/>
          <w:color w:val="auto"/>
          <w:sz w:val="32"/>
          <w:szCs w:val="32"/>
          <w:lang w:eastAsia="zh-CN"/>
        </w:rPr>
        <w:t>内审人员</w:t>
      </w:r>
      <w:r>
        <w:rPr>
          <w:rFonts w:hint="eastAsia" w:asciiTheme="minorEastAsia" w:hAnsiTheme="minorEastAsia" w:eastAsiaTheme="minorEastAsia"/>
          <w:color w:val="auto"/>
          <w:sz w:val="32"/>
          <w:szCs w:val="32"/>
          <w:lang w:val="en-US" w:eastAsia="zh-CN"/>
        </w:rPr>
        <w:t>、业务培训、继续教育</w:t>
      </w:r>
      <w:r>
        <w:rPr>
          <w:rFonts w:hint="eastAsia" w:asciiTheme="minorEastAsia" w:hAnsiTheme="minorEastAsia" w:eastAsiaTheme="minorEastAsia"/>
          <w:color w:val="auto"/>
          <w:sz w:val="32"/>
          <w:szCs w:val="32"/>
        </w:rPr>
        <w:t>培训，人数</w:t>
      </w:r>
      <w:r>
        <w:rPr>
          <w:rFonts w:hint="eastAsia" w:asciiTheme="minorEastAsia" w:hAnsiTheme="minorEastAsia" w:eastAsiaTheme="minorEastAsia"/>
          <w:color w:val="auto"/>
          <w:sz w:val="32"/>
          <w:szCs w:val="32"/>
          <w:lang w:val="en-US" w:eastAsia="zh-CN"/>
        </w:rPr>
        <w:t>23</w:t>
      </w:r>
      <w:r>
        <w:rPr>
          <w:rFonts w:hint="eastAsia" w:asciiTheme="minorEastAsia" w:hAnsiTheme="minorEastAsia" w:eastAsiaTheme="minorEastAsia"/>
          <w:color w:val="auto"/>
          <w:sz w:val="32"/>
          <w:szCs w:val="32"/>
        </w:rPr>
        <w:t>人，内容为</w:t>
      </w:r>
      <w:r>
        <w:rPr>
          <w:rFonts w:hint="eastAsia" w:asciiTheme="minorEastAsia" w:hAnsiTheme="minorEastAsia" w:eastAsiaTheme="minorEastAsia"/>
          <w:color w:val="auto"/>
          <w:sz w:val="32"/>
          <w:szCs w:val="32"/>
          <w:lang w:eastAsia="zh-CN"/>
        </w:rPr>
        <w:t>内审人员培训、业务培训和继续教育培训</w:t>
      </w:r>
      <w:r>
        <w:rPr>
          <w:rFonts w:hint="eastAsia" w:asciiTheme="minorEastAsia" w:hAnsiTheme="minorEastAsia" w:eastAsiaTheme="minorEastAsia"/>
          <w:color w:val="auto"/>
          <w:sz w:val="32"/>
          <w:szCs w:val="32"/>
        </w:rPr>
        <w:t>；举办节庆、晚会、论坛、赛事活动，开支</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p>
    <w:p>
      <w:pPr>
        <w:pStyle w:val="9"/>
        <w:rPr>
          <w:rFonts w:hAnsi="黑体"/>
          <w:b/>
          <w:color w:val="auto"/>
          <w:sz w:val="32"/>
          <w:szCs w:val="32"/>
        </w:rPr>
      </w:pPr>
      <w:r>
        <w:rPr>
          <w:rFonts w:hint="eastAsia" w:hAnsi="黑体"/>
          <w:b/>
          <w:color w:val="auto"/>
          <w:sz w:val="32"/>
          <w:szCs w:val="32"/>
        </w:rPr>
        <w:t>十二、政府采购支出说明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本部门2021年度政府采购支出总额</w:t>
      </w:r>
      <w:r>
        <w:rPr>
          <w:rFonts w:hint="eastAsia" w:asciiTheme="minorEastAsia" w:hAnsiTheme="minorEastAsia" w:eastAsiaTheme="minorEastAsia"/>
          <w:color w:val="auto"/>
          <w:sz w:val="32"/>
          <w:szCs w:val="32"/>
          <w:lang w:val="en-US" w:eastAsia="zh-CN"/>
        </w:rPr>
        <w:t>687.18</w:t>
      </w:r>
      <w:r>
        <w:rPr>
          <w:rFonts w:hint="eastAsia" w:asciiTheme="minorEastAsia" w:hAnsiTheme="minorEastAsia" w:eastAsiaTheme="minorEastAsia"/>
          <w:color w:val="auto"/>
          <w:sz w:val="32"/>
          <w:szCs w:val="32"/>
        </w:rPr>
        <w:t>万元，其中：政府采购货物支出</w:t>
      </w:r>
      <w:r>
        <w:rPr>
          <w:rFonts w:hint="eastAsia" w:asciiTheme="minorEastAsia" w:hAnsiTheme="minorEastAsia" w:eastAsiaTheme="minorEastAsia"/>
          <w:color w:val="auto"/>
          <w:sz w:val="32"/>
          <w:szCs w:val="32"/>
          <w:lang w:val="en-US" w:eastAsia="zh-CN"/>
        </w:rPr>
        <w:t>78.52</w:t>
      </w:r>
      <w:r>
        <w:rPr>
          <w:rFonts w:hint="eastAsia" w:asciiTheme="minorEastAsia" w:hAnsiTheme="minorEastAsia" w:eastAsiaTheme="minorEastAsia"/>
          <w:color w:val="auto"/>
          <w:sz w:val="32"/>
          <w:szCs w:val="32"/>
        </w:rPr>
        <w:t>万元、政府采购工程支出</w:t>
      </w:r>
      <w:r>
        <w:rPr>
          <w:rFonts w:hint="eastAsia" w:asciiTheme="minorEastAsia" w:hAnsiTheme="minorEastAsia" w:eastAsiaTheme="minorEastAsia"/>
          <w:color w:val="auto"/>
          <w:sz w:val="32"/>
          <w:szCs w:val="32"/>
          <w:lang w:val="en-US" w:eastAsia="zh-CN"/>
        </w:rPr>
        <w:t>608.66</w:t>
      </w:r>
      <w:r>
        <w:rPr>
          <w:rFonts w:hint="eastAsia" w:asciiTheme="minorEastAsia" w:hAnsiTheme="minorEastAsia" w:eastAsiaTheme="minorEastAsia"/>
          <w:color w:val="auto"/>
          <w:sz w:val="32"/>
          <w:szCs w:val="32"/>
        </w:rPr>
        <w:t xml:space="preserve"> 万元、政府采购服务支出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万元。授予中小企业合同金额</w:t>
      </w:r>
      <w:r>
        <w:rPr>
          <w:rFonts w:hint="eastAsia" w:asciiTheme="minorEastAsia" w:hAnsiTheme="minorEastAsia" w:eastAsiaTheme="minorEastAsia"/>
          <w:color w:val="auto"/>
          <w:sz w:val="32"/>
          <w:szCs w:val="32"/>
          <w:lang w:val="en-US" w:eastAsia="zh-CN"/>
        </w:rPr>
        <w:t>687.18</w:t>
      </w:r>
      <w:r>
        <w:rPr>
          <w:rFonts w:hint="eastAsia" w:asciiTheme="minorEastAsia" w:hAnsiTheme="minorEastAsia" w:eastAsiaTheme="minorEastAsia"/>
          <w:color w:val="auto"/>
          <w:sz w:val="32"/>
          <w:szCs w:val="32"/>
        </w:rPr>
        <w:t>万元，占政府采购支出总额的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%，其中：授予小微企业合同金额</w:t>
      </w:r>
      <w:r>
        <w:rPr>
          <w:rFonts w:hint="eastAsia" w:asciiTheme="minorEastAsia" w:hAnsiTheme="minorEastAsia" w:eastAsiaTheme="minorEastAsia"/>
          <w:color w:val="auto"/>
          <w:sz w:val="32"/>
          <w:szCs w:val="32"/>
          <w:lang w:val="en-US" w:eastAsia="zh-CN"/>
        </w:rPr>
        <w:t>687.18</w:t>
      </w:r>
      <w:r>
        <w:rPr>
          <w:rFonts w:hint="eastAsia" w:asciiTheme="minorEastAsia" w:hAnsiTheme="minorEastAsia" w:eastAsiaTheme="minorEastAsia"/>
          <w:color w:val="auto"/>
          <w:sz w:val="32"/>
          <w:szCs w:val="32"/>
        </w:rPr>
        <w:t>万元，占授予中小企业合同金额的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%；货物采购授予中小企业合同金额占货物支出金额的</w:t>
      </w:r>
      <w:r>
        <w:rPr>
          <w:rFonts w:hint="eastAsia" w:asciiTheme="minorEastAsia" w:hAnsiTheme="minorEastAsia" w:eastAsiaTheme="minorEastAsia"/>
          <w:color w:val="auto"/>
          <w:sz w:val="32"/>
          <w:szCs w:val="32"/>
          <w:lang w:val="en-US" w:eastAsia="zh-CN"/>
        </w:rPr>
        <w:t>11.43</w:t>
      </w:r>
      <w:r>
        <w:rPr>
          <w:rFonts w:hint="eastAsia" w:asciiTheme="minorEastAsia" w:hAnsiTheme="minorEastAsia" w:eastAsiaTheme="minorEastAsia"/>
          <w:color w:val="auto"/>
          <w:sz w:val="32"/>
          <w:szCs w:val="32"/>
        </w:rPr>
        <w:t>%，工程采购授予中小企业合同金额占工程支出金额的</w:t>
      </w:r>
      <w:r>
        <w:rPr>
          <w:rFonts w:hint="eastAsia" w:asciiTheme="minorEastAsia" w:hAnsiTheme="minorEastAsia" w:eastAsiaTheme="minorEastAsia"/>
          <w:color w:val="auto"/>
          <w:sz w:val="32"/>
          <w:szCs w:val="32"/>
          <w:lang w:val="en-US" w:eastAsia="zh-CN"/>
        </w:rPr>
        <w:t>88.57</w:t>
      </w:r>
      <w:r>
        <w:rPr>
          <w:rFonts w:hint="eastAsia" w:asciiTheme="minorEastAsia" w:hAnsiTheme="minorEastAsia" w:eastAsiaTheme="minorEastAsia"/>
          <w:color w:val="auto"/>
          <w:sz w:val="32"/>
          <w:szCs w:val="32"/>
        </w:rPr>
        <w:t>%，服务采购授予中小企业合同金额占服务支出金额的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w:t>
      </w:r>
    </w:p>
    <w:p>
      <w:pPr>
        <w:pStyle w:val="9"/>
        <w:rPr>
          <w:rFonts w:hAnsi="黑体"/>
          <w:b/>
          <w:color w:val="auto"/>
          <w:sz w:val="32"/>
          <w:szCs w:val="32"/>
        </w:rPr>
      </w:pPr>
      <w:r>
        <w:rPr>
          <w:rFonts w:hint="eastAsia" w:hAnsi="黑体"/>
          <w:b/>
          <w:color w:val="auto"/>
          <w:sz w:val="32"/>
          <w:szCs w:val="32"/>
        </w:rPr>
        <w:t>十三、国有资产占用情况说明</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截至2021年12月31日，部门（单位）共有车辆</w:t>
      </w:r>
      <w:r>
        <w:rPr>
          <w:rFonts w:hint="eastAsia" w:asciiTheme="minorEastAsia" w:hAnsiTheme="minorEastAsia" w:eastAsiaTheme="minorEastAsia"/>
          <w:color w:val="auto"/>
          <w:sz w:val="32"/>
          <w:szCs w:val="32"/>
          <w:lang w:val="en-US" w:eastAsia="zh-CN"/>
        </w:rPr>
        <w:t>10</w:t>
      </w:r>
      <w:r>
        <w:rPr>
          <w:rFonts w:hint="eastAsia" w:asciiTheme="minorEastAsia" w:hAnsiTheme="minorEastAsia" w:eastAsiaTheme="minorEastAsia"/>
          <w:color w:val="auto"/>
          <w:sz w:val="32"/>
          <w:szCs w:val="32"/>
        </w:rPr>
        <w:t>辆，其中，主要领导干部用车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辆，机要通信用车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辆、应急保障用车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辆、执法执勤用车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辆、特种专业技术用车</w:t>
      </w: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辆、其他用车</w:t>
      </w: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辆，其他用车主要是</w:t>
      </w:r>
      <w:r>
        <w:rPr>
          <w:rFonts w:hint="eastAsia" w:asciiTheme="minorEastAsia" w:hAnsiTheme="minorEastAsia" w:eastAsiaTheme="minorEastAsia"/>
          <w:color w:val="auto"/>
          <w:sz w:val="32"/>
          <w:szCs w:val="32"/>
          <w:lang w:eastAsia="zh-CN"/>
        </w:rPr>
        <w:t>检验检测抽样</w:t>
      </w:r>
      <w:r>
        <w:rPr>
          <w:rFonts w:hint="eastAsia" w:asciiTheme="minorEastAsia" w:hAnsiTheme="minorEastAsia" w:eastAsiaTheme="minorEastAsia"/>
          <w:color w:val="auto"/>
          <w:sz w:val="32"/>
          <w:szCs w:val="32"/>
        </w:rPr>
        <w:t>；单位价值50万元以上通用设备</w:t>
      </w:r>
      <w:r>
        <w:rPr>
          <w:rFonts w:hint="eastAsia" w:asciiTheme="minorEastAsia" w:hAnsiTheme="minorEastAsia" w:eastAsiaTheme="minorEastAsia"/>
          <w:color w:val="auto"/>
          <w:sz w:val="32"/>
          <w:szCs w:val="32"/>
          <w:lang w:val="en-US" w:eastAsia="zh-CN"/>
        </w:rPr>
        <w:t>14</w:t>
      </w:r>
      <w:r>
        <w:rPr>
          <w:rFonts w:hint="eastAsia" w:asciiTheme="minorEastAsia" w:hAnsiTheme="minorEastAsia" w:eastAsiaTheme="minorEastAsia"/>
          <w:color w:val="auto"/>
          <w:sz w:val="32"/>
          <w:szCs w:val="32"/>
        </w:rPr>
        <w:t>台（套）；单位价值100万元以上专用设备</w:t>
      </w:r>
      <w:r>
        <w:rPr>
          <w:rFonts w:hint="eastAsia" w:asciiTheme="minorEastAsia" w:hAnsiTheme="minorEastAsia" w:eastAsiaTheme="minorEastAsia"/>
          <w:color w:val="auto"/>
          <w:sz w:val="32"/>
          <w:szCs w:val="32"/>
          <w:lang w:val="en-US" w:eastAsia="zh-CN"/>
        </w:rPr>
        <w:t>8</w:t>
      </w:r>
      <w:r>
        <w:rPr>
          <w:rFonts w:hint="eastAsia" w:asciiTheme="minorEastAsia" w:hAnsiTheme="minorEastAsia" w:eastAsiaTheme="minorEastAsia"/>
          <w:color w:val="auto"/>
          <w:sz w:val="32"/>
          <w:szCs w:val="32"/>
        </w:rPr>
        <w:t>台（套）。</w:t>
      </w:r>
    </w:p>
    <w:p>
      <w:pPr>
        <w:pStyle w:val="9"/>
        <w:rPr>
          <w:rFonts w:hAnsi="黑体"/>
          <w:b/>
          <w:color w:val="auto"/>
          <w:sz w:val="32"/>
          <w:szCs w:val="32"/>
        </w:rPr>
      </w:pPr>
      <w:bookmarkStart w:id="0" w:name="_GoBack"/>
      <w:bookmarkEnd w:id="0"/>
      <w:r>
        <w:rPr>
          <w:rFonts w:hint="eastAsia" w:hAnsi="黑体"/>
          <w:b/>
          <w:color w:val="auto"/>
          <w:sz w:val="32"/>
          <w:szCs w:val="32"/>
          <w:lang w:eastAsia="zh-CN"/>
        </w:rPr>
        <w:t>十四、</w:t>
      </w:r>
      <w:r>
        <w:rPr>
          <w:rFonts w:hint="eastAsia" w:hAnsi="黑体"/>
          <w:b/>
          <w:color w:val="auto"/>
          <w:sz w:val="32"/>
          <w:szCs w:val="32"/>
        </w:rPr>
        <w:t>2021年度预算绩效情况说明</w:t>
      </w:r>
    </w:p>
    <w:p>
      <w:pPr>
        <w:pStyle w:val="9"/>
        <w:ind w:firstLine="640" w:firstLineChars="200"/>
        <w:rPr>
          <w:rFonts w:hint="default"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eastAsia="zh-CN"/>
        </w:rPr>
        <w:t>岳阳市市</w:t>
      </w:r>
      <w:r>
        <w:rPr>
          <w:rFonts w:hint="eastAsia" w:asciiTheme="minorEastAsia" w:hAnsiTheme="minorEastAsia" w:eastAsiaTheme="minorEastAsia" w:cstheme="minorEastAsia"/>
          <w:color w:val="auto"/>
          <w:sz w:val="32"/>
          <w:szCs w:val="32"/>
          <w:lang w:val="en-US" w:eastAsia="zh-CN"/>
        </w:rPr>
        <w:t>检验检测中心</w:t>
      </w:r>
      <w:r>
        <w:rPr>
          <w:rFonts w:hint="eastAsia" w:asciiTheme="minorEastAsia" w:hAnsiTheme="minorEastAsia" w:eastAsiaTheme="minorEastAsia" w:cstheme="minorEastAsia"/>
          <w:color w:val="auto"/>
          <w:sz w:val="32"/>
          <w:szCs w:val="32"/>
          <w:lang w:eastAsia="zh-CN"/>
        </w:rPr>
        <w:t>为岳阳市市场监督管理局所属二级机构，</w:t>
      </w:r>
      <w:r>
        <w:rPr>
          <w:rFonts w:hint="eastAsia" w:asciiTheme="minorEastAsia" w:hAnsiTheme="minorEastAsia" w:eastAsiaTheme="minorEastAsia" w:cstheme="minorEastAsia"/>
          <w:color w:val="auto"/>
          <w:sz w:val="32"/>
          <w:szCs w:val="32"/>
          <w:lang w:val="en-US" w:eastAsia="zh-CN"/>
        </w:rPr>
        <w:t>2021年部门整体及项目绩效评价按要求由部门作汇总绩效评价，2021年单位预算绩效情况见附件岳阳市市场监督管局部门整体绩效评价报告。</w:t>
      </w:r>
    </w:p>
    <w:p>
      <w:pPr>
        <w:pStyle w:val="9"/>
        <w:rPr>
          <w:rFonts w:hint="default" w:eastAsiaTheme="minorEastAsia"/>
          <w:color w:val="auto"/>
          <w:sz w:val="72"/>
          <w:szCs w:val="72"/>
          <w:lang w:val="en-US" w:eastAsia="zh-CN"/>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rPr>
          <w:color w:val="auto"/>
          <w:sz w:val="72"/>
          <w:szCs w:val="72"/>
        </w:rPr>
      </w:pPr>
    </w:p>
    <w:p>
      <w:pPr>
        <w:pStyle w:val="9"/>
        <w:jc w:val="both"/>
        <w:rPr>
          <w:color w:val="auto"/>
          <w:sz w:val="72"/>
          <w:szCs w:val="72"/>
        </w:rPr>
      </w:pPr>
    </w:p>
    <w:p>
      <w:pPr>
        <w:pStyle w:val="9"/>
        <w:jc w:val="center"/>
        <w:rPr>
          <w:color w:val="auto"/>
          <w:sz w:val="72"/>
          <w:szCs w:val="72"/>
        </w:rPr>
      </w:pPr>
      <w:r>
        <w:rPr>
          <w:rFonts w:hint="eastAsia"/>
          <w:color w:val="auto"/>
          <w:sz w:val="72"/>
          <w:szCs w:val="72"/>
        </w:rPr>
        <w:t>第四部分</w:t>
      </w:r>
    </w:p>
    <w:p>
      <w:pPr>
        <w:jc w:val="center"/>
        <w:rPr>
          <w:rFonts w:ascii="黑体" w:eastAsia="黑体" w:cs="黑体"/>
          <w:color w:val="auto"/>
          <w:kern w:val="0"/>
          <w:sz w:val="70"/>
          <w:szCs w:val="70"/>
        </w:rPr>
      </w:pPr>
    </w:p>
    <w:p>
      <w:pPr>
        <w:jc w:val="center"/>
        <w:rPr>
          <w:rFonts w:ascii="黑体" w:eastAsia="黑体" w:cs="黑体"/>
          <w:color w:val="auto"/>
          <w:kern w:val="0"/>
          <w:sz w:val="70"/>
          <w:szCs w:val="70"/>
        </w:rPr>
      </w:pPr>
      <w:r>
        <w:rPr>
          <w:rFonts w:hint="eastAsia" w:ascii="黑体" w:eastAsia="黑体" w:cs="黑体"/>
          <w:color w:val="auto"/>
          <w:kern w:val="0"/>
          <w:sz w:val="70"/>
          <w:szCs w:val="70"/>
        </w:rPr>
        <w:t>名词解释</w:t>
      </w:r>
    </w:p>
    <w:p>
      <w:pPr>
        <w:widowControl/>
        <w:jc w:val="left"/>
        <w:rPr>
          <w:rFonts w:ascii="黑体" w:eastAsia="黑体" w:cs="黑体"/>
          <w:color w:val="auto"/>
          <w:kern w:val="0"/>
          <w:sz w:val="70"/>
          <w:szCs w:val="70"/>
        </w:rPr>
      </w:pPr>
      <w:r>
        <w:rPr>
          <w:rFonts w:ascii="黑体" w:eastAsia="黑体" w:cs="黑体"/>
          <w:color w:val="auto"/>
          <w:kern w:val="0"/>
          <w:sz w:val="70"/>
          <w:szCs w:val="70"/>
        </w:rPr>
        <w:br w:type="page"/>
      </w:r>
    </w:p>
    <w:p>
      <w:pPr>
        <w:ind w:firstLine="640" w:firstLineChars="200"/>
        <w:jc w:val="left"/>
        <w:rPr>
          <w:rFonts w:cs="黑体" w:asciiTheme="minorEastAsia" w:hAnsiTheme="minorEastAsia"/>
          <w:color w:val="auto"/>
          <w:kern w:val="0"/>
          <w:sz w:val="32"/>
          <w:szCs w:val="32"/>
        </w:rPr>
      </w:pPr>
    </w:p>
    <w:p>
      <w:pPr>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auto"/>
          <w:kern w:val="0"/>
          <w:sz w:val="32"/>
          <w:szCs w:val="32"/>
        </w:rPr>
      </w:pPr>
      <w:r>
        <w:rPr>
          <w:rFonts w:hint="eastAsia" w:cs="黑体" w:asciiTheme="minorEastAsia" w:hAnsiTheme="minorEastAsia"/>
          <w:color w:val="auto"/>
          <w:kern w:val="0"/>
          <w:sz w:val="32"/>
          <w:szCs w:val="32"/>
        </w:rPr>
        <w:t>二、机关运行经费</w:t>
      </w:r>
      <w:r>
        <w:rPr>
          <w:rFonts w:hint="eastAsia" w:cs="黑体" w:asciiTheme="minorEastAsia" w:hAnsiTheme="minorEastAsia"/>
          <w:color w:val="auto"/>
          <w:kern w:val="0"/>
          <w:sz w:val="32"/>
          <w:szCs w:val="32"/>
          <w:lang w:eastAsia="zh-CN"/>
        </w:rPr>
        <w:t>，</w:t>
      </w:r>
      <w:r>
        <w:rPr>
          <w:rFonts w:hint="eastAsia" w:cs="黑体" w:asciiTheme="minorEastAsia" w:hAnsiTheme="minorEastAsia"/>
          <w:color w:val="auto"/>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both"/>
        <w:rPr>
          <w:color w:val="auto"/>
          <w:sz w:val="72"/>
          <w:szCs w:val="72"/>
        </w:rPr>
      </w:pPr>
    </w:p>
    <w:p>
      <w:pPr>
        <w:pStyle w:val="9"/>
        <w:jc w:val="center"/>
        <w:rPr>
          <w:color w:val="auto"/>
          <w:sz w:val="72"/>
          <w:szCs w:val="72"/>
        </w:rPr>
      </w:pPr>
    </w:p>
    <w:p>
      <w:pPr>
        <w:pStyle w:val="9"/>
        <w:jc w:val="center"/>
        <w:rPr>
          <w:rFonts w:hint="eastAsia"/>
          <w:color w:val="auto"/>
          <w:sz w:val="72"/>
          <w:szCs w:val="72"/>
        </w:rPr>
      </w:pPr>
    </w:p>
    <w:p>
      <w:pPr>
        <w:pStyle w:val="9"/>
        <w:jc w:val="center"/>
        <w:rPr>
          <w:rFonts w:hint="eastAsia"/>
          <w:color w:val="auto"/>
          <w:sz w:val="72"/>
          <w:szCs w:val="72"/>
        </w:rPr>
      </w:pPr>
    </w:p>
    <w:p>
      <w:pPr>
        <w:pStyle w:val="9"/>
        <w:jc w:val="center"/>
        <w:rPr>
          <w:rFonts w:hint="eastAsia"/>
          <w:color w:val="auto"/>
          <w:sz w:val="72"/>
          <w:szCs w:val="72"/>
        </w:rPr>
      </w:pPr>
    </w:p>
    <w:p>
      <w:pPr>
        <w:pStyle w:val="9"/>
        <w:jc w:val="center"/>
        <w:rPr>
          <w:rFonts w:hint="eastAsia"/>
          <w:color w:val="auto"/>
          <w:sz w:val="72"/>
          <w:szCs w:val="72"/>
        </w:rPr>
      </w:pPr>
    </w:p>
    <w:p>
      <w:pPr>
        <w:pStyle w:val="9"/>
        <w:jc w:val="center"/>
        <w:rPr>
          <w:color w:val="auto"/>
          <w:sz w:val="72"/>
          <w:szCs w:val="72"/>
        </w:rPr>
      </w:pPr>
      <w:r>
        <w:rPr>
          <w:rFonts w:hint="eastAsia"/>
          <w:color w:val="auto"/>
          <w:sz w:val="72"/>
          <w:szCs w:val="72"/>
        </w:rPr>
        <w:t>第五部分</w:t>
      </w:r>
    </w:p>
    <w:p>
      <w:pPr>
        <w:jc w:val="center"/>
        <w:rPr>
          <w:rFonts w:ascii="黑体" w:eastAsia="黑体" w:cs="黑体"/>
          <w:color w:val="auto"/>
          <w:kern w:val="0"/>
          <w:sz w:val="70"/>
          <w:szCs w:val="70"/>
        </w:rPr>
      </w:pPr>
    </w:p>
    <w:p>
      <w:pPr>
        <w:jc w:val="center"/>
        <w:rPr>
          <w:rFonts w:ascii="黑体" w:eastAsia="黑体" w:cs="黑体"/>
          <w:color w:val="auto"/>
          <w:kern w:val="0"/>
          <w:sz w:val="70"/>
          <w:szCs w:val="70"/>
        </w:rPr>
      </w:pPr>
      <w:r>
        <w:rPr>
          <w:rFonts w:hint="eastAsia" w:ascii="黑体" w:eastAsia="黑体" w:cs="黑体"/>
          <w:color w:val="auto"/>
          <w:kern w:val="0"/>
          <w:sz w:val="70"/>
          <w:szCs w:val="70"/>
        </w:rPr>
        <w:t>附件</w:t>
      </w:r>
    </w:p>
    <w:p>
      <w:pPr>
        <w:widowControl/>
        <w:jc w:val="left"/>
        <w:rPr>
          <w:rFonts w:ascii="黑体" w:eastAsia="黑体" w:cs="黑体"/>
          <w:color w:val="auto"/>
          <w:kern w:val="0"/>
          <w:sz w:val="70"/>
          <w:szCs w:val="70"/>
        </w:rPr>
      </w:pPr>
      <w:r>
        <w:rPr>
          <w:rFonts w:ascii="黑体" w:eastAsia="黑体" w:cs="黑体"/>
          <w:color w:val="auto"/>
          <w:kern w:val="0"/>
          <w:sz w:val="70"/>
          <w:szCs w:val="70"/>
        </w:rPr>
        <w:br w:type="page"/>
      </w:r>
    </w:p>
    <w:p>
      <w:pPr>
        <w:jc w:val="center"/>
        <w:rPr>
          <w:rFonts w:ascii="黑体" w:eastAsia="黑体" w:cs="黑体"/>
          <w:color w:val="auto"/>
          <w:kern w:val="0"/>
          <w:sz w:val="70"/>
          <w:szCs w:val="70"/>
        </w:rPr>
      </w:pPr>
    </w:p>
    <w:p>
      <w:pPr>
        <w:ind w:firstLine="640" w:firstLineChars="200"/>
        <w:jc w:val="left"/>
        <w:rPr>
          <w:rFonts w:hint="eastAsia" w:cs="黑体" w:asciiTheme="minorEastAsia" w:hAnsiTheme="minorEastAsia" w:eastAsiaTheme="minorEastAsia"/>
          <w:b/>
          <w:color w:val="auto"/>
          <w:kern w:val="0"/>
          <w:sz w:val="32"/>
          <w:szCs w:val="32"/>
          <w:lang w:val="en-US" w:eastAsia="zh-CN"/>
        </w:rPr>
      </w:pPr>
      <w:r>
        <w:rPr>
          <w:rFonts w:hint="eastAsia" w:cs="黑体" w:asciiTheme="minorEastAsia" w:hAnsiTheme="minorEastAsia"/>
          <w:b/>
          <w:color w:val="auto"/>
          <w:kern w:val="0"/>
          <w:sz w:val="32"/>
          <w:szCs w:val="32"/>
          <w:lang w:val="en-US" w:eastAsia="zh-CN"/>
        </w:rPr>
        <w:t>1、2021年部门决算公开表格</w:t>
      </w:r>
    </w:p>
    <w:p>
      <w:pPr>
        <w:ind w:firstLine="640" w:firstLineChars="200"/>
        <w:jc w:val="left"/>
        <w:rPr>
          <w:rFonts w:cs="黑体" w:asciiTheme="minorEastAsia" w:hAnsiTheme="minorEastAsia"/>
          <w:b/>
          <w:color w:val="auto"/>
          <w:kern w:val="0"/>
          <w:sz w:val="32"/>
          <w:szCs w:val="32"/>
        </w:rPr>
      </w:pPr>
      <w:r>
        <w:rPr>
          <w:rFonts w:hint="eastAsia" w:cs="黑体" w:asciiTheme="minorEastAsia" w:hAnsiTheme="minorEastAsia"/>
          <w:b/>
          <w:color w:val="auto"/>
          <w:kern w:val="0"/>
          <w:sz w:val="32"/>
          <w:szCs w:val="32"/>
          <w:lang w:val="en-US" w:eastAsia="zh-CN"/>
        </w:rPr>
        <w:t>2、</w:t>
      </w:r>
      <w:r>
        <w:rPr>
          <w:rFonts w:hint="eastAsia" w:cs="黑体" w:asciiTheme="minorEastAsia" w:hAnsiTheme="minorEastAsia"/>
          <w:b/>
          <w:color w:val="auto"/>
          <w:kern w:val="0"/>
          <w:sz w:val="32"/>
          <w:szCs w:val="32"/>
        </w:rPr>
        <w:t>2021年度部门整体支出绩效评价报告</w:t>
      </w:r>
    </w:p>
    <w:p>
      <w:pPr>
        <w:ind w:firstLine="640" w:firstLineChars="200"/>
        <w:jc w:val="left"/>
        <w:rPr>
          <w:rFonts w:cs="黑体" w:asciiTheme="minorEastAsia" w:hAnsiTheme="minorEastAsia"/>
          <w:color w:val="auto"/>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5F40D2"/>
    <w:multiLevelType w:val="singleLevel"/>
    <w:tmpl w:val="FC5F40D2"/>
    <w:lvl w:ilvl="0" w:tentative="0">
      <w:start w:val="2"/>
      <w:numFmt w:val="chineseCounting"/>
      <w:suff w:val="nothing"/>
      <w:lvlText w:val="（%1）"/>
      <w:lvlJc w:val="left"/>
      <w:rPr>
        <w:rFonts w:hint="eastAsia"/>
      </w:rPr>
    </w:lvl>
  </w:abstractNum>
  <w:abstractNum w:abstractNumId="1">
    <w:nsid w:val="1350B241"/>
    <w:multiLevelType w:val="singleLevel"/>
    <w:tmpl w:val="1350B241"/>
    <w:lvl w:ilvl="0" w:tentative="0">
      <w:start w:val="7"/>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zZmNjMmE1MjJjOTYzMmI5NzNiMWJmOTkxZjljYTI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085"/>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49B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EA77E5"/>
    <w:rsid w:val="038B1F06"/>
    <w:rsid w:val="03E34125"/>
    <w:rsid w:val="03F4702C"/>
    <w:rsid w:val="0433177A"/>
    <w:rsid w:val="05633A58"/>
    <w:rsid w:val="06B411F0"/>
    <w:rsid w:val="07931448"/>
    <w:rsid w:val="07950B26"/>
    <w:rsid w:val="087403E0"/>
    <w:rsid w:val="09497E1A"/>
    <w:rsid w:val="09853F9F"/>
    <w:rsid w:val="09A339CE"/>
    <w:rsid w:val="0A3F7B68"/>
    <w:rsid w:val="0B1C0C50"/>
    <w:rsid w:val="0BE56081"/>
    <w:rsid w:val="0C7F7E3C"/>
    <w:rsid w:val="0D1A6E32"/>
    <w:rsid w:val="0D671A18"/>
    <w:rsid w:val="0DFB0166"/>
    <w:rsid w:val="0E094A2C"/>
    <w:rsid w:val="0E6D71D1"/>
    <w:rsid w:val="10D16885"/>
    <w:rsid w:val="11740995"/>
    <w:rsid w:val="13BE003E"/>
    <w:rsid w:val="13C0098F"/>
    <w:rsid w:val="150A2F86"/>
    <w:rsid w:val="15CA5DAC"/>
    <w:rsid w:val="17005245"/>
    <w:rsid w:val="17950941"/>
    <w:rsid w:val="17A87124"/>
    <w:rsid w:val="19445F08"/>
    <w:rsid w:val="1E2A4BF9"/>
    <w:rsid w:val="1EF44BF5"/>
    <w:rsid w:val="20DC06C9"/>
    <w:rsid w:val="21D61F1A"/>
    <w:rsid w:val="21F20BF7"/>
    <w:rsid w:val="231150AD"/>
    <w:rsid w:val="24C04FDC"/>
    <w:rsid w:val="25107680"/>
    <w:rsid w:val="25957838"/>
    <w:rsid w:val="27DB542D"/>
    <w:rsid w:val="2BC027E0"/>
    <w:rsid w:val="2EB87C27"/>
    <w:rsid w:val="32F6606D"/>
    <w:rsid w:val="345968B4"/>
    <w:rsid w:val="3500035E"/>
    <w:rsid w:val="354258EB"/>
    <w:rsid w:val="359F6152"/>
    <w:rsid w:val="366364DD"/>
    <w:rsid w:val="370B6762"/>
    <w:rsid w:val="377E609D"/>
    <w:rsid w:val="385A16B8"/>
    <w:rsid w:val="39C142C3"/>
    <w:rsid w:val="3A255D61"/>
    <w:rsid w:val="3B827442"/>
    <w:rsid w:val="3BF363E6"/>
    <w:rsid w:val="3C266BA8"/>
    <w:rsid w:val="3F7B559F"/>
    <w:rsid w:val="3FC36380"/>
    <w:rsid w:val="3FD4152D"/>
    <w:rsid w:val="409520BA"/>
    <w:rsid w:val="411E25AC"/>
    <w:rsid w:val="41764F49"/>
    <w:rsid w:val="4194717D"/>
    <w:rsid w:val="425D5DB9"/>
    <w:rsid w:val="45235DB4"/>
    <w:rsid w:val="45F9639D"/>
    <w:rsid w:val="474D4A33"/>
    <w:rsid w:val="47E95D23"/>
    <w:rsid w:val="48ED43E7"/>
    <w:rsid w:val="4921425C"/>
    <w:rsid w:val="4C497ED6"/>
    <w:rsid w:val="4D0C57AF"/>
    <w:rsid w:val="57224E4D"/>
    <w:rsid w:val="57714FA8"/>
    <w:rsid w:val="597B6265"/>
    <w:rsid w:val="598002BB"/>
    <w:rsid w:val="5A4B6918"/>
    <w:rsid w:val="5B530F5D"/>
    <w:rsid w:val="5C380863"/>
    <w:rsid w:val="5C520AAC"/>
    <w:rsid w:val="5CD76A31"/>
    <w:rsid w:val="5D42314C"/>
    <w:rsid w:val="5DD30543"/>
    <w:rsid w:val="5E7F7ED1"/>
    <w:rsid w:val="60A907EA"/>
    <w:rsid w:val="6145544E"/>
    <w:rsid w:val="64225C2F"/>
    <w:rsid w:val="6520108B"/>
    <w:rsid w:val="68087D8E"/>
    <w:rsid w:val="688A2D87"/>
    <w:rsid w:val="688E327E"/>
    <w:rsid w:val="695C51B9"/>
    <w:rsid w:val="6A820FA5"/>
    <w:rsid w:val="6C5F15B3"/>
    <w:rsid w:val="6D6C50CD"/>
    <w:rsid w:val="6DEC08FD"/>
    <w:rsid w:val="6E481CEC"/>
    <w:rsid w:val="6FB343EE"/>
    <w:rsid w:val="709F17F2"/>
    <w:rsid w:val="71924BD7"/>
    <w:rsid w:val="71DE1BEB"/>
    <w:rsid w:val="725953D7"/>
    <w:rsid w:val="746043CC"/>
    <w:rsid w:val="74C7103C"/>
    <w:rsid w:val="77352113"/>
    <w:rsid w:val="788A485A"/>
    <w:rsid w:val="78E33F6B"/>
    <w:rsid w:val="7A3E122D"/>
    <w:rsid w:val="7A9D399F"/>
    <w:rsid w:val="7AC9666A"/>
    <w:rsid w:val="7AF16963"/>
    <w:rsid w:val="7B876E2F"/>
    <w:rsid w:val="7C163EF9"/>
    <w:rsid w:val="7D2F3C22"/>
    <w:rsid w:val="7DE228BB"/>
    <w:rsid w:val="7F222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5188</Words>
  <Characters>5728</Characters>
  <Lines>69</Lines>
  <Paragraphs>19</Paragraphs>
  <TotalTime>1</TotalTime>
  <ScaleCrop>false</ScaleCrop>
  <LinksUpToDate>false</LinksUpToDate>
  <CharactersWithSpaces>5771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49266_000</cp:lastModifiedBy>
  <cp:lastPrinted>2022-07-27T12:55:00Z</cp:lastPrinted>
  <dcterms:modified xsi:type="dcterms:W3CDTF">2023-09-23T05:20:04Z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6CFE9435A5254C949792546820433BAB</vt:lpwstr>
  </property>
</Properties>
</file>