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jc w:val="center"/>
        <w:rPr>
          <w:rFonts w:hint="eastAsia"/>
          <w:sz w:val="56"/>
          <w:szCs w:val="56"/>
        </w:rPr>
      </w:pPr>
    </w:p>
    <w:p>
      <w:pPr>
        <w:pStyle w:val="12"/>
        <w:jc w:val="center"/>
        <w:rPr>
          <w:sz w:val="56"/>
          <w:szCs w:val="56"/>
        </w:rPr>
      </w:pPr>
    </w:p>
    <w:p>
      <w:pPr>
        <w:pStyle w:val="12"/>
        <w:jc w:val="center"/>
        <w:rPr>
          <w:sz w:val="84"/>
          <w:szCs w:val="84"/>
        </w:rPr>
      </w:pPr>
    </w:p>
    <w:p>
      <w:pPr>
        <w:pStyle w:val="12"/>
        <w:jc w:val="center"/>
        <w:rPr>
          <w:sz w:val="84"/>
          <w:szCs w:val="84"/>
        </w:rPr>
      </w:pPr>
    </w:p>
    <w:p>
      <w:pPr>
        <w:pStyle w:val="12"/>
        <w:jc w:val="center"/>
        <w:rPr>
          <w:sz w:val="84"/>
          <w:szCs w:val="84"/>
        </w:rPr>
      </w:pPr>
      <w:r>
        <w:rPr>
          <w:rFonts w:hint="eastAsia"/>
          <w:sz w:val="84"/>
          <w:szCs w:val="84"/>
        </w:rPr>
        <w:t>2021年度</w:t>
      </w:r>
    </w:p>
    <w:p>
      <w:pPr>
        <w:pStyle w:val="12"/>
        <w:jc w:val="center"/>
        <w:rPr>
          <w:sz w:val="84"/>
          <w:szCs w:val="84"/>
        </w:rPr>
      </w:pPr>
      <w:r>
        <w:rPr>
          <w:rFonts w:hint="eastAsia"/>
          <w:sz w:val="84"/>
          <w:szCs w:val="84"/>
        </w:rPr>
        <w:t>岳阳市建设工程造价站</w:t>
      </w:r>
      <w:r>
        <w:rPr>
          <w:rFonts w:hint="eastAsia"/>
          <w:sz w:val="84"/>
          <w:szCs w:val="84"/>
          <w:lang w:val="en-US" w:eastAsia="zh-CN"/>
        </w:rPr>
        <w:t xml:space="preserve"> </w:t>
      </w:r>
      <w:r>
        <w:rPr>
          <w:rFonts w:hint="eastAsia"/>
          <w:sz w:val="84"/>
          <w:szCs w:val="84"/>
        </w:rPr>
        <w:t>部门决算</w:t>
      </w:r>
    </w:p>
    <w:p>
      <w:pPr>
        <w:pStyle w:val="12"/>
        <w:jc w:val="center"/>
        <w:rPr>
          <w:sz w:val="56"/>
          <w:szCs w:val="56"/>
        </w:rPr>
      </w:pPr>
    </w:p>
    <w:p>
      <w:pPr>
        <w:pStyle w:val="12"/>
        <w:jc w:val="center"/>
        <w:rPr>
          <w:sz w:val="56"/>
          <w:szCs w:val="56"/>
        </w:rPr>
      </w:pPr>
    </w:p>
    <w:p>
      <w:pPr>
        <w:pStyle w:val="12"/>
        <w:jc w:val="center"/>
        <w:rPr>
          <w:sz w:val="56"/>
          <w:szCs w:val="56"/>
        </w:rPr>
      </w:pPr>
    </w:p>
    <w:p>
      <w:pPr>
        <w:pStyle w:val="12"/>
        <w:jc w:val="center"/>
        <w:rPr>
          <w:sz w:val="56"/>
          <w:szCs w:val="56"/>
        </w:rPr>
      </w:pPr>
    </w:p>
    <w:p>
      <w:pPr>
        <w:pStyle w:val="12"/>
        <w:jc w:val="center"/>
        <w:rPr>
          <w:sz w:val="32"/>
          <w:szCs w:val="32"/>
        </w:rPr>
      </w:pPr>
    </w:p>
    <w:p>
      <w:pPr>
        <w:pStyle w:val="12"/>
        <w:jc w:val="center"/>
        <w:rPr>
          <w:sz w:val="32"/>
          <w:szCs w:val="32"/>
        </w:rPr>
      </w:pPr>
    </w:p>
    <w:p>
      <w:pPr>
        <w:pStyle w:val="12"/>
        <w:jc w:val="center"/>
        <w:rPr>
          <w:sz w:val="32"/>
          <w:szCs w:val="32"/>
        </w:rPr>
      </w:pPr>
    </w:p>
    <w:p>
      <w:pPr>
        <w:pStyle w:val="12"/>
        <w:jc w:val="center"/>
        <w:rPr>
          <w:sz w:val="32"/>
          <w:szCs w:val="32"/>
        </w:rPr>
      </w:pPr>
    </w:p>
    <w:p>
      <w:pPr>
        <w:pStyle w:val="12"/>
        <w:jc w:val="center"/>
        <w:rPr>
          <w:sz w:val="32"/>
          <w:szCs w:val="32"/>
        </w:rPr>
      </w:pPr>
    </w:p>
    <w:p>
      <w:pPr>
        <w:pStyle w:val="12"/>
        <w:spacing w:line="540" w:lineRule="exact"/>
        <w:jc w:val="center"/>
        <w:rPr>
          <w:sz w:val="56"/>
          <w:szCs w:val="56"/>
        </w:rPr>
      </w:pPr>
    </w:p>
    <w:p>
      <w:pPr>
        <w:pStyle w:val="12"/>
        <w:spacing w:line="500" w:lineRule="exact"/>
        <w:jc w:val="center"/>
        <w:rPr>
          <w:b/>
          <w:sz w:val="36"/>
          <w:szCs w:val="28"/>
        </w:rPr>
      </w:pPr>
    </w:p>
    <w:p>
      <w:pPr>
        <w:pStyle w:val="12"/>
        <w:spacing w:line="500" w:lineRule="exact"/>
        <w:jc w:val="center"/>
        <w:rPr>
          <w:b/>
          <w:sz w:val="36"/>
          <w:szCs w:val="28"/>
        </w:rPr>
      </w:pPr>
    </w:p>
    <w:p>
      <w:pPr>
        <w:pStyle w:val="12"/>
        <w:keepNext w:val="0"/>
        <w:keepLines w:val="0"/>
        <w:pageBreakBefore w:val="0"/>
        <w:widowControl w:val="0"/>
        <w:kinsoku/>
        <w:wordWrap/>
        <w:overflowPunct/>
        <w:topLinePunct w:val="0"/>
        <w:bidi w:val="0"/>
        <w:snapToGrid/>
        <w:spacing w:line="480" w:lineRule="exact"/>
        <w:jc w:val="center"/>
        <w:textAlignment w:val="auto"/>
        <w:rPr>
          <w:b/>
          <w:sz w:val="36"/>
          <w:szCs w:val="28"/>
        </w:rPr>
      </w:pPr>
      <w:r>
        <w:rPr>
          <w:rFonts w:hint="eastAsia"/>
          <w:b/>
          <w:sz w:val="36"/>
          <w:szCs w:val="28"/>
        </w:rPr>
        <w:t>目录</w:t>
      </w:r>
    </w:p>
    <w:p>
      <w:pPr>
        <w:pStyle w:val="12"/>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sz w:val="28"/>
          <w:szCs w:val="28"/>
        </w:rPr>
      </w:pPr>
      <w:r>
        <w:rPr>
          <w:rFonts w:hint="eastAsia"/>
          <w:b/>
          <w:sz w:val="28"/>
          <w:szCs w:val="28"/>
        </w:rPr>
        <w:t>第一部分</w:t>
      </w:r>
      <w:r>
        <w:rPr>
          <w:rFonts w:hint="eastAsia"/>
          <w:b/>
          <w:sz w:val="28"/>
          <w:szCs w:val="28"/>
          <w:lang w:val="en-US" w:eastAsia="zh-CN"/>
        </w:rPr>
        <w:t xml:space="preserve"> 岳阳市建设工程造价站</w:t>
      </w:r>
      <w:r>
        <w:rPr>
          <w:rFonts w:hint="eastAsia"/>
          <w:b/>
          <w:sz w:val="28"/>
          <w:szCs w:val="28"/>
        </w:rPr>
        <w:t>单位概况</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r>
        <w:rPr>
          <w:rFonts w:hint="eastAsia" w:cs="仿宋_GB2312" w:asciiTheme="minorEastAsia" w:hAnsiTheme="minorEastAsia" w:eastAsiaTheme="minorEastAsia"/>
          <w:sz w:val="28"/>
          <w:szCs w:val="28"/>
          <w:lang w:val="en-US" w:eastAsia="zh-CN"/>
        </w:rPr>
        <w:t>及决算单位构成</w:t>
      </w:r>
    </w:p>
    <w:p>
      <w:pPr>
        <w:pStyle w:val="12"/>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sz w:val="28"/>
          <w:szCs w:val="28"/>
        </w:rPr>
      </w:pPr>
      <w:r>
        <w:rPr>
          <w:rFonts w:hint="eastAsia" w:hAnsi="仿宋_GB2312"/>
          <w:b/>
          <w:sz w:val="28"/>
          <w:szCs w:val="28"/>
        </w:rPr>
        <w:t>第二部分</w:t>
      </w:r>
      <w:r>
        <w:rPr>
          <w:rFonts w:hint="eastAsia" w:hAnsi="仿宋_GB2312"/>
          <w:b/>
          <w:sz w:val="28"/>
          <w:szCs w:val="28"/>
          <w:lang w:val="en-US" w:eastAsia="zh-CN"/>
        </w:rPr>
        <w:t xml:space="preserve"> </w:t>
      </w:r>
      <w:r>
        <w:rPr>
          <w:rFonts w:hAnsi="仿宋_GB2312"/>
          <w:b/>
          <w:sz w:val="28"/>
          <w:szCs w:val="28"/>
        </w:rPr>
        <w:t>20</w:t>
      </w:r>
      <w:r>
        <w:rPr>
          <w:rFonts w:hint="eastAsia" w:hAnsi="仿宋_GB2312"/>
          <w:b/>
          <w:sz w:val="28"/>
          <w:szCs w:val="28"/>
        </w:rPr>
        <w:t>21年度部门决算表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2"/>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sz w:val="28"/>
          <w:szCs w:val="28"/>
        </w:rPr>
      </w:pPr>
      <w:r>
        <w:rPr>
          <w:rFonts w:hint="eastAsia" w:hAnsi="仿宋_GB2312"/>
          <w:b/>
          <w:sz w:val="28"/>
          <w:szCs w:val="28"/>
        </w:rPr>
        <w:t>第三部分</w:t>
      </w:r>
      <w:r>
        <w:rPr>
          <w:rFonts w:hint="eastAsia" w:hAnsi="仿宋_GB2312"/>
          <w:b/>
          <w:sz w:val="28"/>
          <w:szCs w:val="28"/>
          <w:lang w:val="en-US" w:eastAsia="zh-CN"/>
        </w:rPr>
        <w:t xml:space="preserve"> </w:t>
      </w:r>
      <w:r>
        <w:rPr>
          <w:rFonts w:hAnsi="仿宋_GB2312"/>
          <w:b/>
          <w:sz w:val="28"/>
          <w:szCs w:val="28"/>
        </w:rPr>
        <w:t>20</w:t>
      </w:r>
      <w:r>
        <w:rPr>
          <w:rFonts w:hint="eastAsia" w:hAnsi="仿宋_GB2312"/>
          <w:b/>
          <w:sz w:val="28"/>
          <w:szCs w:val="28"/>
        </w:rPr>
        <w:t>21年度部门决算情况说明</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keepNext w:val="0"/>
        <w:keepLines w:val="0"/>
        <w:pageBreakBefore w:val="0"/>
        <w:widowControl w:val="0"/>
        <w:kinsoku/>
        <w:wordWrap/>
        <w:overflowPunct/>
        <w:topLinePunct w:val="0"/>
        <w:bidi w:val="0"/>
        <w:snapToGrid/>
        <w:spacing w:line="480" w:lineRule="exact"/>
        <w:ind w:firstLine="700" w:firstLineChars="250"/>
        <w:jc w:val="left"/>
        <w:textAlignment w:val="auto"/>
        <w:rPr>
          <w:rFonts w:ascii="仿宋_GB2312" w:hAnsi="仿宋_GB2312" w:cs="仿宋_GB2312"/>
          <w:sz w:val="28"/>
          <w:szCs w:val="28"/>
        </w:rPr>
      </w:pPr>
      <w:r>
        <w:rPr>
          <w:rFonts w:ascii="仿宋_GB2312" w:hAnsi="仿宋_GB2312" w:cs="仿宋_GB2312"/>
          <w:sz w:val="28"/>
          <w:szCs w:val="28"/>
        </w:rPr>
        <w:t>二、收入决算情况说明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cs="仿宋_GB2312" w:eastAsiaTheme="minorEastAsia"/>
          <w:color w:val="000000"/>
          <w:kern w:val="0"/>
          <w:sz w:val="28"/>
          <w:szCs w:val="28"/>
          <w:lang w:eastAsia="zh-CN"/>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cs="仿宋_GB2312" w:asciiTheme="minorEastAsia" w:hAnsiTheme="minorEastAsia" w:eastAsiaTheme="minorEastAsia"/>
          <w:sz w:val="28"/>
          <w:szCs w:val="28"/>
        </w:rPr>
        <w:t>国有资本经营预算财政拨款支出决算</w:t>
      </w:r>
      <w:r>
        <w:rPr>
          <w:rFonts w:hint="eastAsia" w:cs="仿宋_GB2312" w:asciiTheme="minorEastAsia" w:hAnsiTheme="minorEastAsia"/>
          <w:sz w:val="28"/>
          <w:szCs w:val="28"/>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w:t>
      </w:r>
      <w:r>
        <w:rPr>
          <w:rFonts w:hint="eastAsia" w:ascii="仿宋_GB2312" w:hAnsi="仿宋_GB2312" w:cs="仿宋_GB2312"/>
          <w:color w:val="000000"/>
          <w:kern w:val="0"/>
          <w:sz w:val="28"/>
          <w:szCs w:val="28"/>
        </w:rPr>
        <w:t>政府采购支出说明</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cs="仿宋_GB2312" w:eastAsiaTheme="minorEastAsia"/>
          <w:sz w:val="28"/>
          <w:szCs w:val="28"/>
        </w:rPr>
      </w:pPr>
      <w:r>
        <w:rPr>
          <w:rFonts w:hint="eastAsia" w:ascii="仿宋_GB2312" w:hAnsi="仿宋_GB2312" w:cs="仿宋_GB2312" w:eastAsiaTheme="minorEastAsia"/>
          <w:sz w:val="28"/>
          <w:szCs w:val="28"/>
        </w:rPr>
        <w:t>十三、国有资产占用情况说明</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cs="仿宋_GB2312" w:eastAsiaTheme="minorEastAsia"/>
          <w:sz w:val="28"/>
          <w:szCs w:val="28"/>
          <w:lang w:eastAsia="zh-CN"/>
        </w:rPr>
      </w:pPr>
      <w:r>
        <w:rPr>
          <w:rFonts w:hint="eastAsia" w:ascii="仿宋_GB2312" w:hAnsi="仿宋_GB2312" w:cs="仿宋_GB2312" w:eastAsiaTheme="minorEastAsia"/>
          <w:sz w:val="28"/>
          <w:szCs w:val="28"/>
          <w:lang w:eastAsia="zh-CN"/>
        </w:rPr>
        <w:t>十四、</w:t>
      </w:r>
      <w:r>
        <w:rPr>
          <w:rFonts w:hint="eastAsia" w:cs="仿宋_GB2312" w:asciiTheme="minorEastAsia" w:hAnsiTheme="minorEastAsia" w:eastAsiaTheme="minorEastAsia"/>
          <w:sz w:val="28"/>
          <w:szCs w:val="28"/>
        </w:rPr>
        <w:t>2021年</w:t>
      </w:r>
      <w:r>
        <w:rPr>
          <w:rFonts w:hint="eastAsia" w:ascii="仿宋_GB2312" w:hAnsi="仿宋_GB2312" w:cs="仿宋_GB2312" w:eastAsiaTheme="minorEastAsia"/>
          <w:sz w:val="28"/>
          <w:szCs w:val="28"/>
        </w:rPr>
        <w:t>度预算绩效情况说明</w:t>
      </w:r>
    </w:p>
    <w:p>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ascii="黑体" w:hAnsi="黑体" w:eastAsia="黑体" w:cs="黑体"/>
          <w:b/>
          <w:color w:val="000000"/>
          <w:kern w:val="0"/>
          <w:sz w:val="28"/>
          <w:szCs w:val="28"/>
        </w:rPr>
      </w:pPr>
      <w:r>
        <w:rPr>
          <w:rFonts w:ascii="黑体" w:hAnsi="黑体" w:eastAsia="黑体" w:cs="黑体"/>
          <w:b/>
          <w:color w:val="000000"/>
          <w:kern w:val="0"/>
          <w:sz w:val="28"/>
          <w:szCs w:val="28"/>
        </w:rPr>
        <w:t>第四部分</w:t>
      </w:r>
      <w:r>
        <w:rPr>
          <w:rFonts w:hint="eastAsia" w:ascii="黑体" w:hAnsi="黑体" w:eastAsia="黑体" w:cs="黑体"/>
          <w:b/>
          <w:color w:val="000000"/>
          <w:kern w:val="0"/>
          <w:sz w:val="28"/>
          <w:szCs w:val="28"/>
          <w:lang w:val="en-US" w:eastAsia="zh-CN"/>
        </w:rPr>
        <w:t xml:space="preserve"> </w:t>
      </w:r>
      <w:r>
        <w:rPr>
          <w:rFonts w:ascii="黑体" w:hAnsi="黑体" w:eastAsia="黑体" w:cs="黑体"/>
          <w:b/>
          <w:color w:val="000000"/>
          <w:kern w:val="0"/>
          <w:sz w:val="28"/>
          <w:szCs w:val="28"/>
        </w:rPr>
        <w:t>名词解释</w:t>
      </w:r>
    </w:p>
    <w:p>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w:t>
      </w:r>
      <w:r>
        <w:rPr>
          <w:rFonts w:hint="eastAsia" w:ascii="黑体" w:hAnsi="黑体" w:eastAsia="黑体" w:cs="黑体"/>
          <w:b/>
          <w:color w:val="000000"/>
          <w:kern w:val="0"/>
          <w:sz w:val="28"/>
          <w:szCs w:val="28"/>
          <w:lang w:val="en-US" w:eastAsia="zh-CN"/>
        </w:rPr>
        <w:t xml:space="preserve"> </w:t>
      </w:r>
      <w:r>
        <w:rPr>
          <w:rFonts w:hint="eastAsia" w:ascii="黑体" w:hAnsi="黑体" w:eastAsia="黑体" w:cs="黑体"/>
          <w:b/>
          <w:color w:val="000000"/>
          <w:kern w:val="0"/>
          <w:sz w:val="28"/>
          <w:szCs w:val="28"/>
        </w:rPr>
        <w:t>附件</w:t>
      </w:r>
    </w:p>
    <w:p>
      <w:pPr>
        <w:keepNext w:val="0"/>
        <w:keepLines w:val="0"/>
        <w:pageBreakBefore w:val="0"/>
        <w:widowControl w:val="0"/>
        <w:kinsoku/>
        <w:wordWrap/>
        <w:overflowPunct/>
        <w:topLinePunct w:val="0"/>
        <w:bidi w:val="0"/>
        <w:snapToGrid/>
        <w:spacing w:line="620" w:lineRule="exact"/>
        <w:jc w:val="center"/>
        <w:textAlignment w:val="auto"/>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2"/>
        <w:jc w:val="center"/>
        <w:rPr>
          <w:sz w:val="84"/>
          <w:szCs w:val="84"/>
        </w:rPr>
      </w:pPr>
      <w:r>
        <w:rPr>
          <w:rFonts w:hint="eastAsia"/>
          <w:sz w:val="84"/>
          <w:szCs w:val="84"/>
        </w:rPr>
        <w:t>第一部分</w:t>
      </w:r>
      <w:r>
        <w:rPr>
          <w:sz w:val="84"/>
          <w:szCs w:val="84"/>
        </w:rPr>
        <w:t xml:space="preserve"> </w:t>
      </w:r>
    </w:p>
    <w:p>
      <w:pPr>
        <w:pStyle w:val="12"/>
        <w:jc w:val="center"/>
        <w:rPr>
          <w:sz w:val="84"/>
          <w:szCs w:val="84"/>
        </w:rPr>
      </w:pPr>
    </w:p>
    <w:p>
      <w:pPr>
        <w:pStyle w:val="12"/>
        <w:jc w:val="center"/>
        <w:rPr>
          <w:sz w:val="84"/>
          <w:szCs w:val="84"/>
        </w:rPr>
      </w:pPr>
      <w:r>
        <w:rPr>
          <w:rFonts w:hint="eastAsia"/>
          <w:sz w:val="84"/>
          <w:szCs w:val="84"/>
        </w:rPr>
        <w:t>岳阳市建设工程造价站</w:t>
      </w:r>
      <w:r>
        <w:rPr>
          <w:rFonts w:hint="eastAsia"/>
          <w:sz w:val="84"/>
          <w:szCs w:val="84"/>
          <w:lang w:val="en-US" w:eastAsia="zh-CN"/>
        </w:rPr>
        <w:t xml:space="preserve"> </w:t>
      </w:r>
      <w:r>
        <w:rPr>
          <w:rFonts w:hint="eastAsia"/>
          <w:sz w:val="84"/>
          <w:szCs w:val="84"/>
        </w:rPr>
        <w:t>单位概况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3"/>
        <w:ind w:left="720" w:firstLine="0" w:firstLineChars="0"/>
        <w:jc w:val="left"/>
        <w:rPr>
          <w:rFonts w:ascii="黑体" w:hAnsi="黑体" w:eastAsia="黑体"/>
          <w:sz w:val="32"/>
          <w:szCs w:val="32"/>
        </w:rPr>
      </w:pPr>
    </w:p>
    <w:p>
      <w:pPr>
        <w:pStyle w:val="13"/>
        <w:ind w:left="720" w:firstLine="0" w:firstLineChars="0"/>
        <w:jc w:val="left"/>
        <w:rPr>
          <w:rFonts w:ascii="黑体" w:hAnsi="黑体" w:eastAsia="黑体"/>
          <w:sz w:val="32"/>
          <w:szCs w:val="32"/>
        </w:rPr>
      </w:pPr>
    </w:p>
    <w:p>
      <w:pPr>
        <w:pStyle w:val="13"/>
        <w:ind w:left="720" w:firstLine="0" w:firstLineChars="0"/>
        <w:jc w:val="left"/>
        <w:rPr>
          <w:rFonts w:ascii="黑体" w:hAnsi="黑体" w:eastAsia="黑体"/>
          <w:sz w:val="32"/>
          <w:szCs w:val="32"/>
        </w:rPr>
      </w:pPr>
    </w:p>
    <w:p>
      <w:pPr>
        <w:pStyle w:val="13"/>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widowControl/>
        <w:spacing w:line="450" w:lineRule="atLeast"/>
        <w:ind w:firstLine="624"/>
        <w:rPr>
          <w:rFonts w:asciiTheme="minorEastAsia" w:hAnsiTheme="minorEastAsia"/>
          <w:sz w:val="32"/>
          <w:szCs w:val="32"/>
        </w:rPr>
      </w:pPr>
      <w:r>
        <w:rPr>
          <w:rFonts w:hint="eastAsia" w:asciiTheme="minorEastAsia" w:hAnsiTheme="minorEastAsia"/>
          <w:sz w:val="32"/>
          <w:szCs w:val="32"/>
        </w:rPr>
        <w:t>（一）负责贯彻执行国家、省、市有关建设工程造价管理的法律、法规和规章；</w:t>
      </w:r>
    </w:p>
    <w:p>
      <w:pPr>
        <w:widowControl/>
        <w:spacing w:line="450" w:lineRule="atLeast"/>
        <w:ind w:firstLine="624"/>
        <w:rPr>
          <w:rFonts w:asciiTheme="minorEastAsia" w:hAnsiTheme="minorEastAsia"/>
          <w:sz w:val="32"/>
          <w:szCs w:val="32"/>
        </w:rPr>
      </w:pPr>
      <w:r>
        <w:rPr>
          <w:rFonts w:hint="eastAsia" w:asciiTheme="minorEastAsia" w:hAnsiTheme="minorEastAsia"/>
          <w:sz w:val="32"/>
          <w:szCs w:val="32"/>
        </w:rPr>
        <w:t>（二）负责全市工程发承包计价工作的管理，负责建设工程初步概算审查、招标控制价备案管理、施工合同备案管理，负责工程竣工结算审核报告备案管理，参与建设系统城市建设工程的造价控制与审核，调解造价纠纷，依法对建设工程发承包计价活动进行监督检查；</w:t>
      </w:r>
    </w:p>
    <w:p>
      <w:pPr>
        <w:widowControl/>
        <w:spacing w:line="450" w:lineRule="atLeast"/>
        <w:ind w:firstLine="624"/>
        <w:rPr>
          <w:rFonts w:asciiTheme="minorEastAsia" w:hAnsiTheme="minorEastAsia"/>
          <w:sz w:val="32"/>
          <w:szCs w:val="32"/>
        </w:rPr>
      </w:pPr>
      <w:r>
        <w:rPr>
          <w:rFonts w:hint="eastAsia" w:asciiTheme="minorEastAsia" w:hAnsiTheme="minorEastAsia"/>
          <w:sz w:val="32"/>
          <w:szCs w:val="32"/>
        </w:rPr>
        <w:t>（三）负责工程造价咨询市场的管理；负责建设工程计价依据的解释、补充工作，发布建设工程材料价格信息及人员工资、材料价格、机械台班费调整系数，对工程造价实行动态管理；</w:t>
      </w:r>
    </w:p>
    <w:p>
      <w:pPr>
        <w:widowControl/>
        <w:spacing w:line="450" w:lineRule="atLeast"/>
        <w:ind w:firstLine="624"/>
        <w:rPr>
          <w:rFonts w:asciiTheme="minorEastAsia" w:hAnsiTheme="minorEastAsia"/>
          <w:sz w:val="32"/>
          <w:szCs w:val="32"/>
        </w:rPr>
      </w:pPr>
      <w:r>
        <w:rPr>
          <w:rFonts w:hint="eastAsia" w:asciiTheme="minorEastAsia" w:hAnsiTheme="minorEastAsia"/>
          <w:sz w:val="32"/>
          <w:szCs w:val="32"/>
        </w:rPr>
        <w:t>（四）负责工程造价计算机软件的开发、管理，建立工程造价数据库，提供造价信息和咨询服务；</w:t>
      </w:r>
    </w:p>
    <w:p>
      <w:pPr>
        <w:widowControl/>
        <w:spacing w:line="450" w:lineRule="atLeast"/>
        <w:ind w:firstLine="624"/>
        <w:rPr>
          <w:rFonts w:asciiTheme="minorEastAsia" w:hAnsiTheme="minorEastAsia"/>
          <w:sz w:val="32"/>
          <w:szCs w:val="32"/>
        </w:rPr>
      </w:pPr>
      <w:r>
        <w:rPr>
          <w:rFonts w:hint="eastAsia" w:asciiTheme="minorEastAsia" w:hAnsiTheme="minorEastAsia"/>
          <w:sz w:val="32"/>
          <w:szCs w:val="32"/>
        </w:rPr>
        <w:t>（五）建立工程造价数据库，提供信息和咨询服务；</w:t>
      </w:r>
    </w:p>
    <w:p>
      <w:pPr>
        <w:widowControl/>
        <w:spacing w:line="450" w:lineRule="atLeast"/>
        <w:ind w:firstLine="624"/>
        <w:rPr>
          <w:rFonts w:asciiTheme="minorEastAsia" w:hAnsiTheme="minorEastAsia"/>
          <w:sz w:val="32"/>
          <w:szCs w:val="32"/>
        </w:rPr>
      </w:pPr>
      <w:r>
        <w:rPr>
          <w:rFonts w:hint="eastAsia" w:asciiTheme="minorEastAsia" w:hAnsiTheme="minorEastAsia"/>
          <w:sz w:val="32"/>
          <w:szCs w:val="32"/>
        </w:rPr>
        <w:t>（六）指导协调各县市区工程造价管理工作。</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450" w:lineRule="atLeast"/>
        <w:ind w:firstLine="640" w:firstLineChars="200"/>
        <w:rPr>
          <w:rFonts w:asciiTheme="minorEastAsia" w:hAnsiTheme="minorEastAsia"/>
          <w:sz w:val="32"/>
          <w:szCs w:val="32"/>
        </w:rPr>
      </w:pPr>
      <w:r>
        <w:rPr>
          <w:rFonts w:hint="eastAsia" w:asciiTheme="minorEastAsia" w:hAnsiTheme="minorEastAsia"/>
          <w:sz w:val="32"/>
          <w:szCs w:val="32"/>
        </w:rPr>
        <w:t>（一）内设机构设置。岳阳市建设工程造价站202</w:t>
      </w:r>
      <w:r>
        <w:rPr>
          <w:rFonts w:hint="eastAsia" w:asciiTheme="minorEastAsia" w:hAnsiTheme="minorEastAsia"/>
          <w:sz w:val="32"/>
          <w:szCs w:val="32"/>
          <w:lang w:val="en-US" w:eastAsia="zh-CN"/>
        </w:rPr>
        <w:t>1</w:t>
      </w:r>
      <w:r>
        <w:rPr>
          <w:rFonts w:hint="eastAsia" w:asciiTheme="minorEastAsia" w:hAnsiTheme="minorEastAsia"/>
          <w:sz w:val="32"/>
          <w:szCs w:val="32"/>
        </w:rPr>
        <w:t>年内设机构3个：</w:t>
      </w:r>
    </w:p>
    <w:p>
      <w:pPr>
        <w:widowControl/>
        <w:spacing w:line="450" w:lineRule="atLeast"/>
        <w:ind w:firstLine="624"/>
        <w:rPr>
          <w:rFonts w:asciiTheme="minorEastAsia" w:hAnsiTheme="minorEastAsia"/>
          <w:sz w:val="32"/>
          <w:szCs w:val="32"/>
        </w:rPr>
      </w:pPr>
      <w:r>
        <w:rPr>
          <w:rFonts w:hint="eastAsia" w:asciiTheme="minorEastAsia" w:hAnsiTheme="minorEastAsia"/>
          <w:sz w:val="32"/>
          <w:szCs w:val="32"/>
        </w:rPr>
        <w:t>（1）综合室负责拟定工作计划并组织实施；负责会务、文电、党建、人事、财务、宣传、档案、后勤保障和工青妇等工作。</w:t>
      </w:r>
    </w:p>
    <w:p>
      <w:pPr>
        <w:widowControl/>
        <w:spacing w:line="450" w:lineRule="atLeast"/>
        <w:ind w:firstLine="624"/>
        <w:rPr>
          <w:rFonts w:asciiTheme="minorEastAsia" w:hAnsiTheme="minorEastAsia"/>
          <w:sz w:val="32"/>
          <w:szCs w:val="32"/>
        </w:rPr>
      </w:pPr>
      <w:r>
        <w:rPr>
          <w:rFonts w:hint="eastAsia" w:asciiTheme="minorEastAsia" w:hAnsiTheme="minorEastAsia"/>
          <w:sz w:val="32"/>
          <w:szCs w:val="32"/>
        </w:rPr>
        <w:t>（2）技术室负责建设工程设计概算审查、招标控制价备案、竣工结算审核报告备案和施工合同备案的日常管理工作；负责工程造价问题信访接待、解释及工程造价纠纷的调解处理工作；负责工程造价计算机软件市场的监管工作。</w:t>
      </w:r>
    </w:p>
    <w:p>
      <w:pPr>
        <w:widowControl/>
        <w:spacing w:line="600" w:lineRule="exact"/>
        <w:rPr>
          <w:rFonts w:hint="eastAsia" w:asciiTheme="minorEastAsia" w:hAnsiTheme="minorEastAsia"/>
          <w:sz w:val="32"/>
          <w:szCs w:val="32"/>
        </w:rPr>
      </w:pPr>
      <w:r>
        <w:rPr>
          <w:rFonts w:hint="eastAsia" w:asciiTheme="minorEastAsia" w:hAnsiTheme="minorEastAsia"/>
          <w:sz w:val="32"/>
          <w:szCs w:val="32"/>
        </w:rPr>
        <w:t>（3）计价室负责建设工程发承包计价活动的业务监督；负责工程造价资料的收集、整理及定额、补充单位估价表的编制工作；负责建设工程材料价格的调查、测算、发布工作。</w:t>
      </w:r>
    </w:p>
    <w:p>
      <w:pPr>
        <w:widowControl/>
        <w:spacing w:line="600" w:lineRule="exact"/>
        <w:rPr>
          <w:rFonts w:hint="default" w:asciiTheme="minorEastAsia" w:hAnsiTheme="minorEastAsia" w:eastAsiaTheme="minorEastAsia"/>
          <w:sz w:val="32"/>
          <w:szCs w:val="32"/>
          <w:lang w:val="en-US" w:eastAsia="zh-CN"/>
        </w:rPr>
      </w:pPr>
      <w:r>
        <w:rPr>
          <w:rFonts w:hint="eastAsia" w:asciiTheme="minorEastAsia" w:hAnsiTheme="minorEastAsia"/>
          <w:sz w:val="32"/>
          <w:szCs w:val="32"/>
          <w:lang w:val="en-US" w:eastAsia="zh-CN"/>
        </w:rPr>
        <w:t xml:space="preserve"> </w:t>
      </w:r>
      <w:r>
        <w:rPr>
          <w:rFonts w:hint="eastAsia" w:asciiTheme="minorEastAsia" w:hAnsiTheme="minorEastAsia"/>
          <w:sz w:val="32"/>
          <w:szCs w:val="32"/>
        </w:rPr>
        <w:t>（二）决算单位构成。202</w:t>
      </w:r>
      <w:r>
        <w:rPr>
          <w:rFonts w:hint="eastAsia" w:asciiTheme="minorEastAsia" w:hAnsiTheme="minorEastAsia"/>
          <w:sz w:val="32"/>
          <w:szCs w:val="32"/>
          <w:lang w:val="en-US" w:eastAsia="zh-CN"/>
        </w:rPr>
        <w:t>1</w:t>
      </w:r>
      <w:r>
        <w:rPr>
          <w:rFonts w:hint="eastAsia" w:asciiTheme="minorEastAsia" w:hAnsiTheme="minorEastAsia"/>
          <w:sz w:val="32"/>
          <w:szCs w:val="32"/>
        </w:rPr>
        <w:t>年部门决算汇总公开单位构成由岳阳市建设工程造价站独立构成</w:t>
      </w:r>
      <w:r>
        <w:rPr>
          <w:rFonts w:hint="eastAsia" w:asciiTheme="minorEastAsia" w:hAnsiTheme="minorEastAsia"/>
          <w:sz w:val="32"/>
          <w:szCs w:val="32"/>
          <w:lang w:eastAsia="zh-CN"/>
        </w:rPr>
        <w:t>，无下属单位</w:t>
      </w:r>
      <w:r>
        <w:rPr>
          <w:rFonts w:hint="eastAsia" w:asciiTheme="minorEastAsia" w:hAnsiTheme="minorEastAsia"/>
          <w:sz w:val="32"/>
          <w:szCs w:val="32"/>
        </w:rPr>
        <w:t>。</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rFonts w:hint="eastAsia"/>
          <w:sz w:val="72"/>
          <w:szCs w:val="72"/>
        </w:rPr>
      </w:pPr>
      <w:r>
        <w:rPr>
          <w:rFonts w:hint="eastAsia"/>
          <w:sz w:val="72"/>
          <w:szCs w:val="72"/>
        </w:rPr>
        <w:t>部门决算表</w:t>
      </w:r>
    </w:p>
    <w:p>
      <w:pPr>
        <w:jc w:val="center"/>
        <w:rPr>
          <w:rFonts w:hint="eastAsia" w:eastAsiaTheme="minorEastAsia"/>
          <w:sz w:val="72"/>
          <w:szCs w:val="72"/>
          <w:lang w:eastAsia="zh-CN"/>
        </w:rPr>
      </w:pPr>
      <w:r>
        <w:rPr>
          <w:rFonts w:hint="eastAsia"/>
          <w:sz w:val="72"/>
          <w:szCs w:val="72"/>
          <w:lang w:eastAsia="zh-CN"/>
        </w:rPr>
        <w:t>（见附件）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pStyle w:val="12"/>
        <w:jc w:val="both"/>
        <w:rPr>
          <w:sz w:val="72"/>
          <w:szCs w:val="72"/>
        </w:rPr>
      </w:pPr>
    </w:p>
    <w:p>
      <w:pPr>
        <w:pStyle w:val="12"/>
        <w:jc w:val="center"/>
        <w:rPr>
          <w:sz w:val="72"/>
          <w:szCs w:val="72"/>
        </w:rPr>
      </w:pPr>
    </w:p>
    <w:p>
      <w:pPr>
        <w:pStyle w:val="12"/>
        <w:jc w:val="center"/>
        <w:rPr>
          <w:sz w:val="72"/>
          <w:szCs w:val="72"/>
        </w:rPr>
      </w:pPr>
      <w:r>
        <w:rPr>
          <w:rFonts w:hint="eastAsia"/>
          <w:sz w:val="72"/>
          <w:szCs w:val="72"/>
        </w:rPr>
        <w:t>第三部分</w:t>
      </w:r>
    </w:p>
    <w:p>
      <w:pPr>
        <w:pStyle w:val="12"/>
        <w:jc w:val="center"/>
        <w:rPr>
          <w:sz w:val="70"/>
          <w:szCs w:val="70"/>
        </w:rPr>
      </w:pPr>
    </w:p>
    <w:p>
      <w:pPr>
        <w:pStyle w:val="12"/>
        <w:jc w:val="center"/>
        <w:rPr>
          <w:sz w:val="70"/>
          <w:szCs w:val="70"/>
        </w:rPr>
      </w:pPr>
      <w:r>
        <w:rPr>
          <w:sz w:val="70"/>
          <w:szCs w:val="70"/>
        </w:rPr>
        <w:t>20</w:t>
      </w:r>
      <w:r>
        <w:rPr>
          <w:rFonts w:hint="eastAsia"/>
          <w:sz w:val="70"/>
          <w:szCs w:val="70"/>
        </w:rPr>
        <w:t>21年度部门决算情况说明</w:t>
      </w:r>
    </w:p>
    <w:p>
      <w:pPr>
        <w:widowControl/>
        <w:jc w:val="left"/>
        <w:rPr>
          <w:rFonts w:ascii="黑体" w:eastAsia="黑体" w:cs="黑体"/>
          <w:color w:val="000000"/>
          <w:kern w:val="0"/>
          <w:sz w:val="70"/>
          <w:szCs w:val="70"/>
        </w:rPr>
      </w:pPr>
      <w:r>
        <w:rPr>
          <w:sz w:val="70"/>
          <w:szCs w:val="70"/>
        </w:rPr>
        <w:br w:type="page"/>
      </w:r>
    </w:p>
    <w:p>
      <w:pPr>
        <w:pStyle w:val="12"/>
        <w:rPr>
          <w:rFonts w:asciiTheme="minorEastAsia" w:hAnsiTheme="minorEastAsia" w:eastAsiaTheme="minorEastAsia"/>
          <w:sz w:val="32"/>
          <w:szCs w:val="32"/>
        </w:rPr>
      </w:pPr>
    </w:p>
    <w:p>
      <w:pPr>
        <w:pStyle w:val="12"/>
        <w:rPr>
          <w:rFonts w:hAnsi="黑体"/>
          <w:b/>
          <w:sz w:val="32"/>
          <w:szCs w:val="32"/>
        </w:rPr>
      </w:pPr>
      <w:r>
        <w:rPr>
          <w:rFonts w:hint="eastAsia" w:hAnsi="黑体"/>
          <w:b/>
          <w:sz w:val="32"/>
          <w:szCs w:val="32"/>
        </w:rPr>
        <w:t>一、收入支出决算总体情况说明</w:t>
      </w:r>
    </w:p>
    <w:p>
      <w:pPr>
        <w:widowControl/>
        <w:spacing w:line="450" w:lineRule="atLeast"/>
        <w:ind w:firstLine="624"/>
        <w:rPr>
          <w:rFonts w:hint="eastAsia" w:asciiTheme="minorEastAsia" w:hAnsiTheme="minorEastAsia" w:eastAsiaTheme="minorEastAsia"/>
          <w:sz w:val="32"/>
          <w:szCs w:val="32"/>
          <w:highlight w:val="none"/>
          <w:lang w:eastAsia="zh-CN"/>
        </w:rPr>
      </w:pPr>
      <w:r>
        <w:rPr>
          <w:rFonts w:hint="eastAsia" w:asciiTheme="minorEastAsia" w:hAnsiTheme="minorEastAsia"/>
          <w:sz w:val="32"/>
          <w:szCs w:val="32"/>
          <w:highlight w:val="none"/>
        </w:rPr>
        <w:t>202</w:t>
      </w:r>
      <w:r>
        <w:rPr>
          <w:rFonts w:hint="eastAsia" w:asciiTheme="minorEastAsia" w:hAnsiTheme="minorEastAsia"/>
          <w:sz w:val="32"/>
          <w:szCs w:val="32"/>
          <w:highlight w:val="none"/>
          <w:lang w:val="en-US" w:eastAsia="zh-CN"/>
        </w:rPr>
        <w:t>1</w:t>
      </w:r>
      <w:r>
        <w:rPr>
          <w:rFonts w:hint="eastAsia" w:asciiTheme="minorEastAsia" w:hAnsiTheme="minorEastAsia"/>
          <w:sz w:val="32"/>
          <w:szCs w:val="32"/>
          <w:highlight w:val="none"/>
        </w:rPr>
        <w:t>年度收</w:t>
      </w:r>
      <w:r>
        <w:rPr>
          <w:rFonts w:hint="eastAsia" w:asciiTheme="minorEastAsia" w:hAnsiTheme="minorEastAsia"/>
          <w:sz w:val="32"/>
          <w:szCs w:val="32"/>
          <w:highlight w:val="none"/>
          <w:lang w:eastAsia="zh-CN"/>
        </w:rPr>
        <w:t>、支</w:t>
      </w:r>
      <w:r>
        <w:rPr>
          <w:rFonts w:hint="eastAsia" w:asciiTheme="minorEastAsia" w:hAnsiTheme="minorEastAsia"/>
          <w:sz w:val="32"/>
          <w:szCs w:val="32"/>
          <w:highlight w:val="none"/>
        </w:rPr>
        <w:t>总计</w:t>
      </w:r>
      <w:r>
        <w:rPr>
          <w:rFonts w:hint="eastAsia" w:asciiTheme="minorEastAsia" w:hAnsiTheme="minorEastAsia"/>
          <w:sz w:val="32"/>
          <w:szCs w:val="32"/>
          <w:highlight w:val="none"/>
          <w:lang w:val="en-US" w:eastAsia="zh-CN"/>
        </w:rPr>
        <w:t>209.82</w:t>
      </w:r>
      <w:r>
        <w:rPr>
          <w:rFonts w:hint="eastAsia" w:asciiTheme="minorEastAsia" w:hAnsiTheme="minorEastAsia"/>
          <w:sz w:val="32"/>
          <w:szCs w:val="32"/>
          <w:highlight w:val="none"/>
        </w:rPr>
        <w:t>万元，与上年相比，</w:t>
      </w:r>
      <w:r>
        <w:rPr>
          <w:rFonts w:hint="eastAsia" w:asciiTheme="minorEastAsia" w:hAnsiTheme="minorEastAsia"/>
          <w:sz w:val="32"/>
          <w:szCs w:val="32"/>
          <w:highlight w:val="none"/>
          <w:lang w:val="en-US" w:eastAsia="zh-CN"/>
        </w:rPr>
        <w:t>增加92.25</w:t>
      </w:r>
      <w:r>
        <w:rPr>
          <w:rFonts w:hint="eastAsia" w:asciiTheme="minorEastAsia" w:hAnsiTheme="minorEastAsia"/>
          <w:sz w:val="32"/>
          <w:szCs w:val="32"/>
          <w:highlight w:val="none"/>
        </w:rPr>
        <w:t>万元，</w:t>
      </w:r>
      <w:r>
        <w:rPr>
          <w:rFonts w:hint="eastAsia" w:asciiTheme="minorEastAsia" w:hAnsiTheme="minorEastAsia"/>
          <w:sz w:val="32"/>
          <w:szCs w:val="32"/>
          <w:highlight w:val="none"/>
          <w:lang w:val="en-US" w:eastAsia="zh-CN"/>
        </w:rPr>
        <w:t>增长78.46</w:t>
      </w:r>
      <w:r>
        <w:rPr>
          <w:rFonts w:hint="eastAsia" w:asciiTheme="minorEastAsia" w:hAnsiTheme="minorEastAsia"/>
          <w:sz w:val="32"/>
          <w:szCs w:val="32"/>
          <w:highlight w:val="none"/>
        </w:rPr>
        <w:t>%，主要是因为</w:t>
      </w:r>
      <w:r>
        <w:rPr>
          <w:rFonts w:hint="eastAsia" w:asciiTheme="minorEastAsia" w:hAnsiTheme="minorEastAsia"/>
          <w:sz w:val="32"/>
          <w:szCs w:val="32"/>
          <w:highlight w:val="none"/>
          <w:lang w:val="en-US" w:eastAsia="zh-CN"/>
        </w:rPr>
        <w:t>增加了工作项目，同时增加了工作经费。</w:t>
      </w:r>
    </w:p>
    <w:p>
      <w:pPr>
        <w:pStyle w:val="12"/>
        <w:rPr>
          <w:rFonts w:hAnsi="黑体"/>
          <w:b/>
          <w:sz w:val="32"/>
          <w:szCs w:val="32"/>
        </w:rPr>
      </w:pPr>
      <w:r>
        <w:rPr>
          <w:rFonts w:hint="eastAsia" w:hAnsi="黑体"/>
          <w:b/>
          <w:sz w:val="32"/>
          <w:szCs w:val="32"/>
        </w:rPr>
        <w:t>二、收入决算情况说明</w:t>
      </w:r>
    </w:p>
    <w:p>
      <w:pPr>
        <w:pStyle w:val="12"/>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2021年度</w:t>
      </w:r>
      <w:r>
        <w:rPr>
          <w:rFonts w:hint="eastAsia" w:asciiTheme="minorEastAsia" w:hAnsiTheme="minorEastAsia" w:eastAsiaTheme="minorEastAsia"/>
          <w:sz w:val="32"/>
          <w:szCs w:val="32"/>
        </w:rPr>
        <w:t>收入合计</w:t>
      </w:r>
      <w:r>
        <w:rPr>
          <w:rFonts w:hint="eastAsia" w:asciiTheme="minorEastAsia" w:hAnsiTheme="minorEastAsia" w:eastAsiaTheme="minorEastAsia"/>
          <w:sz w:val="32"/>
          <w:szCs w:val="32"/>
          <w:lang w:val="en-US" w:eastAsia="zh-CN"/>
        </w:rPr>
        <w:t>206.17</w:t>
      </w:r>
      <w:r>
        <w:rPr>
          <w:rFonts w:hint="eastAsia" w:asciiTheme="minorEastAsia" w:hAnsiTheme="minorEastAsia" w:eastAsiaTheme="minorEastAsia"/>
          <w:sz w:val="32"/>
          <w:szCs w:val="32"/>
        </w:rPr>
        <w:t>万元，其中：财政拨款收入</w:t>
      </w:r>
      <w:r>
        <w:rPr>
          <w:rFonts w:hint="eastAsia" w:asciiTheme="minorEastAsia" w:hAnsiTheme="minorEastAsia" w:eastAsiaTheme="minorEastAsia"/>
          <w:sz w:val="32"/>
          <w:szCs w:val="32"/>
          <w:lang w:val="en-US" w:eastAsia="zh-CN"/>
        </w:rPr>
        <w:t>206.17</w:t>
      </w:r>
      <w:r>
        <w:rPr>
          <w:rFonts w:hint="eastAsia" w:asciiTheme="minorEastAsia" w:hAnsiTheme="minorEastAsia" w:eastAsiaTheme="minorEastAsia"/>
          <w:sz w:val="32"/>
          <w:szCs w:val="32"/>
        </w:rPr>
        <w:t>万元，占100%；上级补助收入0万元，占0%；事业收入0万元，占0%；经营收入0万元，占0%；附属单位上缴收入0万元，占0%；其他收入0万元，占0%。</w:t>
      </w:r>
    </w:p>
    <w:p>
      <w:pPr>
        <w:pStyle w:val="12"/>
        <w:rPr>
          <w:rFonts w:hint="eastAsia" w:asciiTheme="minorEastAsia" w:hAnsiTheme="minorEastAsia" w:eastAsiaTheme="minorEastAsia"/>
          <w:b w:val="0"/>
          <w:bCs w:val="0"/>
          <w:i/>
          <w:iCs/>
          <w:sz w:val="36"/>
          <w:szCs w:val="36"/>
        </w:rPr>
      </w:pPr>
    </w:p>
    <w:p>
      <w:pPr>
        <w:pStyle w:val="12"/>
        <w:rPr>
          <w:rFonts w:hAnsi="黑体"/>
          <w:b/>
          <w:sz w:val="32"/>
          <w:szCs w:val="32"/>
        </w:rPr>
      </w:pPr>
      <w:r>
        <w:rPr>
          <w:rFonts w:hint="eastAsia" w:hAnsi="黑体"/>
          <w:b/>
          <w:sz w:val="32"/>
          <w:szCs w:val="32"/>
        </w:rPr>
        <w:t>三、支出决算情况说明</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2021年度</w:t>
      </w:r>
      <w:r>
        <w:rPr>
          <w:rFonts w:hint="eastAsia" w:asciiTheme="minorEastAsia" w:hAnsiTheme="minorEastAsia" w:eastAsiaTheme="minorEastAsia"/>
          <w:sz w:val="32"/>
          <w:szCs w:val="32"/>
        </w:rPr>
        <w:t>支出合计</w:t>
      </w:r>
      <w:r>
        <w:rPr>
          <w:rFonts w:hint="eastAsia" w:asciiTheme="minorEastAsia" w:hAnsiTheme="minorEastAsia" w:eastAsiaTheme="minorEastAsia"/>
          <w:sz w:val="32"/>
          <w:szCs w:val="32"/>
          <w:lang w:val="en-US" w:eastAsia="zh-CN"/>
        </w:rPr>
        <w:t>209.82</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209.82</w:t>
      </w:r>
      <w:r>
        <w:rPr>
          <w:rFonts w:hint="eastAsia" w:asciiTheme="minorEastAsia" w:hAnsiTheme="minorEastAsia" w:eastAsiaTheme="minorEastAsia"/>
          <w:sz w:val="32"/>
          <w:szCs w:val="32"/>
        </w:rPr>
        <w:t>万元，占100%；项目支出0万元，占0%；上缴上级支出0万元，占0%；经营支出0万元，占0%；对附属单位补助支出0万元，占0%。</w:t>
      </w:r>
    </w:p>
    <w:p>
      <w:pPr>
        <w:pStyle w:val="12"/>
        <w:ind w:firstLine="640" w:firstLineChars="200"/>
        <w:rPr>
          <w:rFonts w:hint="eastAsia" w:asciiTheme="minorEastAsia" w:hAnsiTheme="minorEastAsia" w:eastAsiaTheme="minorEastAsia"/>
          <w:sz w:val="32"/>
          <w:szCs w:val="32"/>
        </w:rPr>
      </w:pPr>
    </w:p>
    <w:p>
      <w:pPr>
        <w:pStyle w:val="12"/>
        <w:rPr>
          <w:rFonts w:hAnsi="黑体"/>
          <w:b/>
          <w:sz w:val="32"/>
          <w:szCs w:val="32"/>
          <w:highlight w:val="none"/>
        </w:rPr>
      </w:pPr>
      <w:r>
        <w:rPr>
          <w:rFonts w:hint="eastAsia" w:hAnsi="黑体"/>
          <w:b/>
          <w:sz w:val="32"/>
          <w:szCs w:val="32"/>
          <w:highlight w:val="none"/>
        </w:rPr>
        <w:t>四、财政拨款收入支出决算总体情况说明</w:t>
      </w:r>
    </w:p>
    <w:p>
      <w:pPr>
        <w:pStyle w:val="12"/>
        <w:ind w:firstLine="640" w:firstLineChars="200"/>
        <w:rPr>
          <w:rFonts w:asciiTheme="minorEastAsia" w:hAnsiTheme="minorEastAsia" w:eastAsiaTheme="minorEastAsia"/>
          <w:i/>
          <w:iCs/>
          <w:sz w:val="32"/>
          <w:szCs w:val="32"/>
          <w:highlight w:val="none"/>
        </w:rPr>
      </w:pPr>
      <w:r>
        <w:rPr>
          <w:rFonts w:hint="eastAsia" w:asciiTheme="minorEastAsia" w:hAnsiTheme="minorEastAsia" w:eastAsiaTheme="minorEastAsia"/>
          <w:sz w:val="32"/>
          <w:szCs w:val="32"/>
          <w:highlight w:val="none"/>
        </w:rPr>
        <w:t>20</w:t>
      </w:r>
      <w:r>
        <w:rPr>
          <w:rFonts w:hint="eastAsia" w:asciiTheme="minorEastAsia" w:hAnsiTheme="minorEastAsia" w:eastAsiaTheme="minorEastAsia"/>
          <w:sz w:val="32"/>
          <w:szCs w:val="32"/>
        </w:rPr>
        <w:t>2</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年度财政拨款收</w:t>
      </w:r>
      <w:r>
        <w:rPr>
          <w:rFonts w:hint="eastAsia" w:asciiTheme="minorEastAsia" w:hAnsiTheme="minorEastAsia" w:eastAsiaTheme="minorEastAsia"/>
          <w:sz w:val="32"/>
          <w:szCs w:val="32"/>
          <w:lang w:eastAsia="zh-CN"/>
        </w:rPr>
        <w:t>、支</w:t>
      </w:r>
      <w:r>
        <w:rPr>
          <w:rFonts w:hint="eastAsia" w:asciiTheme="minorEastAsia" w:hAnsiTheme="minorEastAsia" w:eastAsiaTheme="minorEastAsia"/>
          <w:sz w:val="32"/>
          <w:szCs w:val="32"/>
        </w:rPr>
        <w:t>总计</w:t>
      </w:r>
      <w:r>
        <w:rPr>
          <w:rFonts w:hint="eastAsia" w:asciiTheme="minorEastAsia" w:hAnsiTheme="minorEastAsia" w:eastAsiaTheme="minorEastAsia"/>
          <w:sz w:val="32"/>
          <w:szCs w:val="32"/>
          <w:lang w:val="en-US" w:eastAsia="zh-CN"/>
        </w:rPr>
        <w:t>209.82</w:t>
      </w:r>
      <w:r>
        <w:rPr>
          <w:rFonts w:hint="eastAsia" w:asciiTheme="minorEastAsia" w:hAnsiTheme="minorEastAsia" w:eastAsiaTheme="minorEastAsia"/>
          <w:sz w:val="32"/>
          <w:szCs w:val="32"/>
        </w:rPr>
        <w:t>万元，与上年相比，</w:t>
      </w:r>
      <w:r>
        <w:rPr>
          <w:rFonts w:hint="eastAsia" w:asciiTheme="minorEastAsia" w:hAnsiTheme="minorEastAsia" w:eastAsiaTheme="minorEastAsia"/>
          <w:sz w:val="32"/>
          <w:szCs w:val="32"/>
          <w:lang w:val="en-US" w:eastAsia="zh-CN"/>
        </w:rPr>
        <w:t>增加92.25</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增长78.46</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val="en-US" w:eastAsia="zh-CN"/>
        </w:rPr>
        <w:t>增加了工</w:t>
      </w:r>
      <w:r>
        <w:rPr>
          <w:rFonts w:hint="eastAsia" w:asciiTheme="minorEastAsia" w:hAnsiTheme="minorEastAsia" w:eastAsiaTheme="minorEastAsia"/>
          <w:sz w:val="32"/>
          <w:szCs w:val="32"/>
          <w:highlight w:val="none"/>
          <w:lang w:val="en-US" w:eastAsia="zh-CN"/>
        </w:rPr>
        <w:t>作项目，同时增加了工作经费。</w:t>
      </w:r>
    </w:p>
    <w:p>
      <w:pPr>
        <w:pStyle w:val="12"/>
        <w:rPr>
          <w:rFonts w:hAnsi="黑体"/>
          <w:b/>
          <w:sz w:val="32"/>
          <w:szCs w:val="32"/>
        </w:rPr>
      </w:pPr>
      <w:r>
        <w:rPr>
          <w:rFonts w:hint="eastAsia" w:hAnsi="黑体"/>
          <w:b/>
          <w:sz w:val="32"/>
          <w:szCs w:val="32"/>
        </w:rPr>
        <w:t>五、一般公共预算财政拨款支出决算情况说明</w:t>
      </w:r>
    </w:p>
    <w:p>
      <w:pPr>
        <w:pStyle w:val="12"/>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12"/>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年度财政拨款支出</w:t>
      </w:r>
      <w:r>
        <w:rPr>
          <w:rFonts w:hint="eastAsia" w:asciiTheme="minorEastAsia" w:hAnsiTheme="minorEastAsia" w:eastAsiaTheme="minorEastAsia"/>
          <w:sz w:val="32"/>
          <w:szCs w:val="32"/>
          <w:lang w:val="en-US" w:eastAsia="zh-CN"/>
        </w:rPr>
        <w:t>209.82</w:t>
      </w:r>
      <w:r>
        <w:rPr>
          <w:rFonts w:hint="eastAsia" w:asciiTheme="minorEastAsia" w:hAnsiTheme="minorEastAsia" w:eastAsiaTheme="minorEastAsia"/>
          <w:sz w:val="32"/>
          <w:szCs w:val="32"/>
        </w:rPr>
        <w:t>万元，占本年支出合计的100%，与上年相比，财政拨款支出</w:t>
      </w:r>
      <w:r>
        <w:rPr>
          <w:rFonts w:hint="eastAsia" w:asciiTheme="minorEastAsia" w:hAnsiTheme="minorEastAsia" w:eastAsiaTheme="minorEastAsia"/>
          <w:sz w:val="32"/>
          <w:szCs w:val="32"/>
          <w:lang w:val="en-US" w:eastAsia="zh-CN"/>
        </w:rPr>
        <w:t>增加95.9</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增加84.18</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val="en-US" w:eastAsia="zh-CN"/>
        </w:rPr>
        <w:t>工作量大幅增加，相对应的工作经费支出增加</w:t>
      </w:r>
      <w:r>
        <w:rPr>
          <w:rFonts w:hint="eastAsia" w:asciiTheme="minorEastAsia" w:hAnsiTheme="minorEastAsia" w:eastAsiaTheme="minorEastAsia"/>
          <w:sz w:val="32"/>
          <w:szCs w:val="32"/>
        </w:rPr>
        <w:t>。</w:t>
      </w:r>
    </w:p>
    <w:p>
      <w:pPr>
        <w:pStyle w:val="12"/>
        <w:rPr>
          <w:rFonts w:asciiTheme="minorEastAsia" w:hAnsiTheme="minorEastAsia" w:eastAsiaTheme="minorEastAsia"/>
          <w:i/>
          <w:iCs/>
          <w:sz w:val="32"/>
          <w:szCs w:val="32"/>
        </w:rPr>
      </w:pPr>
    </w:p>
    <w:p>
      <w:pPr>
        <w:pStyle w:val="12"/>
        <w:ind w:firstLine="480" w:firstLineChars="150"/>
        <w:rPr>
          <w:rFonts w:asciiTheme="minorEastAsia" w:hAnsiTheme="minorEastAsia" w:eastAsiaTheme="minorEastAsia"/>
          <w:b/>
          <w:sz w:val="32"/>
          <w:szCs w:val="32"/>
          <w:highlight w:val="none"/>
        </w:rPr>
      </w:pPr>
      <w:r>
        <w:rPr>
          <w:rFonts w:hint="eastAsia" w:asciiTheme="minorEastAsia" w:hAnsiTheme="minorEastAsia" w:eastAsiaTheme="minorEastAsia"/>
          <w:b/>
          <w:sz w:val="32"/>
          <w:szCs w:val="32"/>
          <w:highlight w:val="none"/>
        </w:rPr>
        <w:t>（二）财政拨款支出决算结构情况</w:t>
      </w:r>
    </w:p>
    <w:p>
      <w:pPr>
        <w:pStyle w:val="12"/>
        <w:ind w:firstLine="640" w:firstLineChars="200"/>
        <w:rPr>
          <w:rFonts w:hint="default" w:asciiTheme="minorEastAsia" w:hAnsiTheme="minorEastAsia" w:eastAsiaTheme="minorEastAsia"/>
          <w:sz w:val="32"/>
          <w:szCs w:val="32"/>
          <w:highlight w:val="none"/>
          <w:lang w:val="en-US" w:eastAsia="zh-CN"/>
        </w:rPr>
      </w:pPr>
      <w:r>
        <w:rPr>
          <w:rFonts w:hint="eastAsia" w:asciiTheme="minorEastAsia" w:hAnsiTheme="minorEastAsia" w:eastAsiaTheme="minorEastAsia"/>
          <w:sz w:val="32"/>
          <w:szCs w:val="32"/>
          <w:highlight w:val="none"/>
        </w:rPr>
        <w:t>202</w:t>
      </w:r>
      <w:r>
        <w:rPr>
          <w:rFonts w:hint="eastAsia" w:asciiTheme="minorEastAsia" w:hAnsiTheme="minorEastAsia" w:eastAsiaTheme="minorEastAsia"/>
          <w:sz w:val="32"/>
          <w:szCs w:val="32"/>
          <w:highlight w:val="none"/>
          <w:lang w:val="en-US" w:eastAsia="zh-CN"/>
        </w:rPr>
        <w:t>1</w:t>
      </w:r>
      <w:r>
        <w:rPr>
          <w:rFonts w:hint="eastAsia" w:asciiTheme="minorEastAsia" w:hAnsiTheme="minorEastAsia" w:eastAsiaTheme="minorEastAsia"/>
          <w:sz w:val="32"/>
          <w:szCs w:val="32"/>
          <w:highlight w:val="none"/>
        </w:rPr>
        <w:t>年度财政拨款支出</w:t>
      </w:r>
      <w:r>
        <w:rPr>
          <w:rFonts w:hint="eastAsia" w:asciiTheme="minorEastAsia" w:hAnsiTheme="minorEastAsia" w:eastAsiaTheme="minorEastAsia"/>
          <w:sz w:val="32"/>
          <w:szCs w:val="32"/>
          <w:highlight w:val="none"/>
          <w:lang w:val="en-US" w:eastAsia="zh-CN"/>
        </w:rPr>
        <w:t>209.82</w:t>
      </w:r>
      <w:r>
        <w:rPr>
          <w:rFonts w:hint="eastAsia" w:asciiTheme="minorEastAsia" w:hAnsiTheme="minorEastAsia" w:eastAsiaTheme="minorEastAsia"/>
          <w:sz w:val="32"/>
          <w:szCs w:val="32"/>
          <w:highlight w:val="none"/>
        </w:rPr>
        <w:t>万元，主要用于以下方面：一般公共服务（类）支出0万元，占0%；教育（类）支出0万元，占0%;卫生健康（类）支出5.</w:t>
      </w:r>
      <w:r>
        <w:rPr>
          <w:rFonts w:hint="eastAsia" w:asciiTheme="minorEastAsia" w:hAnsiTheme="minorEastAsia" w:eastAsiaTheme="minorEastAsia"/>
          <w:sz w:val="32"/>
          <w:szCs w:val="32"/>
          <w:highlight w:val="none"/>
          <w:lang w:val="en-US" w:eastAsia="zh-CN"/>
        </w:rPr>
        <w:t>58</w:t>
      </w:r>
      <w:r>
        <w:rPr>
          <w:rFonts w:hint="eastAsia" w:asciiTheme="minorEastAsia" w:hAnsiTheme="minorEastAsia" w:eastAsiaTheme="minorEastAsia"/>
          <w:sz w:val="32"/>
          <w:szCs w:val="32"/>
          <w:highlight w:val="none"/>
        </w:rPr>
        <w:t>万元，占</w:t>
      </w:r>
      <w:r>
        <w:rPr>
          <w:rFonts w:hint="eastAsia" w:asciiTheme="minorEastAsia" w:hAnsiTheme="minorEastAsia" w:eastAsiaTheme="minorEastAsia"/>
          <w:sz w:val="32"/>
          <w:szCs w:val="32"/>
          <w:highlight w:val="none"/>
          <w:lang w:val="en-US" w:eastAsia="zh-CN"/>
        </w:rPr>
        <w:t>2.66</w:t>
      </w:r>
      <w:r>
        <w:rPr>
          <w:rFonts w:hint="eastAsia" w:asciiTheme="minorEastAsia" w:hAnsiTheme="minorEastAsia" w:eastAsiaTheme="minorEastAsia"/>
          <w:sz w:val="32"/>
          <w:szCs w:val="32"/>
          <w:highlight w:val="none"/>
        </w:rPr>
        <w:t>%;社会保障和就业（类）支出</w:t>
      </w:r>
      <w:r>
        <w:rPr>
          <w:rFonts w:hint="eastAsia" w:asciiTheme="minorEastAsia" w:hAnsiTheme="minorEastAsia" w:eastAsiaTheme="minorEastAsia"/>
          <w:sz w:val="32"/>
          <w:szCs w:val="32"/>
          <w:highlight w:val="none"/>
          <w:lang w:val="en-US" w:eastAsia="zh-CN"/>
        </w:rPr>
        <w:t>12.20</w:t>
      </w:r>
      <w:r>
        <w:rPr>
          <w:rFonts w:hint="eastAsia" w:asciiTheme="minorEastAsia" w:hAnsiTheme="minorEastAsia" w:eastAsiaTheme="minorEastAsia"/>
          <w:sz w:val="32"/>
          <w:szCs w:val="32"/>
          <w:highlight w:val="none"/>
        </w:rPr>
        <w:t>万元，占</w:t>
      </w:r>
      <w:r>
        <w:rPr>
          <w:rFonts w:hint="eastAsia" w:asciiTheme="minorEastAsia" w:hAnsiTheme="minorEastAsia" w:eastAsiaTheme="minorEastAsia"/>
          <w:sz w:val="32"/>
          <w:szCs w:val="32"/>
          <w:highlight w:val="none"/>
          <w:lang w:val="en-US" w:eastAsia="zh-CN"/>
        </w:rPr>
        <w:t>5.81</w:t>
      </w:r>
      <w:r>
        <w:rPr>
          <w:rFonts w:hint="eastAsia" w:asciiTheme="minorEastAsia" w:hAnsiTheme="minorEastAsia" w:eastAsiaTheme="minorEastAsia"/>
          <w:sz w:val="32"/>
          <w:szCs w:val="32"/>
          <w:highlight w:val="none"/>
        </w:rPr>
        <w:t>%;城乡社区（类）支出</w:t>
      </w:r>
      <w:r>
        <w:rPr>
          <w:rFonts w:hint="eastAsia" w:asciiTheme="minorEastAsia" w:hAnsiTheme="minorEastAsia" w:eastAsiaTheme="minorEastAsia"/>
          <w:sz w:val="32"/>
          <w:szCs w:val="32"/>
          <w:highlight w:val="none"/>
          <w:lang w:val="en-US" w:eastAsia="zh-CN"/>
        </w:rPr>
        <w:t>107.53</w:t>
      </w:r>
      <w:r>
        <w:rPr>
          <w:rFonts w:hint="eastAsia" w:asciiTheme="minorEastAsia" w:hAnsiTheme="minorEastAsia" w:eastAsiaTheme="minorEastAsia"/>
          <w:sz w:val="32"/>
          <w:szCs w:val="32"/>
          <w:highlight w:val="none"/>
        </w:rPr>
        <w:t>万元，占</w:t>
      </w:r>
      <w:r>
        <w:rPr>
          <w:rFonts w:hint="eastAsia" w:asciiTheme="minorEastAsia" w:hAnsiTheme="minorEastAsia" w:eastAsiaTheme="minorEastAsia"/>
          <w:sz w:val="32"/>
          <w:szCs w:val="32"/>
          <w:highlight w:val="none"/>
          <w:lang w:val="en-US" w:eastAsia="zh-CN"/>
        </w:rPr>
        <w:t>51.25</w:t>
      </w:r>
      <w:r>
        <w:rPr>
          <w:rFonts w:hint="eastAsia" w:asciiTheme="minorEastAsia" w:hAnsiTheme="minorEastAsia" w:eastAsiaTheme="minorEastAsia"/>
          <w:sz w:val="32"/>
          <w:szCs w:val="32"/>
          <w:highlight w:val="none"/>
        </w:rPr>
        <w:t>%；资源勘探工业信息等（类）支出</w:t>
      </w:r>
      <w:r>
        <w:rPr>
          <w:rFonts w:hint="eastAsia" w:asciiTheme="minorEastAsia" w:hAnsiTheme="minorEastAsia" w:eastAsiaTheme="minorEastAsia"/>
          <w:sz w:val="32"/>
          <w:szCs w:val="32"/>
          <w:highlight w:val="none"/>
          <w:lang w:val="en-US" w:eastAsia="zh-CN"/>
        </w:rPr>
        <w:t>80.86</w:t>
      </w:r>
      <w:r>
        <w:rPr>
          <w:rFonts w:hint="eastAsia" w:asciiTheme="minorEastAsia" w:hAnsiTheme="minorEastAsia" w:eastAsiaTheme="minorEastAsia"/>
          <w:sz w:val="32"/>
          <w:szCs w:val="32"/>
          <w:highlight w:val="none"/>
        </w:rPr>
        <w:t>万元，占</w:t>
      </w:r>
      <w:r>
        <w:rPr>
          <w:rFonts w:hint="eastAsia" w:asciiTheme="minorEastAsia" w:hAnsiTheme="minorEastAsia" w:eastAsiaTheme="minorEastAsia"/>
          <w:sz w:val="32"/>
          <w:szCs w:val="32"/>
          <w:highlight w:val="none"/>
          <w:lang w:val="en-US" w:eastAsia="zh-CN"/>
        </w:rPr>
        <w:t>38.54</w:t>
      </w:r>
      <w:r>
        <w:rPr>
          <w:rFonts w:hint="eastAsia" w:asciiTheme="minorEastAsia" w:hAnsiTheme="minorEastAsia" w:eastAsiaTheme="minorEastAsia"/>
          <w:sz w:val="32"/>
          <w:szCs w:val="32"/>
          <w:highlight w:val="none"/>
        </w:rPr>
        <w:t>%。</w:t>
      </w:r>
      <w:r>
        <w:rPr>
          <w:rFonts w:hint="eastAsia" w:asciiTheme="minorEastAsia" w:hAnsiTheme="minorEastAsia" w:eastAsiaTheme="minorEastAsia"/>
          <w:sz w:val="32"/>
          <w:szCs w:val="32"/>
          <w:highlight w:val="none"/>
          <w:lang w:val="en-US" w:eastAsia="zh-CN"/>
        </w:rPr>
        <w:t>其他支出（类）3.65万元，占1.74%。</w:t>
      </w:r>
    </w:p>
    <w:p>
      <w:pPr>
        <w:pStyle w:val="12"/>
        <w:ind w:firstLine="640" w:firstLineChars="200"/>
        <w:rPr>
          <w:rFonts w:hint="eastAsia" w:asciiTheme="minorEastAsia" w:hAnsiTheme="minorEastAsia" w:eastAsiaTheme="minorEastAsia"/>
          <w:sz w:val="32"/>
          <w:szCs w:val="32"/>
        </w:rPr>
      </w:pPr>
    </w:p>
    <w:p>
      <w:pPr>
        <w:pStyle w:val="12"/>
        <w:ind w:firstLine="320" w:firstLineChars="10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12"/>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年度财政拨款支出年初预算数为</w:t>
      </w:r>
      <w:r>
        <w:rPr>
          <w:rFonts w:hint="eastAsia" w:asciiTheme="minorEastAsia" w:hAnsiTheme="minorEastAsia" w:eastAsiaTheme="minorEastAsia"/>
          <w:sz w:val="32"/>
          <w:szCs w:val="32"/>
          <w:lang w:val="en-US" w:eastAsia="zh-CN"/>
        </w:rPr>
        <w:t>157.68</w:t>
      </w:r>
      <w:r>
        <w:rPr>
          <w:rFonts w:hint="eastAsia" w:asciiTheme="minorEastAsia" w:hAnsiTheme="minorEastAsia" w:eastAsiaTheme="minorEastAsia"/>
          <w:sz w:val="32"/>
          <w:szCs w:val="32"/>
        </w:rPr>
        <w:t>万元，支出决算数为</w:t>
      </w:r>
      <w:r>
        <w:rPr>
          <w:rFonts w:hint="eastAsia" w:asciiTheme="minorEastAsia" w:hAnsiTheme="minorEastAsia" w:eastAsiaTheme="minorEastAsia"/>
          <w:sz w:val="32"/>
          <w:szCs w:val="32"/>
          <w:lang w:val="en-US" w:eastAsia="zh-CN"/>
        </w:rPr>
        <w:t>209.82</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133.07</w:t>
      </w:r>
      <w:r>
        <w:rPr>
          <w:rFonts w:hint="eastAsia" w:asciiTheme="minorEastAsia" w:hAnsiTheme="minorEastAsia" w:eastAsiaTheme="minorEastAsia"/>
          <w:sz w:val="32"/>
          <w:szCs w:val="32"/>
        </w:rPr>
        <w:t>%，其中：</w:t>
      </w:r>
    </w:p>
    <w:p>
      <w:pPr>
        <w:widowControl/>
        <w:spacing w:line="450" w:lineRule="atLeast"/>
        <w:ind w:firstLine="624"/>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1、社会保障和就业支出（类）行政事业单位养老支出（款）机关事业单位基本养老保险缴费支出（项）。</w:t>
      </w:r>
    </w:p>
    <w:p>
      <w:pPr>
        <w:widowControl/>
        <w:spacing w:line="450" w:lineRule="atLeast"/>
        <w:ind w:firstLine="624"/>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年初预算为</w:t>
      </w:r>
      <w:r>
        <w:rPr>
          <w:rFonts w:hint="eastAsia" w:cs="黑体" w:asciiTheme="minorEastAsia" w:hAnsiTheme="minorEastAsia"/>
          <w:color w:val="000000"/>
          <w:kern w:val="0"/>
          <w:sz w:val="32"/>
          <w:szCs w:val="32"/>
          <w:lang w:val="en-US" w:eastAsia="zh-CN"/>
        </w:rPr>
        <w:t>11.23</w:t>
      </w:r>
      <w:r>
        <w:rPr>
          <w:rFonts w:hint="eastAsia" w:cs="黑体" w:asciiTheme="minorEastAsia" w:hAnsiTheme="minorEastAsia"/>
          <w:color w:val="000000"/>
          <w:kern w:val="0"/>
          <w:sz w:val="32"/>
          <w:szCs w:val="32"/>
        </w:rPr>
        <w:t>万元，支出决算为</w:t>
      </w:r>
      <w:r>
        <w:rPr>
          <w:rFonts w:hint="eastAsia" w:cs="黑体" w:asciiTheme="minorEastAsia" w:hAnsiTheme="minorEastAsia"/>
          <w:color w:val="000000"/>
          <w:kern w:val="0"/>
          <w:sz w:val="32"/>
          <w:szCs w:val="32"/>
          <w:lang w:val="en-US" w:eastAsia="zh-CN"/>
        </w:rPr>
        <w:t>11.23</w:t>
      </w:r>
      <w:r>
        <w:rPr>
          <w:rFonts w:hint="eastAsia" w:cs="黑体" w:asciiTheme="minorEastAsia" w:hAnsiTheme="minorEastAsia"/>
          <w:color w:val="000000"/>
          <w:kern w:val="0"/>
          <w:sz w:val="32"/>
          <w:szCs w:val="32"/>
        </w:rPr>
        <w:t>万元，完成预算的100%。</w:t>
      </w:r>
      <w:r>
        <w:rPr>
          <w:rFonts w:hint="default" w:ascii="Times New Roman" w:hAnsi="Times New Roman" w:cs="Times New Roman"/>
          <w:sz w:val="32"/>
          <w:lang w:val="en-US" w:eastAsia="zh-CN"/>
        </w:rPr>
        <w:t>决算数与预算数无差异。</w:t>
      </w:r>
    </w:p>
    <w:p>
      <w:pPr>
        <w:widowControl/>
        <w:spacing w:line="450" w:lineRule="atLeast"/>
        <w:ind w:firstLine="624"/>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2、社会保障和就业支出（类）</w:t>
      </w:r>
      <w:r>
        <w:rPr>
          <w:rFonts w:hint="eastAsia" w:cs="黑体" w:asciiTheme="minorEastAsia" w:hAnsiTheme="minorEastAsia"/>
          <w:color w:val="000000"/>
          <w:kern w:val="0"/>
          <w:sz w:val="32"/>
          <w:szCs w:val="32"/>
          <w:lang w:val="en-US" w:eastAsia="zh-CN"/>
        </w:rPr>
        <w:t>残疾人事业</w:t>
      </w:r>
      <w:r>
        <w:rPr>
          <w:rFonts w:hint="eastAsia" w:cs="黑体" w:asciiTheme="minorEastAsia" w:hAnsiTheme="minorEastAsia"/>
          <w:color w:val="000000"/>
          <w:kern w:val="0"/>
          <w:sz w:val="32"/>
          <w:szCs w:val="32"/>
        </w:rPr>
        <w:t>（款）其他</w:t>
      </w:r>
      <w:r>
        <w:rPr>
          <w:rFonts w:hint="eastAsia" w:cs="黑体" w:asciiTheme="minorEastAsia" w:hAnsiTheme="minorEastAsia"/>
          <w:color w:val="000000"/>
          <w:kern w:val="0"/>
          <w:sz w:val="32"/>
          <w:szCs w:val="32"/>
          <w:lang w:val="en-US" w:eastAsia="zh-CN"/>
        </w:rPr>
        <w:t>残疾人事业</w:t>
      </w:r>
      <w:r>
        <w:rPr>
          <w:rFonts w:hint="eastAsia" w:cs="黑体" w:asciiTheme="minorEastAsia" w:hAnsiTheme="minorEastAsia"/>
          <w:color w:val="000000"/>
          <w:kern w:val="0"/>
          <w:sz w:val="32"/>
          <w:szCs w:val="32"/>
        </w:rPr>
        <w:t>支出（项）。</w:t>
      </w:r>
    </w:p>
    <w:p>
      <w:pPr>
        <w:widowControl/>
        <w:spacing w:line="450" w:lineRule="atLeast"/>
        <w:ind w:firstLine="624"/>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年初预算为</w:t>
      </w:r>
      <w:r>
        <w:rPr>
          <w:rFonts w:hint="eastAsia" w:cs="黑体" w:asciiTheme="minorEastAsia" w:hAnsiTheme="minorEastAsia"/>
          <w:color w:val="000000"/>
          <w:kern w:val="0"/>
          <w:sz w:val="32"/>
          <w:szCs w:val="32"/>
          <w:lang w:val="en-US" w:eastAsia="zh-CN"/>
        </w:rPr>
        <w:t>0.97</w:t>
      </w:r>
      <w:r>
        <w:rPr>
          <w:rFonts w:hint="eastAsia" w:cs="黑体" w:asciiTheme="minorEastAsia" w:hAnsiTheme="minorEastAsia"/>
          <w:color w:val="000000"/>
          <w:kern w:val="0"/>
          <w:sz w:val="32"/>
          <w:szCs w:val="32"/>
        </w:rPr>
        <w:t>万元，支出决算为</w:t>
      </w:r>
      <w:r>
        <w:rPr>
          <w:rFonts w:hint="eastAsia" w:cs="黑体" w:asciiTheme="minorEastAsia" w:hAnsiTheme="minorEastAsia"/>
          <w:color w:val="000000"/>
          <w:kern w:val="0"/>
          <w:sz w:val="32"/>
          <w:szCs w:val="32"/>
          <w:lang w:val="en-US" w:eastAsia="zh-CN"/>
        </w:rPr>
        <w:t>0.97</w:t>
      </w:r>
      <w:r>
        <w:rPr>
          <w:rFonts w:hint="eastAsia" w:cs="黑体" w:asciiTheme="minorEastAsia" w:hAnsiTheme="minorEastAsia"/>
          <w:color w:val="000000"/>
          <w:kern w:val="0"/>
          <w:sz w:val="32"/>
          <w:szCs w:val="32"/>
        </w:rPr>
        <w:t>万元，完成预算的100%。</w:t>
      </w:r>
      <w:r>
        <w:rPr>
          <w:rFonts w:hint="default" w:ascii="Times New Roman" w:hAnsi="Times New Roman" w:cs="Times New Roman"/>
          <w:sz w:val="32"/>
          <w:lang w:val="en-US" w:eastAsia="zh-CN"/>
        </w:rPr>
        <w:t>决算数与预算数无差异。</w:t>
      </w:r>
    </w:p>
    <w:p>
      <w:pPr>
        <w:widowControl/>
        <w:spacing w:line="450" w:lineRule="atLeast"/>
        <w:ind w:firstLine="624"/>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3、卫生健康支出（类）行政事业单位</w:t>
      </w:r>
      <w:r>
        <w:rPr>
          <w:rFonts w:hint="eastAsia" w:cs="黑体" w:asciiTheme="minorEastAsia" w:hAnsiTheme="minorEastAsia"/>
          <w:color w:val="000000"/>
          <w:kern w:val="0"/>
          <w:sz w:val="32"/>
          <w:szCs w:val="32"/>
          <w:lang w:val="en-US" w:eastAsia="zh-CN"/>
        </w:rPr>
        <w:t>医疗</w:t>
      </w:r>
      <w:r>
        <w:rPr>
          <w:rFonts w:hint="eastAsia" w:cs="黑体" w:asciiTheme="minorEastAsia" w:hAnsiTheme="minorEastAsia"/>
          <w:color w:val="000000"/>
          <w:kern w:val="0"/>
          <w:sz w:val="32"/>
          <w:szCs w:val="32"/>
        </w:rPr>
        <w:t>（款）事业单位</w:t>
      </w:r>
      <w:r>
        <w:rPr>
          <w:rFonts w:hint="eastAsia" w:cs="黑体" w:asciiTheme="minorEastAsia" w:hAnsiTheme="minorEastAsia"/>
          <w:color w:val="000000"/>
          <w:kern w:val="0"/>
          <w:sz w:val="32"/>
          <w:szCs w:val="32"/>
          <w:lang w:val="en-US" w:eastAsia="zh-CN"/>
        </w:rPr>
        <w:t>医疗</w:t>
      </w:r>
      <w:r>
        <w:rPr>
          <w:rFonts w:hint="eastAsia" w:cs="黑体" w:asciiTheme="minorEastAsia" w:hAnsiTheme="minorEastAsia"/>
          <w:color w:val="000000"/>
          <w:kern w:val="0"/>
          <w:sz w:val="32"/>
          <w:szCs w:val="32"/>
        </w:rPr>
        <w:t>（项）。</w:t>
      </w:r>
    </w:p>
    <w:p>
      <w:pPr>
        <w:widowControl/>
        <w:spacing w:line="450" w:lineRule="atLeast"/>
        <w:ind w:firstLine="624"/>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年初预算为</w:t>
      </w:r>
      <w:r>
        <w:rPr>
          <w:rFonts w:hint="eastAsia" w:cs="黑体" w:asciiTheme="minorEastAsia" w:hAnsiTheme="minorEastAsia"/>
          <w:color w:val="000000"/>
          <w:kern w:val="0"/>
          <w:sz w:val="32"/>
          <w:szCs w:val="32"/>
          <w:lang w:val="en-US" w:eastAsia="zh-CN"/>
        </w:rPr>
        <w:t>5.75</w:t>
      </w:r>
      <w:r>
        <w:rPr>
          <w:rFonts w:hint="eastAsia" w:cs="黑体" w:asciiTheme="minorEastAsia" w:hAnsiTheme="minorEastAsia"/>
          <w:color w:val="000000"/>
          <w:kern w:val="0"/>
          <w:sz w:val="32"/>
          <w:szCs w:val="32"/>
        </w:rPr>
        <w:t>万元，支出决算为</w:t>
      </w:r>
      <w:r>
        <w:rPr>
          <w:rFonts w:hint="eastAsia" w:cs="黑体" w:asciiTheme="minorEastAsia" w:hAnsiTheme="minorEastAsia"/>
          <w:color w:val="000000"/>
          <w:kern w:val="0"/>
          <w:sz w:val="32"/>
          <w:szCs w:val="32"/>
          <w:lang w:val="en-US" w:eastAsia="zh-CN"/>
        </w:rPr>
        <w:t>5.58</w:t>
      </w:r>
      <w:r>
        <w:rPr>
          <w:rFonts w:hint="eastAsia" w:cs="黑体" w:asciiTheme="minorEastAsia" w:hAnsiTheme="minorEastAsia"/>
          <w:color w:val="000000"/>
          <w:kern w:val="0"/>
          <w:sz w:val="32"/>
          <w:szCs w:val="32"/>
        </w:rPr>
        <w:t>万元，</w:t>
      </w:r>
      <w:r>
        <w:rPr>
          <w:rFonts w:hint="eastAsia" w:cs="黑体" w:asciiTheme="minorEastAsia" w:hAnsiTheme="minorEastAsia"/>
          <w:color w:val="000000"/>
          <w:kern w:val="0"/>
          <w:sz w:val="32"/>
          <w:szCs w:val="32"/>
          <w:lang w:eastAsia="zh-CN"/>
        </w:rPr>
        <w:t>完成预算的</w:t>
      </w:r>
      <w:r>
        <w:rPr>
          <w:rFonts w:hint="eastAsia" w:cs="黑体" w:asciiTheme="minorEastAsia" w:hAnsiTheme="minorEastAsia"/>
          <w:color w:val="000000"/>
          <w:kern w:val="0"/>
          <w:sz w:val="32"/>
          <w:szCs w:val="32"/>
          <w:lang w:val="en-US" w:eastAsia="zh-CN"/>
        </w:rPr>
        <w:t>97.05%，决算数小于预算数的主要原因是保险机构没有收缴生育保险</w:t>
      </w:r>
      <w:r>
        <w:rPr>
          <w:rFonts w:hint="eastAsia" w:cs="黑体" w:asciiTheme="minorEastAsia" w:hAnsiTheme="minorEastAsia"/>
          <w:color w:val="000000"/>
          <w:kern w:val="0"/>
          <w:sz w:val="32"/>
          <w:szCs w:val="32"/>
        </w:rPr>
        <w:t>。</w:t>
      </w:r>
    </w:p>
    <w:p>
      <w:pPr>
        <w:widowControl/>
        <w:spacing w:line="450" w:lineRule="atLeast"/>
        <w:ind w:firstLine="640" w:firstLineChars="200"/>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lang w:val="en-US" w:eastAsia="zh-CN"/>
        </w:rPr>
        <w:t>4</w:t>
      </w:r>
      <w:r>
        <w:rPr>
          <w:rFonts w:hint="eastAsia" w:cs="黑体" w:asciiTheme="minorEastAsia" w:hAnsiTheme="minorEastAsia"/>
          <w:color w:val="000000"/>
          <w:kern w:val="0"/>
          <w:sz w:val="32"/>
          <w:szCs w:val="32"/>
        </w:rPr>
        <w:t>、城乡社区支出（类）城乡社区规划与管理（款）城乡社区规划与管理（项）。</w:t>
      </w:r>
    </w:p>
    <w:p>
      <w:pPr>
        <w:widowControl/>
        <w:spacing w:line="450" w:lineRule="atLeast"/>
        <w:ind w:firstLine="624"/>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年初预算为</w:t>
      </w:r>
      <w:r>
        <w:rPr>
          <w:rFonts w:hint="eastAsia" w:cs="黑体" w:asciiTheme="minorEastAsia" w:hAnsiTheme="minorEastAsia"/>
          <w:color w:val="000000"/>
          <w:kern w:val="0"/>
          <w:sz w:val="32"/>
          <w:szCs w:val="32"/>
          <w:lang w:val="en-US" w:eastAsia="zh-CN"/>
        </w:rPr>
        <w:t>50</w:t>
      </w:r>
      <w:r>
        <w:rPr>
          <w:rFonts w:hint="eastAsia" w:cs="黑体" w:asciiTheme="minorEastAsia" w:hAnsiTheme="minorEastAsia"/>
          <w:color w:val="000000"/>
          <w:kern w:val="0"/>
          <w:sz w:val="32"/>
          <w:szCs w:val="32"/>
        </w:rPr>
        <w:t>万元，支出决算为</w:t>
      </w:r>
      <w:r>
        <w:rPr>
          <w:rFonts w:hint="eastAsia" w:cs="黑体" w:asciiTheme="minorEastAsia" w:hAnsiTheme="minorEastAsia"/>
          <w:color w:val="000000"/>
          <w:kern w:val="0"/>
          <w:sz w:val="32"/>
          <w:szCs w:val="32"/>
          <w:lang w:val="en-US" w:eastAsia="zh-CN"/>
        </w:rPr>
        <w:t>69.88</w:t>
      </w:r>
      <w:r>
        <w:rPr>
          <w:rFonts w:hint="eastAsia" w:cs="黑体" w:asciiTheme="minorEastAsia" w:hAnsiTheme="minorEastAsia"/>
          <w:color w:val="000000"/>
          <w:kern w:val="0"/>
          <w:sz w:val="32"/>
          <w:szCs w:val="32"/>
        </w:rPr>
        <w:t>万元，</w:t>
      </w:r>
      <w:r>
        <w:rPr>
          <w:rFonts w:hint="eastAsia" w:cs="黑体" w:asciiTheme="minorEastAsia" w:hAnsiTheme="minorEastAsia"/>
          <w:color w:val="000000"/>
          <w:kern w:val="0"/>
          <w:sz w:val="32"/>
          <w:szCs w:val="32"/>
          <w:lang w:eastAsia="zh-CN"/>
        </w:rPr>
        <w:t>完成预算的</w:t>
      </w:r>
      <w:r>
        <w:rPr>
          <w:rFonts w:hint="eastAsia" w:cs="黑体" w:asciiTheme="minorEastAsia" w:hAnsiTheme="minorEastAsia"/>
          <w:color w:val="000000"/>
          <w:kern w:val="0"/>
          <w:sz w:val="32"/>
          <w:szCs w:val="32"/>
          <w:lang w:val="en-US" w:eastAsia="zh-CN"/>
        </w:rPr>
        <w:t>139.76%，</w:t>
      </w:r>
      <w:r>
        <w:rPr>
          <w:rFonts w:hint="eastAsia" w:cs="黑体" w:asciiTheme="minorEastAsia" w:hAnsiTheme="minorEastAsia"/>
          <w:color w:val="000000"/>
          <w:kern w:val="0"/>
          <w:sz w:val="32"/>
          <w:szCs w:val="32"/>
        </w:rPr>
        <w:t>决算数大于预算数的</w:t>
      </w:r>
      <w:r>
        <w:rPr>
          <w:rFonts w:hint="eastAsia" w:cs="黑体" w:asciiTheme="minorEastAsia" w:hAnsiTheme="minorEastAsia"/>
          <w:color w:val="000000"/>
          <w:kern w:val="0"/>
          <w:sz w:val="32"/>
          <w:szCs w:val="32"/>
          <w:lang w:val="en-US" w:eastAsia="zh-CN"/>
        </w:rPr>
        <w:t>主要原因是</w:t>
      </w:r>
      <w:r>
        <w:rPr>
          <w:rFonts w:hint="eastAsia" w:cs="黑体" w:asciiTheme="minorEastAsia" w:hAnsiTheme="minorEastAsia"/>
          <w:color w:val="000000"/>
          <w:kern w:val="0"/>
          <w:sz w:val="32"/>
          <w:szCs w:val="32"/>
        </w:rPr>
        <w:t>上级调剂指标。</w:t>
      </w:r>
    </w:p>
    <w:p>
      <w:pPr>
        <w:widowControl/>
        <w:spacing w:line="450" w:lineRule="atLeast"/>
        <w:ind w:firstLine="624"/>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lang w:val="en-US" w:eastAsia="zh-CN"/>
        </w:rPr>
        <w:t>5</w:t>
      </w:r>
      <w:r>
        <w:rPr>
          <w:rFonts w:hint="eastAsia" w:cs="黑体" w:asciiTheme="minorEastAsia" w:hAnsiTheme="minorEastAsia"/>
          <w:color w:val="000000"/>
          <w:kern w:val="0"/>
          <w:sz w:val="32"/>
          <w:szCs w:val="32"/>
        </w:rPr>
        <w:t>、城乡社区支出（类）其他城乡社区支出（款）其他城乡社区支出（项）。</w:t>
      </w:r>
    </w:p>
    <w:p>
      <w:pPr>
        <w:widowControl/>
        <w:spacing w:line="450" w:lineRule="atLeast"/>
        <w:ind w:firstLine="624"/>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年初预算为0万元，支出决算为</w:t>
      </w:r>
      <w:r>
        <w:rPr>
          <w:rFonts w:hint="eastAsia" w:cs="黑体" w:asciiTheme="minorEastAsia" w:hAnsiTheme="minorEastAsia"/>
          <w:color w:val="000000"/>
          <w:kern w:val="0"/>
          <w:sz w:val="32"/>
          <w:szCs w:val="32"/>
          <w:lang w:val="en-US" w:eastAsia="zh-CN"/>
        </w:rPr>
        <w:t>37.65</w:t>
      </w:r>
      <w:r>
        <w:rPr>
          <w:rFonts w:hint="eastAsia" w:cs="黑体" w:asciiTheme="minorEastAsia" w:hAnsiTheme="minorEastAsia"/>
          <w:color w:val="000000"/>
          <w:kern w:val="0"/>
          <w:sz w:val="32"/>
          <w:szCs w:val="32"/>
        </w:rPr>
        <w:t>万元，</w:t>
      </w:r>
      <w:r>
        <w:rPr>
          <w:rFonts w:hint="eastAsia" w:cs="黑体" w:asciiTheme="minorEastAsia" w:hAnsiTheme="minorEastAsia"/>
          <w:color w:val="000000"/>
          <w:kern w:val="0"/>
          <w:sz w:val="32"/>
          <w:szCs w:val="32"/>
          <w:lang w:val="en-US" w:eastAsia="zh-CN"/>
        </w:rPr>
        <w:t>由于预算数为0，无法计算百分比，</w:t>
      </w:r>
      <w:r>
        <w:rPr>
          <w:rFonts w:hint="eastAsia" w:cs="黑体" w:asciiTheme="minorEastAsia" w:hAnsiTheme="minorEastAsia"/>
          <w:color w:val="000000"/>
          <w:kern w:val="0"/>
          <w:sz w:val="32"/>
          <w:szCs w:val="32"/>
        </w:rPr>
        <w:t>决算数大于预算数的主要原因是财政追加安排年终绩效考评奖励、平安建设奖励。</w:t>
      </w:r>
    </w:p>
    <w:p>
      <w:pPr>
        <w:widowControl/>
        <w:spacing w:line="450" w:lineRule="atLeast"/>
        <w:ind w:firstLine="624"/>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lang w:val="en-US" w:eastAsia="zh-CN"/>
        </w:rPr>
        <w:t>6</w:t>
      </w:r>
      <w:r>
        <w:rPr>
          <w:rFonts w:hint="eastAsia" w:cs="黑体" w:asciiTheme="minorEastAsia" w:hAnsiTheme="minorEastAsia"/>
          <w:color w:val="000000"/>
          <w:kern w:val="0"/>
          <w:sz w:val="32"/>
          <w:szCs w:val="32"/>
        </w:rPr>
        <w:t>、资源勘探工业信息等支出（类）建筑业（款）行政运行（项）。</w:t>
      </w:r>
    </w:p>
    <w:p>
      <w:pPr>
        <w:widowControl/>
        <w:spacing w:line="450" w:lineRule="atLeast"/>
        <w:ind w:firstLine="624"/>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年初预算为</w:t>
      </w:r>
      <w:r>
        <w:rPr>
          <w:rFonts w:hint="eastAsia" w:cs="黑体" w:asciiTheme="minorEastAsia" w:hAnsiTheme="minorEastAsia"/>
          <w:color w:val="000000"/>
          <w:kern w:val="0"/>
          <w:sz w:val="32"/>
          <w:szCs w:val="32"/>
          <w:lang w:val="en-US" w:eastAsia="zh-CN"/>
        </w:rPr>
        <w:t>81.31</w:t>
      </w:r>
      <w:r>
        <w:rPr>
          <w:rFonts w:hint="eastAsia" w:cs="黑体" w:asciiTheme="minorEastAsia" w:hAnsiTheme="minorEastAsia"/>
          <w:color w:val="000000"/>
          <w:kern w:val="0"/>
          <w:sz w:val="32"/>
          <w:szCs w:val="32"/>
        </w:rPr>
        <w:t>万元，支出决算为</w:t>
      </w:r>
      <w:r>
        <w:rPr>
          <w:rFonts w:hint="eastAsia" w:cs="黑体" w:asciiTheme="minorEastAsia" w:hAnsiTheme="minorEastAsia"/>
          <w:color w:val="000000"/>
          <w:kern w:val="0"/>
          <w:sz w:val="32"/>
          <w:szCs w:val="32"/>
          <w:lang w:val="en-US" w:eastAsia="zh-CN"/>
        </w:rPr>
        <w:t>80.86</w:t>
      </w:r>
      <w:r>
        <w:rPr>
          <w:rFonts w:hint="eastAsia" w:cs="黑体" w:asciiTheme="minorEastAsia" w:hAnsiTheme="minorEastAsia"/>
          <w:color w:val="000000"/>
          <w:kern w:val="0"/>
          <w:sz w:val="32"/>
          <w:szCs w:val="32"/>
        </w:rPr>
        <w:t>万元，完成预算的99.45%</w:t>
      </w:r>
      <w:r>
        <w:rPr>
          <w:rFonts w:hint="eastAsia" w:cs="黑体" w:asciiTheme="minorEastAsia" w:hAnsiTheme="minorEastAsia"/>
          <w:color w:val="000000"/>
          <w:kern w:val="0"/>
          <w:sz w:val="32"/>
          <w:szCs w:val="32"/>
          <w:lang w:eastAsia="zh-CN"/>
        </w:rPr>
        <w:t>，</w:t>
      </w:r>
      <w:r>
        <w:rPr>
          <w:rFonts w:hint="eastAsia" w:cs="黑体" w:asciiTheme="minorEastAsia" w:hAnsiTheme="minorEastAsia"/>
          <w:color w:val="000000"/>
          <w:kern w:val="0"/>
          <w:sz w:val="32"/>
          <w:szCs w:val="32"/>
          <w:lang w:val="en-US" w:eastAsia="zh-CN"/>
        </w:rPr>
        <w:t>决算数小于预算数的主要原因是</w:t>
      </w:r>
      <w:r>
        <w:rPr>
          <w:rFonts w:hint="eastAsia" w:cs="黑体" w:asciiTheme="minorEastAsia" w:hAnsiTheme="minorEastAsia"/>
          <w:color w:val="000000"/>
          <w:kern w:val="0"/>
          <w:sz w:val="32"/>
          <w:szCs w:val="32"/>
          <w:lang w:eastAsia="zh-CN"/>
        </w:rPr>
        <w:t>严格落实“过紧日子”要求，压减一般性支出</w:t>
      </w:r>
      <w:r>
        <w:rPr>
          <w:rFonts w:hint="eastAsia" w:cs="黑体" w:asciiTheme="minorEastAsia" w:hAnsiTheme="minorEastAsia"/>
          <w:color w:val="000000"/>
          <w:kern w:val="0"/>
          <w:sz w:val="32"/>
          <w:szCs w:val="32"/>
        </w:rPr>
        <w:t>。</w:t>
      </w:r>
    </w:p>
    <w:p>
      <w:pPr>
        <w:widowControl/>
        <w:numPr>
          <w:ilvl w:val="0"/>
          <w:numId w:val="2"/>
        </w:numPr>
        <w:spacing w:line="450" w:lineRule="atLeast"/>
        <w:ind w:firstLine="624"/>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lang w:val="en-US" w:eastAsia="zh-CN"/>
        </w:rPr>
        <w:t>其他支出</w:t>
      </w:r>
      <w:r>
        <w:rPr>
          <w:rFonts w:hint="eastAsia" w:cs="黑体" w:asciiTheme="minorEastAsia" w:hAnsiTheme="minorEastAsia"/>
          <w:color w:val="000000"/>
          <w:kern w:val="0"/>
          <w:sz w:val="32"/>
          <w:szCs w:val="32"/>
        </w:rPr>
        <w:t>（类）</w:t>
      </w:r>
      <w:r>
        <w:rPr>
          <w:rFonts w:hint="eastAsia" w:cs="黑体" w:asciiTheme="minorEastAsia" w:hAnsiTheme="minorEastAsia"/>
          <w:color w:val="000000"/>
          <w:kern w:val="0"/>
          <w:sz w:val="32"/>
          <w:szCs w:val="32"/>
          <w:lang w:val="en-US" w:eastAsia="zh-CN"/>
        </w:rPr>
        <w:t>其他支出</w:t>
      </w:r>
      <w:r>
        <w:rPr>
          <w:rFonts w:hint="eastAsia" w:cs="黑体" w:asciiTheme="minorEastAsia" w:hAnsiTheme="minorEastAsia"/>
          <w:color w:val="000000"/>
          <w:kern w:val="0"/>
          <w:sz w:val="32"/>
          <w:szCs w:val="32"/>
        </w:rPr>
        <w:t>（款）</w:t>
      </w:r>
      <w:r>
        <w:rPr>
          <w:rFonts w:hint="eastAsia" w:cs="黑体" w:asciiTheme="minorEastAsia" w:hAnsiTheme="minorEastAsia"/>
          <w:color w:val="000000"/>
          <w:kern w:val="0"/>
          <w:sz w:val="32"/>
          <w:szCs w:val="32"/>
          <w:lang w:val="en-US" w:eastAsia="zh-CN"/>
        </w:rPr>
        <w:t>其他支出</w:t>
      </w:r>
      <w:r>
        <w:rPr>
          <w:rFonts w:hint="eastAsia" w:cs="黑体" w:asciiTheme="minorEastAsia" w:hAnsiTheme="minorEastAsia"/>
          <w:color w:val="000000"/>
          <w:kern w:val="0"/>
          <w:sz w:val="32"/>
          <w:szCs w:val="32"/>
        </w:rPr>
        <w:t>（项）。</w:t>
      </w:r>
    </w:p>
    <w:p>
      <w:pPr>
        <w:widowControl/>
        <w:spacing w:line="450" w:lineRule="atLeast"/>
        <w:ind w:firstLine="624"/>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年初预算为</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万元，支出决算为</w:t>
      </w:r>
      <w:r>
        <w:rPr>
          <w:rFonts w:hint="eastAsia" w:cs="黑体" w:asciiTheme="minorEastAsia" w:hAnsiTheme="minorEastAsia"/>
          <w:color w:val="000000"/>
          <w:kern w:val="0"/>
          <w:sz w:val="32"/>
          <w:szCs w:val="32"/>
          <w:lang w:val="en-US" w:eastAsia="zh-CN"/>
        </w:rPr>
        <w:t>3.65</w:t>
      </w:r>
      <w:r>
        <w:rPr>
          <w:rFonts w:hint="eastAsia" w:cs="黑体" w:asciiTheme="minorEastAsia" w:hAnsiTheme="minorEastAsia"/>
          <w:color w:val="000000"/>
          <w:kern w:val="0"/>
          <w:sz w:val="32"/>
          <w:szCs w:val="32"/>
        </w:rPr>
        <w:t>万元，</w:t>
      </w:r>
      <w:r>
        <w:rPr>
          <w:rFonts w:hint="eastAsia" w:cs="黑体" w:asciiTheme="minorEastAsia" w:hAnsiTheme="minorEastAsia"/>
          <w:color w:val="000000"/>
          <w:kern w:val="0"/>
          <w:sz w:val="32"/>
          <w:szCs w:val="32"/>
          <w:lang w:val="en-US" w:eastAsia="zh-CN"/>
        </w:rPr>
        <w:t>由于预算数为0，无法计算百分比，</w:t>
      </w:r>
      <w:r>
        <w:rPr>
          <w:rFonts w:hint="eastAsia" w:cs="黑体" w:asciiTheme="minorEastAsia" w:hAnsiTheme="minorEastAsia"/>
          <w:color w:val="000000"/>
          <w:kern w:val="0"/>
          <w:sz w:val="32"/>
          <w:szCs w:val="32"/>
        </w:rPr>
        <w:t>决算数大于预算数</w:t>
      </w:r>
      <w:r>
        <w:rPr>
          <w:rFonts w:hint="eastAsia" w:cs="黑体" w:asciiTheme="minorEastAsia" w:hAnsiTheme="minorEastAsia"/>
          <w:color w:val="000000"/>
          <w:kern w:val="0"/>
          <w:sz w:val="32"/>
          <w:szCs w:val="32"/>
          <w:lang w:eastAsia="zh-CN"/>
        </w:rPr>
        <w:t>的</w:t>
      </w:r>
      <w:r>
        <w:rPr>
          <w:rFonts w:hint="eastAsia" w:cs="黑体" w:asciiTheme="minorEastAsia" w:hAnsiTheme="minorEastAsia"/>
          <w:color w:val="000000"/>
          <w:kern w:val="0"/>
          <w:sz w:val="32"/>
          <w:szCs w:val="32"/>
          <w:lang w:val="en-US" w:eastAsia="zh-CN"/>
        </w:rPr>
        <w:t>主要原因是使用上年结余资金</w:t>
      </w:r>
      <w:r>
        <w:rPr>
          <w:rFonts w:hint="eastAsia" w:cs="黑体" w:asciiTheme="minorEastAsia" w:hAnsiTheme="minorEastAsia"/>
          <w:color w:val="000000"/>
          <w:kern w:val="0"/>
          <w:sz w:val="32"/>
          <w:szCs w:val="32"/>
        </w:rPr>
        <w:t>。</w:t>
      </w:r>
    </w:p>
    <w:p>
      <w:pPr>
        <w:widowControl/>
        <w:numPr>
          <w:ilvl w:val="0"/>
          <w:numId w:val="0"/>
        </w:numPr>
        <w:spacing w:line="450" w:lineRule="atLeast"/>
        <w:rPr>
          <w:rFonts w:hint="default" w:cs="黑体" w:asciiTheme="minorEastAsia" w:hAnsiTheme="minorEastAsia"/>
          <w:color w:val="000000"/>
          <w:kern w:val="0"/>
          <w:sz w:val="32"/>
          <w:szCs w:val="32"/>
          <w:lang w:val="en-US" w:eastAsia="zh-CN"/>
        </w:rPr>
      </w:pPr>
    </w:p>
    <w:p>
      <w:pPr>
        <w:pStyle w:val="12"/>
        <w:rPr>
          <w:rFonts w:hAnsi="黑体"/>
          <w:b/>
          <w:sz w:val="32"/>
          <w:szCs w:val="32"/>
        </w:rPr>
      </w:pPr>
      <w:r>
        <w:rPr>
          <w:rFonts w:hint="eastAsia" w:hAnsi="黑体"/>
          <w:b/>
          <w:sz w:val="32"/>
          <w:szCs w:val="32"/>
        </w:rPr>
        <w:t>六、一般公共预算财政拨款基本支出决算情况说明</w:t>
      </w:r>
    </w:p>
    <w:p>
      <w:pPr>
        <w:pStyle w:val="12"/>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2021年度财政拨款基本支出</w:t>
      </w:r>
      <w:r>
        <w:rPr>
          <w:rFonts w:hint="eastAsia" w:asciiTheme="minorEastAsia" w:hAnsiTheme="minorEastAsia" w:eastAsiaTheme="minorEastAsia"/>
          <w:sz w:val="32"/>
          <w:szCs w:val="32"/>
          <w:lang w:val="en-US" w:eastAsia="zh-CN"/>
        </w:rPr>
        <w:t>209.82</w:t>
      </w:r>
      <w:r>
        <w:rPr>
          <w:rFonts w:hint="eastAsia" w:asciiTheme="minorEastAsia" w:hAnsiTheme="minorEastAsia" w:eastAsiaTheme="minorEastAsia"/>
          <w:sz w:val="32"/>
          <w:szCs w:val="32"/>
        </w:rPr>
        <w:t>万元，其中：人员经费</w:t>
      </w:r>
      <w:r>
        <w:rPr>
          <w:rFonts w:hint="eastAsia" w:asciiTheme="minorEastAsia" w:hAnsiTheme="minorEastAsia" w:eastAsiaTheme="minorEastAsia"/>
          <w:sz w:val="32"/>
          <w:szCs w:val="32"/>
          <w:lang w:val="en-US" w:eastAsia="zh-CN"/>
        </w:rPr>
        <w:t>165.48</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78.87</w:t>
      </w:r>
      <w:r>
        <w:rPr>
          <w:rFonts w:hint="eastAsia" w:asciiTheme="minorEastAsia" w:hAnsiTheme="minorEastAsia" w:eastAsiaTheme="minorEastAsia"/>
          <w:sz w:val="32"/>
          <w:szCs w:val="32"/>
        </w:rPr>
        <w:t>%,主要包括主要包括基本工资、津贴补贴、</w:t>
      </w:r>
      <w:r>
        <w:rPr>
          <w:rFonts w:hint="eastAsia" w:asciiTheme="minorEastAsia" w:hAnsiTheme="minorEastAsia" w:eastAsiaTheme="minorEastAsia"/>
          <w:sz w:val="32"/>
          <w:szCs w:val="32"/>
          <w:lang w:val="zh-CN"/>
        </w:rPr>
        <w:t>奖金、伙食补助费、绩效工资、机关事业单位基本养老保险缴费、职业年金缴费、职工基本医疗保险缴费、其他社会保障缴费、住房公积金、医疗费、其他工资福利支出、退休费、生活补助、医疗费补助、奖励金、其他对个人和家庭的补助</w:t>
      </w:r>
      <w:r>
        <w:rPr>
          <w:rFonts w:hint="eastAsia" w:asciiTheme="minorEastAsia" w:hAnsiTheme="minorEastAsia" w:eastAsiaTheme="minorEastAsia"/>
          <w:sz w:val="32"/>
          <w:szCs w:val="32"/>
        </w:rPr>
        <w:t>；公用经费</w:t>
      </w:r>
      <w:r>
        <w:rPr>
          <w:rFonts w:hint="eastAsia" w:asciiTheme="minorEastAsia" w:hAnsiTheme="minorEastAsia" w:eastAsiaTheme="minorEastAsia"/>
          <w:sz w:val="32"/>
          <w:szCs w:val="32"/>
          <w:lang w:val="en-US" w:eastAsia="zh-CN"/>
        </w:rPr>
        <w:t>44.34</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21.13</w:t>
      </w:r>
      <w:r>
        <w:rPr>
          <w:rFonts w:hint="eastAsia" w:asciiTheme="minorEastAsia" w:hAnsiTheme="minorEastAsia" w:eastAsiaTheme="minorEastAsia"/>
          <w:sz w:val="32"/>
          <w:szCs w:val="32"/>
        </w:rPr>
        <w:t>%，主要包括办公费、印刷费、电费、邮电费、物业管理费、差旅费、维修（护）费、租赁费、培训费、劳务费、工会经费、福利费、其他交通费用、税金及附加费用、其他商品和服务支出、办公设备购置、专用设备购置、信息网络及软件购置更新、无形资产购置。</w:t>
      </w:r>
    </w:p>
    <w:p>
      <w:pPr>
        <w:pStyle w:val="12"/>
        <w:rPr>
          <w:rFonts w:hAnsi="黑体"/>
          <w:b/>
          <w:sz w:val="32"/>
          <w:szCs w:val="32"/>
        </w:rPr>
      </w:pPr>
      <w:r>
        <w:rPr>
          <w:rFonts w:hint="eastAsia" w:hAnsi="黑体"/>
          <w:b/>
          <w:sz w:val="32"/>
          <w:szCs w:val="32"/>
        </w:rPr>
        <w:t>七、一般公共预算财政拨款“三公”经费支出决算情况说明</w:t>
      </w:r>
    </w:p>
    <w:p>
      <w:pPr>
        <w:pStyle w:val="12"/>
        <w:rPr>
          <w:rFonts w:hint="eastAsia"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12"/>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w:t>
      </w:r>
    </w:p>
    <w:p>
      <w:pPr>
        <w:pStyle w:val="12"/>
        <w:ind w:firstLine="960" w:firstLineChars="30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万元，决算数</w:t>
      </w:r>
      <w:r>
        <w:rPr>
          <w:rFonts w:hint="eastAsia" w:asciiTheme="minorEastAsia" w:hAnsiTheme="minorEastAsia" w:eastAsiaTheme="minorEastAsia"/>
          <w:sz w:val="32"/>
          <w:szCs w:val="32"/>
          <w:lang w:eastAsia="zh-CN"/>
        </w:rPr>
        <w:t>与</w:t>
      </w:r>
      <w:r>
        <w:rPr>
          <w:rFonts w:hint="eastAsia" w:asciiTheme="minorEastAsia" w:hAnsiTheme="minorEastAsia" w:eastAsiaTheme="minorEastAsia"/>
          <w:sz w:val="32"/>
          <w:szCs w:val="32"/>
        </w:rPr>
        <w:t>预算数</w:t>
      </w:r>
      <w:r>
        <w:rPr>
          <w:rFonts w:hint="eastAsia" w:asciiTheme="minorEastAsia" w:hAnsiTheme="minorEastAsia" w:eastAsiaTheme="minorEastAsia"/>
          <w:sz w:val="32"/>
          <w:szCs w:val="32"/>
          <w:lang w:eastAsia="zh-CN"/>
        </w:rPr>
        <w:t>一致无差异，</w:t>
      </w:r>
      <w:r>
        <w:rPr>
          <w:rFonts w:hint="eastAsia" w:ascii="宋体" w:hAnsi="宋体" w:eastAsia="宋体"/>
          <w:bCs/>
          <w:sz w:val="32"/>
          <w:szCs w:val="32"/>
          <w:lang w:val="en-US" w:eastAsia="zh-CN"/>
        </w:rPr>
        <w:t>主要原因是单位无</w:t>
      </w:r>
      <w:r>
        <w:rPr>
          <w:rFonts w:hint="eastAsia" w:ascii="宋体" w:hAnsi="宋体" w:eastAsia="宋体"/>
          <w:bCs/>
          <w:sz w:val="32"/>
          <w:szCs w:val="32"/>
        </w:rPr>
        <w:t>因公出国（境）</w:t>
      </w:r>
      <w:r>
        <w:rPr>
          <w:rFonts w:hint="eastAsia" w:ascii="宋体" w:hAnsi="宋体" w:eastAsia="宋体"/>
          <w:bCs/>
          <w:sz w:val="32"/>
          <w:szCs w:val="32"/>
          <w:lang w:val="en-US" w:eastAsia="zh-CN"/>
        </w:rPr>
        <w:t>预算安排和支出，</w:t>
      </w:r>
      <w:r>
        <w:rPr>
          <w:rFonts w:hint="eastAsia" w:ascii="宋体" w:hAnsi="宋体" w:eastAsia="宋体"/>
          <w:bCs/>
          <w:sz w:val="32"/>
          <w:szCs w:val="32"/>
        </w:rPr>
        <w:t>与上年相比无</w:t>
      </w:r>
      <w:r>
        <w:rPr>
          <w:rFonts w:hint="eastAsia" w:ascii="宋体" w:hAnsi="宋体" w:eastAsia="宋体"/>
          <w:bCs/>
          <w:sz w:val="32"/>
          <w:szCs w:val="32"/>
          <w:lang w:eastAsia="zh-CN"/>
        </w:rPr>
        <w:t>增减</w:t>
      </w:r>
      <w:r>
        <w:rPr>
          <w:rFonts w:hint="eastAsia" w:ascii="宋体" w:hAnsi="宋体" w:eastAsia="宋体"/>
          <w:bCs/>
          <w:sz w:val="32"/>
          <w:szCs w:val="32"/>
        </w:rPr>
        <w:t>变化</w:t>
      </w:r>
      <w:r>
        <w:rPr>
          <w:rFonts w:hint="eastAsia" w:ascii="宋体" w:hAnsi="宋体" w:eastAsia="宋体"/>
          <w:bCs/>
          <w:sz w:val="32"/>
          <w:szCs w:val="32"/>
          <w:lang w:eastAsia="zh-CN"/>
        </w:rPr>
        <w:t>，</w:t>
      </w:r>
      <w:r>
        <w:rPr>
          <w:rFonts w:hint="eastAsia" w:ascii="宋体" w:hAnsi="宋体" w:eastAsia="宋体"/>
          <w:bCs/>
          <w:sz w:val="32"/>
          <w:szCs w:val="32"/>
          <w:lang w:val="en-US" w:eastAsia="zh-CN"/>
        </w:rPr>
        <w:t>主要原因是单位近两年均无</w:t>
      </w:r>
      <w:r>
        <w:rPr>
          <w:rFonts w:hint="eastAsia" w:ascii="宋体" w:hAnsi="宋体" w:eastAsia="宋体"/>
          <w:bCs/>
          <w:sz w:val="32"/>
          <w:szCs w:val="32"/>
        </w:rPr>
        <w:t>因公出国（境）</w:t>
      </w:r>
      <w:r>
        <w:rPr>
          <w:rFonts w:hint="eastAsia" w:ascii="宋体" w:hAnsi="宋体" w:eastAsia="宋体"/>
          <w:bCs/>
          <w:sz w:val="32"/>
          <w:szCs w:val="32"/>
          <w:lang w:val="en-US" w:eastAsia="zh-CN"/>
        </w:rPr>
        <w:t>预算安排和支出</w:t>
      </w:r>
      <w:r>
        <w:rPr>
          <w:rFonts w:hint="eastAsia" w:ascii="宋体" w:hAnsi="宋体" w:eastAsia="宋体"/>
          <w:bCs/>
          <w:sz w:val="32"/>
          <w:szCs w:val="32"/>
        </w:rPr>
        <w:t>。</w:t>
      </w:r>
    </w:p>
    <w:p>
      <w:pPr>
        <w:pStyle w:val="12"/>
        <w:ind w:firstLine="960" w:firstLineChars="30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万元，决算数</w:t>
      </w:r>
      <w:r>
        <w:rPr>
          <w:rFonts w:hint="eastAsia" w:asciiTheme="minorEastAsia" w:hAnsiTheme="minorEastAsia" w:eastAsiaTheme="minorEastAsia"/>
          <w:sz w:val="32"/>
          <w:szCs w:val="32"/>
          <w:lang w:eastAsia="zh-CN"/>
        </w:rPr>
        <w:t>与</w:t>
      </w:r>
      <w:r>
        <w:rPr>
          <w:rFonts w:hint="eastAsia" w:asciiTheme="minorEastAsia" w:hAnsiTheme="minorEastAsia" w:eastAsiaTheme="minorEastAsia"/>
          <w:sz w:val="32"/>
          <w:szCs w:val="32"/>
        </w:rPr>
        <w:t>预算数</w:t>
      </w:r>
      <w:r>
        <w:rPr>
          <w:rFonts w:hint="eastAsia" w:asciiTheme="minorEastAsia" w:hAnsiTheme="minorEastAsia" w:eastAsiaTheme="minorEastAsia"/>
          <w:sz w:val="32"/>
          <w:szCs w:val="32"/>
          <w:lang w:eastAsia="zh-CN"/>
        </w:rPr>
        <w:t>一致无差异，</w:t>
      </w:r>
      <w:r>
        <w:rPr>
          <w:rFonts w:hint="eastAsia" w:ascii="宋体" w:hAnsi="宋体" w:eastAsia="宋体"/>
          <w:bCs/>
          <w:sz w:val="32"/>
          <w:szCs w:val="32"/>
          <w:lang w:val="en-US" w:eastAsia="zh-CN"/>
        </w:rPr>
        <w:t>主要原因是单位厉行节约，严控公务接待，</w:t>
      </w:r>
      <w:r>
        <w:rPr>
          <w:rFonts w:hint="eastAsia" w:ascii="宋体" w:hAnsi="宋体" w:eastAsia="宋体"/>
          <w:bCs/>
          <w:sz w:val="32"/>
          <w:szCs w:val="32"/>
        </w:rPr>
        <w:t>与上年相比无</w:t>
      </w:r>
      <w:r>
        <w:rPr>
          <w:rFonts w:hint="eastAsia" w:ascii="宋体" w:hAnsi="宋体" w:eastAsia="宋体"/>
          <w:bCs/>
          <w:sz w:val="32"/>
          <w:szCs w:val="32"/>
          <w:lang w:eastAsia="zh-CN"/>
        </w:rPr>
        <w:t>增减</w:t>
      </w:r>
      <w:r>
        <w:rPr>
          <w:rFonts w:hint="eastAsia" w:ascii="宋体" w:hAnsi="宋体" w:eastAsia="宋体"/>
          <w:bCs/>
          <w:sz w:val="32"/>
          <w:szCs w:val="32"/>
        </w:rPr>
        <w:t>变化</w:t>
      </w:r>
      <w:r>
        <w:rPr>
          <w:rFonts w:hint="eastAsia" w:ascii="宋体" w:hAnsi="宋体" w:eastAsia="宋体"/>
          <w:bCs/>
          <w:sz w:val="32"/>
          <w:szCs w:val="32"/>
          <w:lang w:eastAsia="zh-CN"/>
        </w:rPr>
        <w:t>，</w:t>
      </w:r>
      <w:r>
        <w:rPr>
          <w:rFonts w:hint="eastAsia" w:ascii="宋体" w:hAnsi="宋体" w:eastAsia="宋体"/>
          <w:bCs/>
          <w:sz w:val="32"/>
          <w:szCs w:val="32"/>
          <w:lang w:val="en-US" w:eastAsia="zh-CN"/>
        </w:rPr>
        <w:t>主要原因是单位一直厉行节约，严控公务接待</w:t>
      </w:r>
      <w:r>
        <w:rPr>
          <w:rFonts w:hint="eastAsia" w:ascii="宋体" w:hAnsi="宋体" w:eastAsia="宋体"/>
          <w:bCs/>
          <w:sz w:val="32"/>
          <w:szCs w:val="32"/>
        </w:rPr>
        <w:t>。</w:t>
      </w:r>
    </w:p>
    <w:p>
      <w:pPr>
        <w:keepNext/>
        <w:keepLines/>
        <w:autoSpaceDE w:val="0"/>
        <w:autoSpaceDN w:val="0"/>
        <w:adjustRightInd w:val="0"/>
        <w:spacing w:beforeLines="0" w:afterLines="0" w:line="560" w:lineRule="exact"/>
        <w:ind w:firstLine="640"/>
        <w:rPr>
          <w:rFonts w:hint="eastAsia" w:ascii="宋体" w:hAnsi="Times New Roman" w:eastAsia="宋体"/>
          <w:sz w:val="32"/>
          <w:highlight w:val="white"/>
          <w:lang w:val="zh-CN"/>
        </w:rPr>
      </w:pPr>
      <w:r>
        <w:rPr>
          <w:rFonts w:hint="eastAsia" w:ascii="宋体" w:hAnsi="Times New Roman" w:eastAsia="宋体"/>
          <w:color w:val="000000"/>
          <w:sz w:val="32"/>
          <w:highlight w:val="white"/>
        </w:rPr>
        <w:t>公务用车购置费支出预算为0万元，支出决算为0万元，决算数与预算数一致</w:t>
      </w:r>
      <w:r>
        <w:rPr>
          <w:rFonts w:hint="eastAsia" w:ascii="宋体" w:hAnsi="Times New Roman" w:eastAsia="宋体"/>
          <w:color w:val="000000"/>
          <w:sz w:val="32"/>
          <w:highlight w:val="white"/>
          <w:lang w:eastAsia="zh-CN"/>
        </w:rPr>
        <w:t>无差异</w:t>
      </w:r>
      <w:r>
        <w:rPr>
          <w:rFonts w:hint="eastAsia" w:ascii="宋体" w:hAnsi="Times New Roman" w:eastAsia="宋体"/>
          <w:color w:val="000000"/>
          <w:sz w:val="32"/>
          <w:highlight w:val="white"/>
        </w:rPr>
        <w:t>，主要原因是</w:t>
      </w:r>
      <w:r>
        <w:rPr>
          <w:rFonts w:hint="eastAsia" w:ascii="宋体" w:hAnsi="Times New Roman" w:eastAsia="宋体"/>
          <w:color w:val="000000"/>
          <w:sz w:val="32"/>
          <w:highlight w:val="white"/>
          <w:lang w:eastAsia="zh-CN"/>
        </w:rPr>
        <w:t>单位无</w:t>
      </w:r>
      <w:r>
        <w:rPr>
          <w:rFonts w:hint="eastAsia" w:ascii="宋体" w:hAnsi="Times New Roman" w:eastAsia="宋体"/>
          <w:color w:val="000000"/>
          <w:sz w:val="32"/>
          <w:highlight w:val="white"/>
          <w:lang w:val="zh-CN"/>
        </w:rPr>
        <w:t>公务用车购置安排。</w:t>
      </w:r>
      <w:r>
        <w:rPr>
          <w:rFonts w:hint="eastAsia" w:ascii="宋体" w:hAnsi="Times New Roman" w:eastAsia="宋体"/>
          <w:sz w:val="32"/>
          <w:highlight w:val="white"/>
        </w:rPr>
        <w:t>与上年相比无增减变化，主要原因是</w:t>
      </w:r>
      <w:r>
        <w:rPr>
          <w:rFonts w:hint="eastAsia" w:ascii="宋体" w:hAnsi="Times New Roman" w:eastAsia="宋体"/>
          <w:sz w:val="32"/>
          <w:highlight w:val="white"/>
          <w:lang w:eastAsia="zh-CN"/>
        </w:rPr>
        <w:t>单位近两年均</w:t>
      </w:r>
      <w:r>
        <w:rPr>
          <w:rFonts w:hint="eastAsia" w:ascii="宋体" w:hAnsi="Times New Roman" w:eastAsia="宋体"/>
          <w:color w:val="000000"/>
          <w:sz w:val="32"/>
          <w:highlight w:val="white"/>
          <w:lang w:eastAsia="zh-CN"/>
        </w:rPr>
        <w:t>无</w:t>
      </w:r>
      <w:r>
        <w:rPr>
          <w:rFonts w:hint="eastAsia" w:ascii="宋体" w:hAnsi="Times New Roman" w:eastAsia="宋体"/>
          <w:color w:val="000000"/>
          <w:sz w:val="32"/>
          <w:highlight w:val="white"/>
          <w:lang w:val="zh-CN"/>
        </w:rPr>
        <w:t>公务用车购置安排。</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公务用车运行维护费支出预算为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宋体" w:hAnsi="Times New Roman" w:eastAsia="宋体"/>
          <w:color w:val="000000"/>
          <w:sz w:val="32"/>
          <w:highlight w:val="white"/>
        </w:rPr>
        <w:t>决算数与预算数一致</w:t>
      </w:r>
      <w:r>
        <w:rPr>
          <w:rFonts w:hint="eastAsia" w:ascii="宋体" w:hAnsi="Times New Roman" w:eastAsia="宋体"/>
          <w:color w:val="000000"/>
          <w:sz w:val="32"/>
          <w:highlight w:val="white"/>
          <w:lang w:eastAsia="zh-CN"/>
        </w:rPr>
        <w:t>无差异，</w:t>
      </w:r>
      <w:r>
        <w:rPr>
          <w:rFonts w:hint="eastAsia" w:asciiTheme="minorEastAsia" w:hAnsiTheme="minorEastAsia" w:eastAsiaTheme="minorEastAsia"/>
          <w:sz w:val="32"/>
          <w:szCs w:val="32"/>
        </w:rPr>
        <w:t>主要原因是</w:t>
      </w:r>
      <w:r>
        <w:rPr>
          <w:rFonts w:hint="eastAsia" w:asciiTheme="minorEastAsia" w:hAnsiTheme="minorEastAsia" w:eastAsiaTheme="minorEastAsia"/>
          <w:sz w:val="32"/>
          <w:szCs w:val="32"/>
          <w:lang w:eastAsia="zh-CN"/>
        </w:rPr>
        <w:t>单位无公务用车</w:t>
      </w:r>
      <w:r>
        <w:rPr>
          <w:rFonts w:hint="eastAsia" w:asciiTheme="minorEastAsia" w:hAnsiTheme="minorEastAsia" w:eastAsiaTheme="minorEastAsia"/>
          <w:sz w:val="32"/>
          <w:szCs w:val="32"/>
        </w:rPr>
        <w:t>，与上年相比</w:t>
      </w:r>
      <w:r>
        <w:rPr>
          <w:rFonts w:hint="eastAsia" w:ascii="宋体" w:hAnsi="Times New Roman" w:eastAsia="宋体"/>
          <w:sz w:val="32"/>
          <w:highlight w:val="white"/>
        </w:rPr>
        <w:t>无增减变化</w:t>
      </w:r>
      <w:r>
        <w:rPr>
          <w:rFonts w:hint="eastAsia" w:ascii="宋体" w:hAnsi="Times New Roman" w:eastAsia="宋体"/>
          <w:sz w:val="32"/>
          <w:highlight w:val="white"/>
          <w:lang w:eastAsia="zh-CN"/>
        </w:rPr>
        <w:t>，</w:t>
      </w:r>
      <w:r>
        <w:rPr>
          <w:rFonts w:hint="eastAsia" w:asciiTheme="minorEastAsia" w:hAnsiTheme="minorEastAsia" w:eastAsiaTheme="minorEastAsia"/>
          <w:sz w:val="32"/>
          <w:szCs w:val="32"/>
        </w:rPr>
        <w:t>主要原因是</w:t>
      </w:r>
      <w:r>
        <w:rPr>
          <w:rFonts w:hint="eastAsia" w:asciiTheme="minorEastAsia" w:hAnsiTheme="minorEastAsia" w:eastAsiaTheme="minorEastAsia"/>
          <w:sz w:val="32"/>
          <w:szCs w:val="32"/>
          <w:lang w:eastAsia="zh-CN"/>
        </w:rPr>
        <w:t>单位无公务用车</w:t>
      </w:r>
      <w:r>
        <w:rPr>
          <w:rFonts w:hint="eastAsia" w:asciiTheme="minorEastAsia" w:hAnsiTheme="minorEastAsia" w:eastAsiaTheme="minorEastAsia"/>
          <w:sz w:val="32"/>
          <w:szCs w:val="32"/>
        </w:rPr>
        <w:t>。</w:t>
      </w:r>
    </w:p>
    <w:p>
      <w:pPr>
        <w:pStyle w:val="12"/>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2021年度“三公”经费财政拨款支出决算中，公务接待费支出决算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%,因公出国（境）费支出决算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%,公务用车购置费及运行维护费支出决算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w:t>
      </w:r>
    </w:p>
    <w:p>
      <w:pPr>
        <w:pStyle w:val="12"/>
        <w:ind w:firstLine="640" w:firstLineChars="200"/>
        <w:rPr>
          <w:rFonts w:hint="eastAsia" w:asciiTheme="minorEastAsia" w:hAnsiTheme="minorEastAsia" w:eastAsiaTheme="minorEastAsia"/>
          <w:b/>
          <w:sz w:val="32"/>
          <w:szCs w:val="32"/>
          <w:lang w:val="en-US" w:eastAsia="zh-CN"/>
        </w:rPr>
      </w:pPr>
      <w:r>
        <w:rPr>
          <w:rFonts w:hint="eastAsia" w:asciiTheme="minorEastAsia" w:hAnsiTheme="minorEastAsia" w:eastAsiaTheme="minorEastAsia"/>
          <w:sz w:val="32"/>
          <w:szCs w:val="32"/>
        </w:rPr>
        <w:t>1、因公出国（境）费支出决算为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万元，全年安排因公出国（境）团组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个，累计</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人次</w:t>
      </w:r>
      <w:r>
        <w:rPr>
          <w:rFonts w:hint="eastAsia" w:asciiTheme="minorEastAsia" w:hAnsiTheme="minorEastAsia" w:eastAsiaTheme="minorEastAsia"/>
          <w:sz w:val="32"/>
          <w:szCs w:val="32"/>
          <w:lang w:val="en-US" w:eastAsia="zh-CN"/>
        </w:rPr>
        <w:t>,</w:t>
      </w:r>
      <w:r>
        <w:rPr>
          <w:rFonts w:hint="eastAsia" w:asciiTheme="minorEastAsia" w:hAnsiTheme="minorEastAsia" w:eastAsiaTheme="minorEastAsia"/>
          <w:sz w:val="32"/>
          <w:szCs w:val="32"/>
        </w:rPr>
        <w:t>全年未作出因公出国（境）公务安排。</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万元，全年共接待来访团组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个、来宾</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人次</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全年没有发生公务接待活动。</w:t>
      </w:r>
    </w:p>
    <w:p>
      <w:pPr>
        <w:ind w:firstLine="800" w:firstLineChars="250"/>
        <w:rPr>
          <w:rFonts w:asciiTheme="minorEastAsia" w:hAnsiTheme="minorEastAsia"/>
          <w:sz w:val="32"/>
          <w:szCs w:val="32"/>
        </w:rPr>
      </w:pPr>
      <w:r>
        <w:rPr>
          <w:rFonts w:hint="eastAsia" w:asciiTheme="minorEastAsia" w:hAnsiTheme="minorEastAsia"/>
          <w:sz w:val="32"/>
          <w:szCs w:val="32"/>
        </w:rPr>
        <w:t>3、公务用车购置费及运行维护费支出决算为</w:t>
      </w:r>
      <w:r>
        <w:rPr>
          <w:rFonts w:hint="eastAsia" w:asciiTheme="minorEastAsia" w:hAnsiTheme="minorEastAsia"/>
          <w:sz w:val="32"/>
          <w:szCs w:val="32"/>
          <w:lang w:val="en-US" w:eastAsia="zh-CN"/>
        </w:rPr>
        <w:t>0</w:t>
      </w:r>
      <w:r>
        <w:rPr>
          <w:rFonts w:hint="eastAsia" w:asciiTheme="minorEastAsia" w:hAnsiTheme="minorEastAsia"/>
          <w:sz w:val="32"/>
          <w:szCs w:val="32"/>
        </w:rPr>
        <w:t>万元，其中：公务用车购置费</w:t>
      </w:r>
      <w:r>
        <w:rPr>
          <w:rFonts w:hint="eastAsia" w:asciiTheme="minorEastAsia" w:hAnsiTheme="minorEastAsia"/>
          <w:sz w:val="32"/>
          <w:szCs w:val="32"/>
          <w:lang w:val="en-US" w:eastAsia="zh-CN"/>
        </w:rPr>
        <w:t>0</w:t>
      </w:r>
      <w:r>
        <w:rPr>
          <w:rFonts w:hint="eastAsia" w:asciiTheme="minorEastAsia" w:hAnsiTheme="minorEastAsia"/>
          <w:sz w:val="32"/>
          <w:szCs w:val="32"/>
        </w:rPr>
        <w:t>万元，单位本级更新公务用车</w:t>
      </w:r>
      <w:r>
        <w:rPr>
          <w:rFonts w:hint="eastAsia" w:asciiTheme="minorEastAsia" w:hAnsiTheme="minorEastAsia"/>
          <w:sz w:val="32"/>
          <w:szCs w:val="32"/>
          <w:lang w:val="en-US" w:eastAsia="zh-CN"/>
        </w:rPr>
        <w:t>0</w:t>
      </w:r>
      <w:r>
        <w:rPr>
          <w:rFonts w:hint="eastAsia" w:asciiTheme="minorEastAsia" w:hAnsiTheme="minorEastAsia"/>
          <w:sz w:val="32"/>
          <w:szCs w:val="32"/>
        </w:rPr>
        <w:t>辆</w:t>
      </w:r>
      <w:r>
        <w:rPr>
          <w:rFonts w:hint="eastAsia" w:asciiTheme="minorEastAsia" w:hAnsiTheme="minorEastAsia"/>
          <w:color w:val="000000" w:themeColor="text1"/>
          <w:sz w:val="32"/>
          <w:szCs w:val="32"/>
          <w14:textFill>
            <w14:solidFill>
              <w14:schemeClr w14:val="tx1"/>
            </w14:solidFill>
          </w14:textFill>
        </w:rPr>
        <w:t>。</w:t>
      </w:r>
      <w:r>
        <w:rPr>
          <w:rFonts w:hint="eastAsia" w:asciiTheme="minorEastAsia" w:hAnsiTheme="minorEastAsia"/>
          <w:sz w:val="32"/>
          <w:szCs w:val="32"/>
        </w:rPr>
        <w:t>公务用车运行维护费</w:t>
      </w:r>
      <w:r>
        <w:rPr>
          <w:rFonts w:hint="eastAsia" w:asciiTheme="minorEastAsia" w:hAnsiTheme="minorEastAsia"/>
          <w:sz w:val="32"/>
          <w:szCs w:val="32"/>
          <w:lang w:val="en-US" w:eastAsia="zh-CN"/>
        </w:rPr>
        <w:t>0</w:t>
      </w:r>
      <w:r>
        <w:rPr>
          <w:rFonts w:hint="eastAsia" w:asciiTheme="minorEastAsia" w:hAnsiTheme="minorEastAsia"/>
          <w:sz w:val="32"/>
          <w:szCs w:val="32"/>
        </w:rPr>
        <w:t>万元，截止2021年12月31日，我单位开支财政拨款的公务用车保有量为</w:t>
      </w:r>
      <w:r>
        <w:rPr>
          <w:rFonts w:hint="eastAsia" w:asciiTheme="minorEastAsia" w:hAnsiTheme="minorEastAsia"/>
          <w:sz w:val="32"/>
          <w:szCs w:val="32"/>
          <w:lang w:val="en-US" w:eastAsia="zh-CN"/>
        </w:rPr>
        <w:t>0</w:t>
      </w:r>
      <w:r>
        <w:rPr>
          <w:rFonts w:hint="eastAsia" w:asciiTheme="minorEastAsia" w:hAnsiTheme="minorEastAsia"/>
          <w:sz w:val="32"/>
          <w:szCs w:val="32"/>
        </w:rPr>
        <w:t>辆</w:t>
      </w:r>
      <w:r>
        <w:rPr>
          <w:rFonts w:hint="eastAsia" w:asciiTheme="minorEastAsia" w:hAnsiTheme="minorEastAsia"/>
          <w:sz w:val="32"/>
          <w:szCs w:val="32"/>
          <w:lang w:val="en-US" w:eastAsia="zh-CN"/>
        </w:rPr>
        <w:t>,</w:t>
      </w:r>
      <w:r>
        <w:rPr>
          <w:rFonts w:hint="eastAsia" w:asciiTheme="minorEastAsia" w:hAnsiTheme="minorEastAsia"/>
          <w:sz w:val="32"/>
          <w:szCs w:val="32"/>
        </w:rPr>
        <w:t>当年没有购置公务用车。</w:t>
      </w:r>
    </w:p>
    <w:p>
      <w:pPr>
        <w:pStyle w:val="12"/>
        <w:rPr>
          <w:rFonts w:hAnsi="黑体"/>
          <w:b/>
          <w:sz w:val="32"/>
          <w:szCs w:val="32"/>
        </w:rPr>
      </w:pPr>
      <w:r>
        <w:rPr>
          <w:rFonts w:hint="eastAsia" w:hAnsi="黑体"/>
          <w:b/>
          <w:sz w:val="32"/>
          <w:szCs w:val="32"/>
        </w:rPr>
        <w:t>八、政府性基金预算收入支出决算情况</w:t>
      </w:r>
    </w:p>
    <w:p>
      <w:pPr>
        <w:pStyle w:val="12"/>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2021年度政府性基金预算财政拨款收入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万元；年初结转和结余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万元，项目支出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万元；年末结转和结余</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p>
    <w:p>
      <w:pPr>
        <w:pStyle w:val="12"/>
        <w:ind w:firstLine="640" w:firstLineChars="2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val="en-US" w:eastAsia="zh-CN"/>
        </w:rPr>
        <w:t>2021年度本单位无</w:t>
      </w:r>
      <w:r>
        <w:rPr>
          <w:rFonts w:hint="eastAsia" w:asciiTheme="minorEastAsia" w:hAnsiTheme="minorEastAsia" w:eastAsiaTheme="minorEastAsia"/>
          <w:sz w:val="32"/>
          <w:szCs w:val="32"/>
        </w:rPr>
        <w:t>政府性基金预算收入支出</w:t>
      </w:r>
      <w:r>
        <w:rPr>
          <w:rFonts w:hint="eastAsia" w:asciiTheme="minorEastAsia" w:hAnsiTheme="minorEastAsia" w:eastAsiaTheme="minorEastAsia"/>
          <w:sz w:val="32"/>
          <w:szCs w:val="32"/>
          <w:lang w:eastAsia="zh-CN"/>
        </w:rPr>
        <w:t>。</w:t>
      </w:r>
    </w:p>
    <w:p>
      <w:pPr>
        <w:pStyle w:val="12"/>
        <w:numPr>
          <w:ilvl w:val="0"/>
          <w:numId w:val="3"/>
        </w:numPr>
        <w:rPr>
          <w:rFonts w:hint="eastAsia" w:hAnsi="黑体"/>
          <w:b/>
          <w:sz w:val="32"/>
          <w:szCs w:val="32"/>
          <w:lang w:eastAsia="zh-CN"/>
        </w:rPr>
      </w:pPr>
      <w:r>
        <w:rPr>
          <w:rFonts w:hint="eastAsia" w:hAnsi="黑体"/>
          <w:b/>
          <w:sz w:val="32"/>
          <w:szCs w:val="32"/>
        </w:rPr>
        <w:t>国有资本经营预算财政拨款支出决算</w:t>
      </w:r>
      <w:r>
        <w:rPr>
          <w:rFonts w:hint="eastAsia" w:hAnsi="黑体"/>
          <w:b/>
          <w:sz w:val="32"/>
          <w:szCs w:val="32"/>
          <w:lang w:eastAsia="zh-CN"/>
        </w:rPr>
        <w:t>情况</w:t>
      </w:r>
    </w:p>
    <w:p>
      <w:pPr>
        <w:pStyle w:val="12"/>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2021年度国有资本经营预算财政拨款</w:t>
      </w:r>
      <w:r>
        <w:rPr>
          <w:rFonts w:hint="eastAsia" w:asciiTheme="minorEastAsia" w:hAnsiTheme="minorEastAsia" w:eastAsiaTheme="minorEastAsia"/>
          <w:sz w:val="32"/>
          <w:szCs w:val="32"/>
          <w:lang w:eastAsia="zh-CN"/>
        </w:rPr>
        <w:t>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万元；基本支出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万元，项目支出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p>
    <w:p>
      <w:pPr>
        <w:pStyle w:val="12"/>
        <w:ind w:firstLine="640" w:firstLineChars="200"/>
        <w:rPr>
          <w:rFonts w:hint="eastAsia" w:hAnsi="黑体" w:eastAsiaTheme="minorEastAsia"/>
          <w:b/>
          <w:i w:val="0"/>
          <w:iCs/>
          <w:color w:val="auto"/>
          <w:sz w:val="32"/>
          <w:szCs w:val="32"/>
          <w:lang w:val="en-US" w:eastAsia="zh-CN"/>
        </w:rPr>
      </w:pPr>
      <w:r>
        <w:rPr>
          <w:rFonts w:hint="eastAsia" w:asciiTheme="minorEastAsia" w:hAnsiTheme="minorEastAsia" w:eastAsiaTheme="minorEastAsia"/>
          <w:i w:val="0"/>
          <w:iCs/>
          <w:color w:val="auto"/>
          <w:sz w:val="32"/>
          <w:szCs w:val="32"/>
          <w:lang w:val="en-US" w:eastAsia="zh-CN"/>
        </w:rPr>
        <w:t>2021年度</w:t>
      </w:r>
      <w:r>
        <w:rPr>
          <w:rFonts w:hint="eastAsia" w:asciiTheme="minorEastAsia" w:hAnsiTheme="minorEastAsia" w:eastAsiaTheme="minorEastAsia"/>
          <w:i w:val="0"/>
          <w:iCs/>
          <w:color w:val="auto"/>
          <w:sz w:val="32"/>
          <w:szCs w:val="32"/>
        </w:rPr>
        <w:t>本单位无国有资本经营预算财政拨款支出</w:t>
      </w:r>
      <w:r>
        <w:rPr>
          <w:rFonts w:hint="eastAsia" w:asciiTheme="minorEastAsia" w:hAnsiTheme="minorEastAsia" w:eastAsiaTheme="minorEastAsia"/>
          <w:i w:val="0"/>
          <w:iCs/>
          <w:color w:val="auto"/>
          <w:sz w:val="32"/>
          <w:szCs w:val="32"/>
          <w:lang w:eastAsia="zh-CN"/>
        </w:rPr>
        <w:t>。</w:t>
      </w:r>
    </w:p>
    <w:p>
      <w:pPr>
        <w:pStyle w:val="12"/>
        <w:rPr>
          <w:rFonts w:hAnsi="黑体"/>
          <w:b/>
          <w:sz w:val="32"/>
          <w:szCs w:val="32"/>
        </w:rPr>
      </w:pPr>
      <w:r>
        <w:rPr>
          <w:rFonts w:hint="eastAsia" w:hAnsi="黑体"/>
          <w:b/>
          <w:sz w:val="32"/>
          <w:szCs w:val="32"/>
        </w:rPr>
        <w:t>十、机关运行经费支出说明</w:t>
      </w:r>
    </w:p>
    <w:p>
      <w:pPr>
        <w:pStyle w:val="12"/>
        <w:ind w:firstLine="640" w:firstLineChars="2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本部门2021年度机关运行经费支出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万元，比上年决算数</w:t>
      </w:r>
      <w:r>
        <w:rPr>
          <w:rFonts w:hint="eastAsia" w:asciiTheme="minorEastAsia" w:hAnsiTheme="minorEastAsia" w:eastAsiaTheme="minorEastAsia"/>
          <w:sz w:val="32"/>
          <w:szCs w:val="32"/>
          <w:lang w:eastAsia="zh-CN"/>
        </w:rPr>
        <w:t>无增减变化</w:t>
      </w:r>
      <w:r>
        <w:rPr>
          <w:rFonts w:hint="eastAsia" w:asciiTheme="minorEastAsia" w:hAnsiTheme="minorEastAsia" w:eastAsiaTheme="minorEastAsia"/>
          <w:sz w:val="32"/>
          <w:szCs w:val="32"/>
        </w:rPr>
        <w:t>。主要原因是</w:t>
      </w:r>
      <w:r>
        <w:rPr>
          <w:rFonts w:hint="eastAsia" w:asciiTheme="minorEastAsia" w:hAnsiTheme="minorEastAsia" w:eastAsiaTheme="minorEastAsia"/>
          <w:sz w:val="32"/>
          <w:szCs w:val="32"/>
          <w:lang w:eastAsia="zh-CN"/>
        </w:rPr>
        <w:t>本单位非行政单位和参照公务员法管理事业单位。</w:t>
      </w:r>
    </w:p>
    <w:p>
      <w:pPr>
        <w:pStyle w:val="12"/>
        <w:rPr>
          <w:rFonts w:hAnsi="黑体"/>
          <w:b/>
          <w:sz w:val="32"/>
          <w:szCs w:val="32"/>
        </w:rPr>
      </w:pPr>
      <w:r>
        <w:rPr>
          <w:rFonts w:hint="eastAsia" w:hAnsi="黑体"/>
          <w:b/>
          <w:sz w:val="32"/>
          <w:szCs w:val="32"/>
        </w:rPr>
        <w:t>十一、一般性支出情况说明</w:t>
      </w:r>
    </w:p>
    <w:p>
      <w:pPr>
        <w:pStyle w:val="12"/>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2021年本部门开支会议费</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未召开会议，</w:t>
      </w:r>
      <w:r>
        <w:rPr>
          <w:rFonts w:hint="eastAsia" w:asciiTheme="minorEastAsia" w:hAnsiTheme="minorEastAsia" w:eastAsiaTheme="minorEastAsia"/>
          <w:sz w:val="32"/>
          <w:szCs w:val="32"/>
        </w:rPr>
        <w:t>人数</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w:t>
      </w:r>
      <w:r>
        <w:rPr>
          <w:rFonts w:hint="eastAsia" w:asciiTheme="minorEastAsia" w:hAnsiTheme="minorEastAsia" w:eastAsiaTheme="minorEastAsia"/>
          <w:sz w:val="32"/>
          <w:szCs w:val="32"/>
          <w:lang w:eastAsia="zh-CN"/>
        </w:rPr>
        <w:t>无会议内容</w:t>
      </w:r>
      <w:r>
        <w:rPr>
          <w:rFonts w:hint="eastAsia" w:asciiTheme="minorEastAsia" w:hAnsiTheme="minorEastAsia" w:eastAsiaTheme="minorEastAsia"/>
          <w:sz w:val="32"/>
          <w:szCs w:val="32"/>
        </w:rPr>
        <w:t>；开支培训费</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未</w:t>
      </w:r>
      <w:r>
        <w:rPr>
          <w:rFonts w:hint="eastAsia" w:asciiTheme="minorEastAsia" w:hAnsiTheme="minorEastAsia" w:eastAsiaTheme="minorEastAsia"/>
          <w:sz w:val="32"/>
          <w:szCs w:val="32"/>
        </w:rPr>
        <w:t>开展培训，人数</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w:t>
      </w:r>
      <w:r>
        <w:rPr>
          <w:rFonts w:hint="eastAsia" w:asciiTheme="minorEastAsia" w:hAnsiTheme="minorEastAsia" w:eastAsiaTheme="minorEastAsia"/>
          <w:sz w:val="32"/>
          <w:szCs w:val="32"/>
          <w:lang w:eastAsia="zh-CN"/>
        </w:rPr>
        <w:t>无培训</w:t>
      </w:r>
      <w:r>
        <w:rPr>
          <w:rFonts w:hint="eastAsia" w:asciiTheme="minorEastAsia" w:hAnsiTheme="minorEastAsia" w:eastAsiaTheme="minorEastAsia"/>
          <w:sz w:val="32"/>
          <w:szCs w:val="32"/>
        </w:rPr>
        <w:t>内容；</w:t>
      </w:r>
      <w:r>
        <w:rPr>
          <w:rFonts w:hint="eastAsia" w:asciiTheme="minorEastAsia" w:hAnsiTheme="minorEastAsia" w:eastAsiaTheme="minorEastAsia"/>
          <w:sz w:val="32"/>
          <w:szCs w:val="32"/>
          <w:lang w:eastAsia="zh-CN"/>
        </w:rPr>
        <w:t>未</w:t>
      </w:r>
      <w:r>
        <w:rPr>
          <w:rFonts w:hint="eastAsia" w:asciiTheme="minorEastAsia" w:hAnsiTheme="minorEastAsia" w:eastAsiaTheme="minorEastAsia"/>
          <w:sz w:val="32"/>
          <w:szCs w:val="32"/>
        </w:rPr>
        <w:t>举办节庆、晚会、论坛、赛事活动，开支</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p>
    <w:p>
      <w:pPr>
        <w:pStyle w:val="12"/>
        <w:rPr>
          <w:rFonts w:hAnsi="黑体"/>
          <w:b/>
          <w:sz w:val="32"/>
          <w:szCs w:val="32"/>
        </w:rPr>
      </w:pPr>
      <w:r>
        <w:rPr>
          <w:rFonts w:hint="eastAsia" w:hAnsi="黑体"/>
          <w:b/>
          <w:sz w:val="32"/>
          <w:szCs w:val="32"/>
        </w:rPr>
        <w:t>十二、政府采购支出说明</w:t>
      </w:r>
    </w:p>
    <w:p>
      <w:pPr>
        <w:pStyle w:val="12"/>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本部门2021年度政府采购支出总额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万元，其中：政府采购货物支出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 xml:space="preserve"> 万元、政府采购工程支出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 xml:space="preserve"> 万元、政府采购服务支出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万元。授予中小企业合同金额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%，其中：授予小微企业合同金额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万元，占授予中小企业合同金额的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%；货物采购授予中小企业合同金额占货物支出金额的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%，工程采购授予中小企业合同金额占工程支出金额的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%，服务采购授予中小企业合同金额占服务支出金额的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12"/>
        <w:rPr>
          <w:rFonts w:hAnsi="黑体"/>
          <w:b/>
          <w:sz w:val="32"/>
          <w:szCs w:val="32"/>
        </w:rPr>
      </w:pPr>
      <w:r>
        <w:rPr>
          <w:rFonts w:hint="eastAsia" w:hAnsi="黑体"/>
          <w:b/>
          <w:sz w:val="32"/>
          <w:szCs w:val="32"/>
        </w:rPr>
        <w:t>十三、国有资产占用情况说明</w:t>
      </w:r>
    </w:p>
    <w:p>
      <w:pPr>
        <w:pStyle w:val="12"/>
        <w:ind w:firstLine="640" w:firstLineChars="200"/>
        <w:rPr>
          <w:rFonts w:hint="eastAsia" w:asciiTheme="minorEastAsia" w:hAnsiTheme="minorEastAsia" w:eastAsiaTheme="minorEastAsia"/>
          <w:b/>
          <w:sz w:val="32"/>
          <w:szCs w:val="32"/>
        </w:rPr>
      </w:pPr>
      <w:r>
        <w:rPr>
          <w:rFonts w:hint="eastAsia" w:asciiTheme="minorEastAsia" w:hAnsiTheme="minorEastAsia" w:eastAsiaTheme="minorEastAsia"/>
          <w:sz w:val="32"/>
          <w:szCs w:val="32"/>
        </w:rPr>
        <w:t>截至2021年12月31日，部门（单位）共有车辆</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辆，其中，主要领导干部用车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辆，机要通信用车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辆、应急保障用车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辆、执法执勤用车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辆、特种专业技术用车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辆、其他用车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辆，其他用车</w:t>
      </w:r>
      <w:r>
        <w:rPr>
          <w:rFonts w:hint="eastAsia" w:ascii="宋体" w:hAnsi="Times New Roman" w:eastAsia="宋体"/>
          <w:sz w:val="32"/>
        </w:rPr>
        <w:t>主要是用于机要通信和应急保障之外公务用途的车辆</w:t>
      </w:r>
      <w:r>
        <w:rPr>
          <w:rFonts w:hint="eastAsia" w:asciiTheme="minorEastAsia" w:hAnsiTheme="minorEastAsia" w:eastAsiaTheme="minorEastAsia"/>
          <w:sz w:val="32"/>
          <w:szCs w:val="32"/>
        </w:rPr>
        <w:t>；单位价值50万元以上通用设备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台（套）；单位价值100万元以上专用设备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w:t>
      </w:r>
    </w:p>
    <w:p>
      <w:pPr>
        <w:pStyle w:val="12"/>
        <w:rPr>
          <w:rFonts w:hint="eastAsia" w:hAnsi="黑体"/>
          <w:b/>
          <w:sz w:val="32"/>
          <w:szCs w:val="32"/>
          <w:lang w:eastAsia="zh-CN"/>
        </w:rPr>
      </w:pPr>
    </w:p>
    <w:p>
      <w:pPr>
        <w:pStyle w:val="12"/>
        <w:rPr>
          <w:rFonts w:hAnsi="黑体"/>
          <w:b/>
          <w:sz w:val="32"/>
          <w:szCs w:val="32"/>
        </w:rPr>
      </w:pPr>
      <w:r>
        <w:rPr>
          <w:rFonts w:hint="eastAsia" w:hAnsi="黑体"/>
          <w:b/>
          <w:sz w:val="32"/>
          <w:szCs w:val="32"/>
          <w:lang w:eastAsia="zh-CN"/>
        </w:rPr>
        <w:t>十四、</w:t>
      </w:r>
      <w:r>
        <w:rPr>
          <w:rFonts w:hint="eastAsia" w:hAnsi="黑体"/>
          <w:b/>
          <w:sz w:val="32"/>
          <w:szCs w:val="32"/>
        </w:rPr>
        <w:t>2021年度预算绩效情况说明</w:t>
      </w:r>
    </w:p>
    <w:p>
      <w:pPr>
        <w:numPr>
          <w:ilvl w:val="0"/>
          <w:numId w:val="4"/>
        </w:numPr>
        <w:spacing w:line="560" w:lineRule="exact"/>
        <w:ind w:firstLine="640" w:firstLineChars="200"/>
        <w:rPr>
          <w:rFonts w:hint="eastAsia" w:ascii="宋体" w:hAnsi="Times New Roman" w:eastAsia="宋体"/>
          <w:sz w:val="32"/>
          <w:szCs w:val="24"/>
          <w:lang w:val="en-US" w:eastAsia="zh-CN"/>
        </w:rPr>
      </w:pPr>
      <w:r>
        <w:rPr>
          <w:rFonts w:hint="eastAsia" w:ascii="宋体" w:hAnsi="Times New Roman" w:eastAsia="宋体"/>
          <w:sz w:val="32"/>
          <w:szCs w:val="24"/>
          <w:lang w:val="en-US" w:eastAsia="zh-CN"/>
        </w:rPr>
        <w:t>绩效管理评价工作开展情况。</w:t>
      </w:r>
    </w:p>
    <w:p>
      <w:pPr>
        <w:numPr>
          <w:numId w:val="0"/>
        </w:numPr>
        <w:spacing w:line="560" w:lineRule="exact"/>
        <w:rPr>
          <w:rFonts w:hint="eastAsia" w:cs="黑体" w:asciiTheme="minorEastAsia" w:hAnsiTheme="minorEastAsia"/>
          <w:color w:val="000000"/>
          <w:kern w:val="0"/>
          <w:sz w:val="32"/>
          <w:szCs w:val="32"/>
        </w:rPr>
      </w:pPr>
      <w:r>
        <w:rPr>
          <w:rFonts w:hint="eastAsia" w:ascii="宋体" w:hAnsi="Times New Roman" w:eastAsia="宋体"/>
          <w:sz w:val="32"/>
          <w:szCs w:val="24"/>
        </w:rPr>
        <w:t>根据预算绩效管理要求，我</w:t>
      </w:r>
      <w:r>
        <w:rPr>
          <w:rFonts w:hint="eastAsia" w:ascii="宋体" w:hAnsi="Times New Roman" w:eastAsia="宋体"/>
          <w:sz w:val="32"/>
          <w:szCs w:val="24"/>
          <w:lang w:val="en-US" w:eastAsia="zh-CN"/>
        </w:rPr>
        <w:t>单位</w:t>
      </w:r>
      <w:r>
        <w:rPr>
          <w:rFonts w:hint="eastAsia" w:ascii="宋体" w:hAnsi="Times New Roman" w:eastAsia="宋体"/>
          <w:sz w:val="32"/>
          <w:szCs w:val="24"/>
        </w:rPr>
        <w:t>组织对2021 年度整体支出全面开展绩效自评</w:t>
      </w:r>
      <w:r>
        <w:rPr>
          <w:rFonts w:hint="eastAsia" w:ascii="宋体" w:hAnsi="Times New Roman" w:eastAsia="宋体"/>
          <w:sz w:val="32"/>
          <w:szCs w:val="24"/>
          <w:lang w:eastAsia="zh-CN"/>
        </w:rPr>
        <w:t>，</w:t>
      </w:r>
      <w:r>
        <w:rPr>
          <w:rFonts w:hint="eastAsia" w:cs="黑体" w:asciiTheme="minorEastAsia" w:hAnsiTheme="minorEastAsia"/>
          <w:color w:val="000000"/>
          <w:kern w:val="0"/>
          <w:sz w:val="32"/>
          <w:szCs w:val="32"/>
          <w:lang w:val="en-US" w:eastAsia="zh-CN"/>
        </w:rPr>
        <w:t xml:space="preserve">涉及金额209.82万元，从评价情况来看 </w:t>
      </w:r>
      <w:r>
        <w:rPr>
          <w:rFonts w:hint="eastAsia" w:cs="黑体" w:asciiTheme="minorEastAsia" w:hAnsiTheme="minorEastAsia"/>
          <w:color w:val="000000"/>
          <w:kern w:val="0"/>
          <w:sz w:val="32"/>
          <w:szCs w:val="32"/>
        </w:rPr>
        <w:t>我站各部门根据202</w:t>
      </w:r>
      <w:r>
        <w:rPr>
          <w:rFonts w:hint="eastAsia" w:cs="黑体" w:asciiTheme="minorEastAsia" w:hAnsiTheme="minorEastAsia"/>
          <w:color w:val="000000"/>
          <w:kern w:val="0"/>
          <w:sz w:val="32"/>
          <w:szCs w:val="32"/>
          <w:lang w:val="en-US" w:eastAsia="zh-CN"/>
        </w:rPr>
        <w:t>1</w:t>
      </w:r>
      <w:r>
        <w:rPr>
          <w:rFonts w:hint="eastAsia" w:cs="黑体" w:asciiTheme="minorEastAsia" w:hAnsiTheme="minorEastAsia"/>
          <w:color w:val="000000"/>
          <w:kern w:val="0"/>
          <w:sz w:val="32"/>
          <w:szCs w:val="32"/>
        </w:rPr>
        <w:t>年工作计划，认真履行职责，较好地完成了年初确定的各项工作任务，全年主要绩效如下：</w:t>
      </w:r>
    </w:p>
    <w:p>
      <w:pPr>
        <w:numPr>
          <w:ilvl w:val="0"/>
          <w:numId w:val="0"/>
        </w:numPr>
        <w:spacing w:line="560" w:lineRule="exact"/>
        <w:ind w:firstLine="640" w:firstLineChars="200"/>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一是工程造价计价管理</w:t>
      </w:r>
    </w:p>
    <w:p>
      <w:pPr>
        <w:numPr>
          <w:ilvl w:val="0"/>
          <w:numId w:val="0"/>
        </w:numPr>
        <w:spacing w:line="560" w:lineRule="exact"/>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认真落实工程造价动态管理、全过程监管，通过做好招标控制价备案、行业计价管理、咨询市场监管、问题解答和纠纷调解等具体工作，全面执行现行计价规定和要求。</w:t>
      </w:r>
    </w:p>
    <w:p>
      <w:pPr>
        <w:numPr>
          <w:ilvl w:val="0"/>
          <w:numId w:val="0"/>
        </w:numPr>
        <w:spacing w:line="560" w:lineRule="exact"/>
        <w:ind w:firstLine="640" w:firstLineChars="200"/>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二是工程造价信息管理</w:t>
      </w:r>
    </w:p>
    <w:p>
      <w:pPr>
        <w:numPr>
          <w:ilvl w:val="0"/>
          <w:numId w:val="0"/>
        </w:numPr>
        <w:spacing w:line="560" w:lineRule="exact"/>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及时准确收集、整理、测算、上报我市典型工程造价指标及建筑工程成本信息，全年共发布六期材料价格信息、每期涉及两千多种建筑材料价格，为招投标、工程预结算提供了依据和参考，为合理确定和有效控制工程造价发挥了较大的作用。</w:t>
      </w:r>
    </w:p>
    <w:p>
      <w:pPr>
        <w:numPr>
          <w:ilvl w:val="0"/>
          <w:numId w:val="0"/>
        </w:numPr>
        <w:spacing w:line="560" w:lineRule="exact"/>
        <w:ind w:firstLine="640" w:firstLineChars="200"/>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三是工程造价市场监管</w:t>
      </w:r>
    </w:p>
    <w:p>
      <w:pPr>
        <w:numPr>
          <w:ilvl w:val="0"/>
          <w:numId w:val="0"/>
        </w:numPr>
        <w:spacing w:line="560" w:lineRule="exact"/>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积极宣贯落实《湖南省政府投资房屋建筑和市政基础设施项目建设期工程造价全过程管理办法》，积极与财政、审计及我局相关部门进行工作联系、协调，加强工程造价市场监管。</w:t>
      </w:r>
    </w:p>
    <w:p>
      <w:pPr>
        <w:numPr>
          <w:ilvl w:val="0"/>
          <w:numId w:val="0"/>
        </w:numPr>
        <w:spacing w:line="560" w:lineRule="exact"/>
        <w:ind w:firstLine="640" w:firstLineChars="200"/>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四是工程造价咨询行业管理</w:t>
      </w:r>
    </w:p>
    <w:p>
      <w:pPr>
        <w:numPr>
          <w:ilvl w:val="0"/>
          <w:numId w:val="0"/>
        </w:numPr>
        <w:spacing w:line="560" w:lineRule="exact"/>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建立健全了工程造价咨询行业管理相关制度，工作中加强监督检查，加强对咨询市场日常监管的力度，配合省总站和省价协对咨询机构的市场行为、内部管理、计价依据等方面进行核查，促进咨询企业工作质量、服务水平不断提高。</w:t>
      </w:r>
    </w:p>
    <w:p>
      <w:pPr>
        <w:numPr>
          <w:ilvl w:val="0"/>
          <w:numId w:val="0"/>
        </w:numPr>
        <w:spacing w:line="560" w:lineRule="exact"/>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（2）部门决算中项目绩效自评结果。</w:t>
      </w:r>
    </w:p>
    <w:p>
      <w:pPr>
        <w:numPr>
          <w:ilvl w:val="0"/>
          <w:numId w:val="0"/>
        </w:numPr>
        <w:spacing w:line="560" w:lineRule="exact"/>
        <w:ind w:firstLine="640" w:firstLineChars="200"/>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本单位无项目支出，故未开展项目自评，无自评结果。</w:t>
      </w:r>
    </w:p>
    <w:p>
      <w:pPr>
        <w:pStyle w:val="4"/>
        <w:numPr>
          <w:numId w:val="0"/>
        </w:numPr>
        <w:rPr>
          <w:rFonts w:hint="eastAsia" w:cs="黑体" w:asciiTheme="minorEastAsia" w:hAnsiTheme="minorEastAsia" w:eastAsiaTheme="minorEastAsia"/>
          <w:b w:val="0"/>
          <w:bCs w:val="0"/>
          <w:color w:val="000000"/>
          <w:kern w:val="0"/>
          <w:sz w:val="32"/>
          <w:szCs w:val="32"/>
          <w:lang w:val="en-US" w:eastAsia="zh-CN" w:bidi="ar-SA"/>
        </w:rPr>
      </w:pPr>
      <w:r>
        <w:rPr>
          <w:rFonts w:hint="eastAsia" w:cs="黑体" w:asciiTheme="minorEastAsia" w:hAnsiTheme="minorEastAsia" w:eastAsiaTheme="minorEastAsia"/>
          <w:b w:val="0"/>
          <w:bCs w:val="0"/>
          <w:color w:val="000000"/>
          <w:kern w:val="0"/>
          <w:sz w:val="32"/>
          <w:szCs w:val="32"/>
          <w:lang w:val="en-US" w:eastAsia="zh-CN" w:bidi="ar-SA"/>
        </w:rPr>
        <w:t>（3）部门评价项目绩效评价结果</w:t>
      </w:r>
    </w:p>
    <w:p>
      <w:pPr>
        <w:pStyle w:val="4"/>
        <w:numPr>
          <w:numId w:val="0"/>
        </w:numPr>
        <w:ind w:leftChars="200"/>
        <w:rPr>
          <w:rFonts w:hint="eastAsia" w:cs="黑体" w:asciiTheme="minorEastAsia" w:hAnsiTheme="minorEastAsia" w:eastAsiaTheme="minorEastAsia"/>
          <w:b w:val="0"/>
          <w:bCs w:val="0"/>
          <w:color w:val="000000"/>
          <w:kern w:val="0"/>
          <w:sz w:val="32"/>
          <w:szCs w:val="32"/>
          <w:lang w:val="en-US" w:eastAsia="zh-CN" w:bidi="ar-SA"/>
        </w:rPr>
      </w:pPr>
      <w:r>
        <w:rPr>
          <w:rFonts w:hint="eastAsia" w:cs="黑体" w:asciiTheme="minorEastAsia" w:hAnsiTheme="minorEastAsia" w:eastAsiaTheme="minorEastAsia"/>
          <w:b w:val="0"/>
          <w:bCs w:val="0"/>
          <w:color w:val="000000"/>
          <w:kern w:val="0"/>
          <w:sz w:val="32"/>
          <w:szCs w:val="32"/>
          <w:lang w:val="en-US" w:eastAsia="zh-CN" w:bidi="ar-SA"/>
        </w:rPr>
        <w:t>本单位无项目支出，故未开展部门评价，无评价结果。</w:t>
      </w:r>
    </w:p>
    <w:p>
      <w:pPr>
        <w:spacing w:beforeLines="0" w:afterLines="0" w:line="600" w:lineRule="exact"/>
        <w:rPr>
          <w:rFonts w:hint="eastAsia" w:ascii="宋体" w:hAnsi="Times New Roman" w:eastAsia="宋体" w:cs="Times New Roman"/>
          <w:sz w:val="32"/>
          <w:szCs w:val="24"/>
          <w:lang w:eastAsia="zh-CN"/>
        </w:rPr>
      </w:pPr>
      <w:r>
        <w:rPr>
          <w:rFonts w:hint="eastAsia" w:ascii="宋体" w:hAnsi="Times New Roman" w:eastAsia="宋体"/>
          <w:sz w:val="32"/>
          <w:szCs w:val="24"/>
          <w:highlight w:val="white"/>
          <w:lang w:eastAsia="zh-CN"/>
        </w:rPr>
        <w:t>预算</w:t>
      </w:r>
      <w:r>
        <w:rPr>
          <w:rFonts w:hint="eastAsia" w:ascii="宋体" w:hAnsi="Times New Roman" w:eastAsia="宋体" w:cs="Times New Roman"/>
          <w:sz w:val="32"/>
          <w:szCs w:val="24"/>
          <w:lang w:eastAsia="zh-CN"/>
        </w:rPr>
        <w:t>绩效管理</w:t>
      </w:r>
      <w:r>
        <w:rPr>
          <w:rFonts w:hint="eastAsia" w:ascii="宋体" w:hAnsi="Times New Roman" w:eastAsia="宋体"/>
          <w:sz w:val="32"/>
          <w:szCs w:val="24"/>
          <w:highlight w:val="white"/>
          <w:lang w:eastAsia="zh-CN"/>
        </w:rPr>
        <w:t>开展情况、</w:t>
      </w:r>
      <w:r>
        <w:rPr>
          <w:rFonts w:hint="eastAsia" w:ascii="宋体" w:hAnsi="Times New Roman" w:eastAsia="宋体" w:cs="Times New Roman"/>
          <w:sz w:val="32"/>
          <w:szCs w:val="24"/>
          <w:lang w:eastAsia="zh-CN"/>
        </w:rPr>
        <w:t>单位</w:t>
      </w:r>
      <w:r>
        <w:rPr>
          <w:rFonts w:hint="eastAsia" w:ascii="宋体" w:hAnsi="Times New Roman" w:eastAsia="宋体" w:cs="Times New Roman"/>
          <w:sz w:val="32"/>
          <w:szCs w:val="24"/>
        </w:rPr>
        <w:t>整体支出绩效</w:t>
      </w:r>
      <w:r>
        <w:rPr>
          <w:rFonts w:hint="eastAsia" w:ascii="宋体" w:hAnsi="Times New Roman" w:eastAsia="宋体" w:cs="Times New Roman"/>
          <w:sz w:val="32"/>
          <w:szCs w:val="24"/>
          <w:lang w:eastAsia="zh-CN"/>
        </w:rPr>
        <w:t>情况表</w:t>
      </w:r>
      <w:r>
        <w:rPr>
          <w:rFonts w:hint="eastAsia" w:ascii="宋体" w:hAnsi="Times New Roman" w:eastAsia="宋体" w:cs="Times New Roman"/>
          <w:sz w:val="32"/>
          <w:szCs w:val="24"/>
          <w:lang w:val="en-US" w:eastAsia="zh-CN"/>
        </w:rPr>
        <w:t>等</w:t>
      </w:r>
      <w:r>
        <w:rPr>
          <w:rFonts w:hint="eastAsia" w:ascii="宋体" w:hAnsi="Times New Roman" w:eastAsia="宋体" w:cs="Times New Roman"/>
          <w:sz w:val="32"/>
          <w:szCs w:val="24"/>
          <w:lang w:eastAsia="zh-CN"/>
        </w:rPr>
        <w:t>一并作为附件公开。</w:t>
      </w:r>
    </w:p>
    <w:p>
      <w:pPr>
        <w:rPr>
          <w:rFonts w:hint="eastAsia"/>
          <w:lang w:val="en-US" w:eastAsia="zh-CN"/>
        </w:rPr>
      </w:pPr>
    </w:p>
    <w:p>
      <w:pPr>
        <w:numPr>
          <w:ilvl w:val="0"/>
          <w:numId w:val="0"/>
        </w:numPr>
        <w:autoSpaceDE w:val="0"/>
        <w:autoSpaceDN w:val="0"/>
        <w:adjustRightInd w:val="0"/>
        <w:jc w:val="left"/>
        <w:rPr>
          <w:rFonts w:hint="default" w:cs="黑体" w:asciiTheme="minorEastAsia" w:hAnsiTheme="minorEastAsia" w:eastAsiaTheme="minorEastAsia"/>
          <w:color w:val="000000"/>
          <w:kern w:val="0"/>
          <w:sz w:val="32"/>
          <w:szCs w:val="32"/>
          <w:lang w:val="en-US" w:eastAsia="zh-CN"/>
        </w:rPr>
      </w:pPr>
    </w:p>
    <w:p>
      <w:pPr>
        <w:pStyle w:val="12"/>
        <w:rPr>
          <w:sz w:val="72"/>
          <w:szCs w:val="72"/>
        </w:rPr>
      </w:pPr>
      <w:bookmarkStart w:id="0" w:name="_GoBack"/>
      <w:bookmarkEnd w:id="0"/>
    </w:p>
    <w:p>
      <w:pPr>
        <w:pStyle w:val="12"/>
        <w:jc w:val="both"/>
        <w:rPr>
          <w:sz w:val="72"/>
          <w:szCs w:val="72"/>
        </w:rPr>
      </w:pPr>
    </w:p>
    <w:p>
      <w:pPr>
        <w:pStyle w:val="12"/>
        <w:jc w:val="both"/>
        <w:rPr>
          <w:sz w:val="72"/>
          <w:szCs w:val="72"/>
        </w:rPr>
      </w:pPr>
    </w:p>
    <w:p>
      <w:pPr>
        <w:pStyle w:val="12"/>
        <w:jc w:val="center"/>
        <w:rPr>
          <w:rFonts w:ascii="黑体" w:eastAsia="黑体" w:cs="黑体"/>
          <w:color w:val="000000"/>
          <w:kern w:val="0"/>
          <w:sz w:val="70"/>
          <w:szCs w:val="70"/>
        </w:rPr>
      </w:pPr>
      <w:r>
        <w:rPr>
          <w:rFonts w:hint="eastAsia"/>
          <w:sz w:val="72"/>
          <w:szCs w:val="72"/>
        </w:rPr>
        <w:t>第四部分</w:t>
      </w:r>
    </w:p>
    <w:p>
      <w:pPr>
        <w:jc w:val="center"/>
        <w:rPr>
          <w:rFonts w:hint="eastAsia" w:ascii="黑体" w:eastAsia="黑体" w:cs="黑体"/>
          <w:color w:val="000000"/>
          <w:kern w:val="0"/>
          <w:sz w:val="70"/>
          <w:szCs w:val="70"/>
        </w:rPr>
      </w:pPr>
      <w:r>
        <w:rPr>
          <w:rFonts w:hint="eastAsia" w:ascii="黑体" w:eastAsia="黑体" w:cs="黑体"/>
          <w:color w:val="000000"/>
          <w:kern w:val="0"/>
          <w:sz w:val="70"/>
          <w:szCs w:val="70"/>
        </w:rPr>
        <w:t>名词解释</w:t>
      </w:r>
    </w:p>
    <w:p>
      <w:pPr>
        <w:pStyle w:val="4"/>
      </w:pPr>
    </w:p>
    <w:p>
      <w:pPr>
        <w:widowControl/>
        <w:ind w:firstLine="640" w:firstLineChars="200"/>
        <w:jc w:val="left"/>
        <w:rPr>
          <w:rFonts w:hint="eastAsia" w:ascii="宋体" w:hAnsi="宋体" w:cs="黑体"/>
          <w:color w:val="000000"/>
          <w:kern w:val="0"/>
          <w:sz w:val="32"/>
          <w:szCs w:val="32"/>
        </w:rPr>
      </w:pPr>
      <w:r>
        <w:rPr>
          <w:rFonts w:hint="eastAsia" w:ascii="宋体" w:hAnsi="宋体" w:cs="黑体"/>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pageBreakBefore w:val="0"/>
        <w:widowControl/>
        <w:kinsoku/>
        <w:wordWrap/>
        <w:overflowPunct/>
        <w:topLinePunct w:val="0"/>
        <w:bidi w:val="0"/>
        <w:snapToGrid/>
        <w:spacing w:line="560" w:lineRule="exact"/>
        <w:ind w:firstLine="640" w:firstLineChars="200"/>
        <w:jc w:val="left"/>
        <w:textAlignment w:val="auto"/>
        <w:rPr>
          <w:rFonts w:hint="eastAsia" w:ascii="宋体" w:hAnsi="宋体" w:cs="黑体"/>
          <w:color w:val="000000"/>
          <w:kern w:val="0"/>
          <w:sz w:val="32"/>
          <w:szCs w:val="32"/>
        </w:rPr>
      </w:pPr>
      <w:r>
        <w:rPr>
          <w:rFonts w:hint="eastAsia" w:ascii="宋体" w:hAnsi="宋体" w:cs="黑体"/>
          <w:color w:val="000000"/>
          <w:kern w:val="0"/>
          <w:sz w:val="32"/>
          <w:szCs w:val="32"/>
        </w:rPr>
        <w:t>二、机关运行经费</w:t>
      </w:r>
      <w:r>
        <w:rPr>
          <w:rFonts w:hint="eastAsia" w:ascii="宋体" w:hAnsi="宋体" w:cs="黑体"/>
          <w:color w:val="000000"/>
          <w:kern w:val="0"/>
          <w:sz w:val="32"/>
          <w:szCs w:val="32"/>
          <w:lang w:eastAsia="zh-CN"/>
        </w:rPr>
        <w:t>，</w:t>
      </w:r>
      <w:r>
        <w:rPr>
          <w:rFonts w:hint="eastAsia" w:ascii="宋体" w:hAnsi="宋体" w:cs="黑体"/>
          <w:color w:val="000000"/>
          <w:kern w:val="0"/>
          <w:sz w:val="32"/>
          <w:szCs w:val="32"/>
        </w:rPr>
        <w:t>是指各部门的公用经费，包括办公及印刷费、邮电费、差旅费、会议费、福利费、日常维修费、专用材料及一般设备购置费、办公用房水电费、办公用房取暖费、办公用房物业管理费、公务用车运行维护费以及其他费用。</w:t>
      </w:r>
    </w:p>
    <w:p>
      <w:pPr>
        <w:keepNext/>
        <w:keepLines/>
        <w:pageBreakBefore w:val="0"/>
        <w:widowControl/>
        <w:kinsoku/>
        <w:wordWrap/>
        <w:overflowPunct/>
        <w:topLinePunct w:val="0"/>
        <w:autoSpaceDE w:val="0"/>
        <w:autoSpaceDN w:val="0"/>
        <w:bidi w:val="0"/>
        <w:adjustRightInd w:val="0"/>
        <w:snapToGrid/>
        <w:spacing w:beforeLines="0" w:afterLines="0" w:line="560" w:lineRule="exact"/>
        <w:ind w:firstLine="640"/>
        <w:textAlignment w:val="auto"/>
        <w:rPr>
          <w:rFonts w:hint="eastAsia" w:ascii="宋体" w:hAnsi="Times New Roman" w:eastAsia="宋体"/>
          <w:color w:val="000000"/>
          <w:kern w:val="0"/>
          <w:sz w:val="32"/>
        </w:rPr>
      </w:pPr>
      <w:r>
        <w:rPr>
          <w:rFonts w:hint="eastAsia" w:ascii="宋体" w:hAnsi="宋体" w:cs="黑体"/>
          <w:color w:val="000000"/>
          <w:kern w:val="0"/>
          <w:sz w:val="32"/>
          <w:szCs w:val="32"/>
        </w:rPr>
        <w:t>三、</w:t>
      </w:r>
      <w:r>
        <w:rPr>
          <w:rFonts w:hint="eastAsia" w:ascii="宋体" w:hAnsi="Times New Roman" w:eastAsia="宋体"/>
          <w:color w:val="000000"/>
          <w:kern w:val="0"/>
          <w:sz w:val="32"/>
        </w:rPr>
        <w:t>财政拨款收入</w:t>
      </w:r>
      <w:r>
        <w:rPr>
          <w:rFonts w:hint="eastAsia" w:ascii="宋体" w:hAnsi="Times New Roman" w:eastAsia="宋体"/>
          <w:color w:val="000000"/>
          <w:kern w:val="0"/>
          <w:sz w:val="32"/>
          <w:lang w:eastAsia="zh-CN"/>
        </w:rPr>
        <w:t>，</w:t>
      </w:r>
      <w:r>
        <w:rPr>
          <w:rFonts w:hint="eastAsia" w:ascii="宋体" w:hAnsi="Times New Roman" w:eastAsia="宋体"/>
          <w:color w:val="000000"/>
          <w:kern w:val="0"/>
          <w:sz w:val="32"/>
        </w:rPr>
        <w:t>指本级财政当年拨付的资金。</w:t>
      </w:r>
    </w:p>
    <w:p>
      <w:pPr>
        <w:keepNext/>
        <w:keepLines/>
        <w:pageBreakBefore w:val="0"/>
        <w:widowControl/>
        <w:kinsoku/>
        <w:wordWrap/>
        <w:overflowPunct/>
        <w:topLinePunct w:val="0"/>
        <w:autoSpaceDE w:val="0"/>
        <w:autoSpaceDN w:val="0"/>
        <w:bidi w:val="0"/>
        <w:adjustRightInd w:val="0"/>
        <w:snapToGrid/>
        <w:spacing w:beforeLines="0" w:afterLines="0" w:line="560" w:lineRule="exact"/>
        <w:ind w:firstLine="640"/>
        <w:textAlignment w:val="auto"/>
        <w:rPr>
          <w:rFonts w:hint="eastAsia" w:ascii="宋体" w:hAnsi="Times New Roman" w:eastAsia="宋体"/>
          <w:color w:val="000000"/>
          <w:kern w:val="0"/>
          <w:sz w:val="32"/>
        </w:rPr>
      </w:pPr>
      <w:r>
        <w:rPr>
          <w:rFonts w:hint="eastAsia" w:ascii="宋体" w:hAnsi="Times New Roman" w:eastAsia="宋体"/>
          <w:color w:val="000000"/>
          <w:kern w:val="0"/>
          <w:sz w:val="32"/>
          <w:lang w:eastAsia="zh-CN"/>
        </w:rPr>
        <w:t>四、</w:t>
      </w:r>
      <w:r>
        <w:rPr>
          <w:rFonts w:hint="eastAsia" w:ascii="宋体" w:hAnsi="Times New Roman" w:eastAsia="宋体"/>
          <w:color w:val="000000"/>
          <w:kern w:val="0"/>
          <w:sz w:val="32"/>
        </w:rPr>
        <w:t>基本支出</w:t>
      </w:r>
      <w:r>
        <w:rPr>
          <w:rFonts w:hint="eastAsia" w:ascii="宋体" w:hAnsi="Times New Roman" w:eastAsia="宋体"/>
          <w:color w:val="000000"/>
          <w:kern w:val="0"/>
          <w:sz w:val="32"/>
          <w:lang w:eastAsia="zh-CN"/>
        </w:rPr>
        <w:t>，</w:t>
      </w:r>
      <w:r>
        <w:rPr>
          <w:rFonts w:hint="eastAsia" w:ascii="宋体" w:hAnsi="Times New Roman" w:eastAsia="宋体"/>
          <w:color w:val="000000"/>
          <w:kern w:val="0"/>
          <w:sz w:val="32"/>
        </w:rPr>
        <w:t>指保障机构正常运转、完成支日常工作任务而发生的人员支出和公用支出。</w:t>
      </w:r>
    </w:p>
    <w:p>
      <w:pPr>
        <w:keepNext/>
        <w:keepLines/>
        <w:pageBreakBefore w:val="0"/>
        <w:widowControl/>
        <w:kinsoku/>
        <w:wordWrap/>
        <w:overflowPunct/>
        <w:topLinePunct w:val="0"/>
        <w:autoSpaceDE w:val="0"/>
        <w:autoSpaceDN w:val="0"/>
        <w:bidi w:val="0"/>
        <w:adjustRightInd w:val="0"/>
        <w:snapToGrid/>
        <w:spacing w:beforeLines="0" w:afterLines="0" w:line="560" w:lineRule="exact"/>
        <w:ind w:firstLine="640"/>
        <w:textAlignment w:val="auto"/>
        <w:rPr>
          <w:rFonts w:hint="eastAsia" w:ascii="宋体" w:hAnsi="Times New Roman" w:eastAsia="宋体"/>
          <w:color w:val="000000"/>
          <w:kern w:val="0"/>
          <w:sz w:val="32"/>
        </w:rPr>
      </w:pPr>
      <w:r>
        <w:rPr>
          <w:rFonts w:hint="eastAsia" w:ascii="宋体" w:hAnsi="Times New Roman" w:eastAsia="宋体"/>
          <w:color w:val="000000"/>
          <w:kern w:val="0"/>
          <w:sz w:val="32"/>
          <w:lang w:eastAsia="zh-CN"/>
        </w:rPr>
        <w:t>五、</w:t>
      </w:r>
      <w:r>
        <w:rPr>
          <w:rFonts w:hint="eastAsia" w:ascii="宋体" w:hAnsi="Times New Roman" w:eastAsia="宋体"/>
          <w:color w:val="000000"/>
          <w:kern w:val="0"/>
          <w:sz w:val="32"/>
        </w:rPr>
        <w:t>项目支出</w:t>
      </w:r>
      <w:r>
        <w:rPr>
          <w:rFonts w:hint="eastAsia" w:ascii="宋体" w:hAnsi="Times New Roman" w:eastAsia="宋体"/>
          <w:color w:val="000000"/>
          <w:kern w:val="0"/>
          <w:sz w:val="32"/>
          <w:lang w:eastAsia="zh-CN"/>
        </w:rPr>
        <w:t>，</w:t>
      </w:r>
      <w:r>
        <w:rPr>
          <w:rFonts w:hint="eastAsia" w:ascii="宋体" w:hAnsi="Times New Roman" w:eastAsia="宋体"/>
          <w:color w:val="000000"/>
          <w:kern w:val="0"/>
          <w:sz w:val="32"/>
        </w:rPr>
        <w:t>指在基本支出之外为完成特定行政任务和事业发展目标所发生的支出。</w:t>
      </w:r>
    </w:p>
    <w:p>
      <w:pPr>
        <w:keepNext/>
        <w:keepLines/>
        <w:spacing w:line="520" w:lineRule="exact"/>
        <w:ind w:firstLine="640"/>
        <w:rPr>
          <w:rFonts w:ascii="宋体" w:hAnsi="宋体"/>
          <w:color w:val="000000"/>
          <w:kern w:val="0"/>
          <w:sz w:val="32"/>
          <w:highlight w:val="white"/>
        </w:rPr>
      </w:pPr>
    </w:p>
    <w:p>
      <w:pPr>
        <w:ind w:firstLine="1440" w:firstLineChars="200"/>
        <w:jc w:val="left"/>
        <w:rPr>
          <w:sz w:val="72"/>
          <w:szCs w:val="72"/>
        </w:rPr>
      </w:pPr>
    </w:p>
    <w:p>
      <w:pPr>
        <w:pStyle w:val="12"/>
        <w:jc w:val="both"/>
        <w:rPr>
          <w:sz w:val="72"/>
          <w:szCs w:val="72"/>
        </w:rPr>
      </w:pPr>
    </w:p>
    <w:p>
      <w:pPr>
        <w:pStyle w:val="12"/>
        <w:jc w:val="center"/>
        <w:rPr>
          <w:sz w:val="72"/>
          <w:szCs w:val="72"/>
        </w:rPr>
      </w:pPr>
    </w:p>
    <w:p>
      <w:pPr>
        <w:pStyle w:val="12"/>
        <w:jc w:val="center"/>
        <w:rPr>
          <w:sz w:val="72"/>
          <w:szCs w:val="72"/>
        </w:rPr>
      </w:pPr>
    </w:p>
    <w:p>
      <w:pPr>
        <w:pStyle w:val="12"/>
        <w:jc w:val="center"/>
        <w:rPr>
          <w:rFonts w:ascii="黑体" w:eastAsia="黑体" w:cs="黑体"/>
          <w:color w:val="000000"/>
          <w:kern w:val="0"/>
          <w:sz w:val="70"/>
          <w:szCs w:val="70"/>
        </w:rPr>
      </w:pPr>
      <w:r>
        <w:rPr>
          <w:rFonts w:hint="eastAsia"/>
          <w:sz w:val="72"/>
          <w:szCs w:val="72"/>
        </w:rPr>
        <w:t>第五部分</w:t>
      </w: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ind w:firstLine="640" w:firstLineChars="200"/>
        <w:jc w:val="left"/>
        <w:rPr>
          <w:rFonts w:hint="eastAsia" w:cs="黑体" w:asciiTheme="minorEastAsia" w:hAnsiTheme="minorEastAsia" w:eastAsiaTheme="minorEastAsia"/>
          <w:b/>
          <w:color w:val="000000"/>
          <w:kern w:val="0"/>
          <w:sz w:val="32"/>
          <w:szCs w:val="32"/>
          <w:lang w:val="en-US" w:eastAsia="zh-CN"/>
        </w:rPr>
      </w:pPr>
      <w:r>
        <w:rPr>
          <w:rFonts w:hint="eastAsia" w:cs="黑体" w:asciiTheme="minorEastAsia" w:hAnsiTheme="minorEastAsia"/>
          <w:b/>
          <w:color w:val="000000"/>
          <w:kern w:val="0"/>
          <w:sz w:val="32"/>
          <w:szCs w:val="32"/>
          <w:lang w:val="en-US" w:eastAsia="zh-CN"/>
        </w:rPr>
        <w:t>1、2021年部门决算公开表格</w:t>
      </w:r>
    </w:p>
    <w:p>
      <w:pPr>
        <w:ind w:firstLine="640" w:firstLineChars="200"/>
        <w:jc w:val="left"/>
        <w:rPr>
          <w:rFonts w:hint="eastAsia" w:cs="黑体" w:asciiTheme="minorEastAsia" w:hAnsiTheme="minorEastAsia"/>
          <w:b/>
          <w:color w:val="000000"/>
          <w:kern w:val="0"/>
          <w:sz w:val="32"/>
          <w:szCs w:val="32"/>
        </w:rPr>
      </w:pPr>
      <w:r>
        <w:rPr>
          <w:rFonts w:hint="eastAsia" w:cs="黑体" w:asciiTheme="minorEastAsia" w:hAnsiTheme="minorEastAsia"/>
          <w:b/>
          <w:color w:val="000000"/>
          <w:kern w:val="0"/>
          <w:sz w:val="32"/>
          <w:szCs w:val="32"/>
          <w:lang w:val="en-US" w:eastAsia="zh-CN"/>
        </w:rPr>
        <w:t>2、</w:t>
      </w:r>
      <w:r>
        <w:rPr>
          <w:rFonts w:hint="eastAsia" w:cs="黑体" w:asciiTheme="minorEastAsia" w:hAnsiTheme="minorEastAsia"/>
          <w:b/>
          <w:color w:val="000000"/>
          <w:kern w:val="0"/>
          <w:sz w:val="32"/>
          <w:szCs w:val="32"/>
        </w:rPr>
        <w:t>2021年度部门整体支出绩效评价报告</w:t>
      </w:r>
    </w:p>
    <w:p>
      <w:pPr>
        <w:pStyle w:val="4"/>
      </w:pPr>
    </w:p>
    <w:p>
      <w:pPr>
        <w:spacing w:line="800" w:lineRule="exact"/>
        <w:jc w:val="center"/>
        <w:rPr>
          <w:rFonts w:hint="eastAsia" w:eastAsia="方正小标宋简体"/>
          <w:bCs/>
          <w:sz w:val="46"/>
          <w:szCs w:val="46"/>
        </w:rPr>
      </w:pPr>
      <w:r>
        <w:rPr>
          <w:rFonts w:hint="eastAsia" w:eastAsia="方正小标宋简体"/>
          <w:bCs/>
          <w:sz w:val="46"/>
          <w:szCs w:val="46"/>
        </w:rPr>
        <w:t>岳阳市</w:t>
      </w:r>
      <w:r>
        <w:rPr>
          <w:rFonts w:hint="eastAsia" w:eastAsia="方正小标宋简体"/>
          <w:bCs/>
          <w:sz w:val="46"/>
          <w:szCs w:val="46"/>
          <w:u w:val="single"/>
        </w:rPr>
        <w:t>2021</w:t>
      </w:r>
      <w:r>
        <w:rPr>
          <w:rFonts w:hint="eastAsia" w:eastAsia="方正小标宋简体"/>
          <w:bCs/>
          <w:sz w:val="46"/>
          <w:szCs w:val="46"/>
        </w:rPr>
        <w:t>年度单位整体支出</w:t>
      </w:r>
    </w:p>
    <w:p>
      <w:pPr>
        <w:spacing w:line="800" w:lineRule="exact"/>
        <w:jc w:val="center"/>
        <w:rPr>
          <w:rFonts w:hint="eastAsia" w:eastAsia="方正小标宋简体"/>
          <w:bCs/>
          <w:sz w:val="46"/>
          <w:szCs w:val="46"/>
        </w:rPr>
      </w:pPr>
      <w:r>
        <w:rPr>
          <w:rFonts w:hint="eastAsia" w:eastAsia="方正小标宋简体"/>
          <w:bCs/>
          <w:sz w:val="46"/>
          <w:szCs w:val="46"/>
        </w:rPr>
        <w:t>绩效情况表</w:t>
      </w:r>
    </w:p>
    <w:tbl>
      <w:tblPr>
        <w:tblStyle w:val="8"/>
        <w:tblW w:w="972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
      <w:tblGrid>
        <w:gridCol w:w="1654"/>
        <w:gridCol w:w="46"/>
        <w:gridCol w:w="1410"/>
        <w:gridCol w:w="9"/>
        <w:gridCol w:w="83"/>
        <w:gridCol w:w="421"/>
        <w:gridCol w:w="742"/>
        <w:gridCol w:w="155"/>
        <w:gridCol w:w="230"/>
        <w:gridCol w:w="465"/>
        <w:gridCol w:w="331"/>
        <w:gridCol w:w="384"/>
        <w:gridCol w:w="368"/>
        <w:gridCol w:w="733"/>
        <w:gridCol w:w="312"/>
        <w:gridCol w:w="126"/>
        <w:gridCol w:w="377"/>
        <w:gridCol w:w="558"/>
        <w:gridCol w:w="13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67" w:hRule="atLeast"/>
          <w:jc w:val="center"/>
        </w:trPr>
        <w:tc>
          <w:tcPr>
            <w:tcW w:w="9727" w:type="dxa"/>
            <w:gridSpan w:val="19"/>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一、单位基本概况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人员编制</w:t>
            </w:r>
          </w:p>
        </w:tc>
        <w:tc>
          <w:tcPr>
            <w:tcW w:w="3561" w:type="dxa"/>
            <w:gridSpan w:val="9"/>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12</w:t>
            </w:r>
          </w:p>
        </w:tc>
        <w:tc>
          <w:tcPr>
            <w:tcW w:w="715"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实有人数</w:t>
            </w:r>
          </w:p>
        </w:tc>
        <w:tc>
          <w:tcPr>
            <w:tcW w:w="3797" w:type="dxa"/>
            <w:gridSpan w:val="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593" w:hRule="atLeast"/>
          <w:jc w:val="center"/>
        </w:trPr>
        <w:tc>
          <w:tcPr>
            <w:tcW w:w="1654"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职能职责概述</w:t>
            </w:r>
          </w:p>
        </w:tc>
        <w:tc>
          <w:tcPr>
            <w:tcW w:w="8073" w:type="dxa"/>
            <w:gridSpan w:val="18"/>
            <w:noWrap w:val="0"/>
            <w:vAlign w:val="center"/>
          </w:tcPr>
          <w:p>
            <w:pPr>
              <w:widowControl/>
              <w:jc w:val="left"/>
              <w:rPr>
                <w:rFonts w:ascii="Calibri" w:hAnsi="Calibri" w:eastAsia="仿宋_GB2312"/>
                <w:kern w:val="0"/>
                <w:sz w:val="24"/>
                <w:szCs w:val="22"/>
              </w:rPr>
            </w:pPr>
            <w:r>
              <w:rPr>
                <w:rFonts w:hint="eastAsia" w:ascii="Calibri" w:hAnsi="Calibri" w:eastAsia="仿宋_GB2312"/>
                <w:kern w:val="0"/>
                <w:sz w:val="24"/>
                <w:szCs w:val="22"/>
              </w:rPr>
              <w:t>（一）负责贯彻执行国家、省、市有关建设工程造价管理的法律、法规和规章；</w:t>
            </w:r>
          </w:p>
          <w:p>
            <w:pPr>
              <w:widowControl/>
              <w:jc w:val="left"/>
              <w:rPr>
                <w:rFonts w:ascii="Calibri" w:hAnsi="Calibri" w:eastAsia="仿宋_GB2312"/>
                <w:kern w:val="0"/>
                <w:sz w:val="24"/>
                <w:szCs w:val="22"/>
              </w:rPr>
            </w:pPr>
            <w:r>
              <w:rPr>
                <w:rFonts w:hint="eastAsia" w:ascii="Calibri" w:hAnsi="Calibri" w:eastAsia="仿宋_GB2312"/>
                <w:kern w:val="0"/>
                <w:sz w:val="24"/>
                <w:szCs w:val="22"/>
              </w:rPr>
              <w:t>（二）负责全市工程发承包计价工作的管理，负责建设工程初步概算审查、招标控制价备案管理、施工合同备案管理，负责工程竣工结算审核报告备案管理，参与建设系统城市建设工程的造价控制与审核，调解造价纠纷，依法对建设工程发承包计价活动进行监督检查；</w:t>
            </w:r>
          </w:p>
          <w:p>
            <w:pPr>
              <w:widowControl/>
              <w:jc w:val="left"/>
              <w:rPr>
                <w:rFonts w:hint="eastAsia" w:ascii="Calibri" w:hAnsi="Calibri" w:eastAsia="仿宋_GB2312"/>
                <w:kern w:val="0"/>
                <w:sz w:val="24"/>
                <w:szCs w:val="22"/>
              </w:rPr>
            </w:pPr>
            <w:r>
              <w:rPr>
                <w:rFonts w:hint="eastAsia" w:ascii="Calibri" w:hAnsi="Calibri" w:eastAsia="仿宋_GB2312"/>
                <w:kern w:val="0"/>
                <w:sz w:val="24"/>
                <w:szCs w:val="22"/>
              </w:rPr>
              <w:t>（三）负责工程造价咨询市场的管理；负责建设工程计价依据的解释、补充工作，发布建设工程材料价格信息及人员工资、材料价格、机械台班费调整系数，对工程造价实行动态管理；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599" w:hRule="atLeast"/>
          <w:jc w:val="center"/>
        </w:trPr>
        <w:tc>
          <w:tcPr>
            <w:tcW w:w="1654"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年度主要</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工作内容</w:t>
            </w:r>
          </w:p>
        </w:tc>
        <w:tc>
          <w:tcPr>
            <w:tcW w:w="8073" w:type="dxa"/>
            <w:gridSpan w:val="18"/>
            <w:noWrap w:val="0"/>
            <w:vAlign w:val="center"/>
          </w:tcPr>
          <w:p>
            <w:pPr>
              <w:widowControl/>
              <w:jc w:val="left"/>
              <w:rPr>
                <w:rFonts w:ascii="Calibri" w:hAnsi="Calibri" w:eastAsia="仿宋_GB2312"/>
                <w:kern w:val="0"/>
                <w:sz w:val="24"/>
                <w:szCs w:val="22"/>
              </w:rPr>
            </w:pPr>
            <w:r>
              <w:rPr>
                <w:rFonts w:hint="eastAsia" w:ascii="Calibri" w:hAnsi="Calibri" w:eastAsia="仿宋_GB2312"/>
                <w:kern w:val="0"/>
                <w:sz w:val="24"/>
                <w:szCs w:val="22"/>
              </w:rPr>
              <w:t>1.完成建设工程初步概算审查、招标控制价备案百分之百，</w:t>
            </w:r>
          </w:p>
          <w:p>
            <w:pPr>
              <w:widowControl/>
              <w:jc w:val="left"/>
              <w:rPr>
                <w:rFonts w:ascii="Calibri" w:hAnsi="Calibri" w:eastAsia="仿宋_GB2312"/>
                <w:kern w:val="0"/>
                <w:sz w:val="24"/>
                <w:szCs w:val="22"/>
              </w:rPr>
            </w:pPr>
            <w:r>
              <w:rPr>
                <w:rFonts w:hint="eastAsia" w:ascii="Calibri" w:hAnsi="Calibri" w:eastAsia="仿宋_GB2312"/>
                <w:kern w:val="0"/>
                <w:sz w:val="24"/>
                <w:szCs w:val="22"/>
              </w:rPr>
              <w:t>2.完成建设工程施工合同备案百分之百，</w:t>
            </w:r>
          </w:p>
          <w:p>
            <w:pPr>
              <w:widowControl/>
              <w:jc w:val="left"/>
              <w:rPr>
                <w:rFonts w:ascii="Calibri" w:hAnsi="Calibri" w:eastAsia="仿宋_GB2312"/>
                <w:kern w:val="0"/>
                <w:sz w:val="24"/>
                <w:szCs w:val="22"/>
              </w:rPr>
            </w:pPr>
            <w:r>
              <w:rPr>
                <w:rFonts w:hint="eastAsia" w:ascii="Calibri" w:hAnsi="Calibri" w:eastAsia="仿宋_GB2312"/>
                <w:kern w:val="0"/>
                <w:sz w:val="24"/>
                <w:szCs w:val="22"/>
              </w:rPr>
              <w:t>3.完成建设工程竣工结算审核报告备案百分之百，</w:t>
            </w:r>
          </w:p>
          <w:p>
            <w:pPr>
              <w:widowControl/>
              <w:jc w:val="left"/>
              <w:rPr>
                <w:rFonts w:ascii="Calibri" w:hAnsi="Calibri" w:eastAsia="仿宋_GB2312"/>
                <w:kern w:val="0"/>
                <w:sz w:val="24"/>
                <w:szCs w:val="22"/>
              </w:rPr>
            </w:pPr>
            <w:r>
              <w:rPr>
                <w:rFonts w:hint="eastAsia" w:ascii="Calibri" w:hAnsi="Calibri" w:eastAsia="仿宋_GB2312"/>
                <w:kern w:val="0"/>
                <w:sz w:val="24"/>
                <w:szCs w:val="22"/>
              </w:rPr>
              <w:t>4.调解造价纠纷百分之百，</w:t>
            </w:r>
          </w:p>
          <w:p>
            <w:pPr>
              <w:widowControl/>
              <w:jc w:val="left"/>
              <w:rPr>
                <w:rFonts w:hint="eastAsia" w:ascii="Calibri" w:hAnsi="Calibri" w:eastAsia="仿宋_GB2312"/>
                <w:kern w:val="0"/>
                <w:sz w:val="24"/>
                <w:szCs w:val="22"/>
              </w:rPr>
            </w:pPr>
            <w:r>
              <w:rPr>
                <w:rFonts w:hint="eastAsia" w:ascii="Calibri" w:hAnsi="Calibri" w:eastAsia="仿宋_GB2312"/>
                <w:kern w:val="0"/>
                <w:sz w:val="24"/>
                <w:szCs w:val="22"/>
              </w:rPr>
              <w:t>5.依法对建设工程发承包计价活动进行监督检查全覆盖。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400" w:hRule="atLeast"/>
          <w:jc w:val="center"/>
        </w:trPr>
        <w:tc>
          <w:tcPr>
            <w:tcW w:w="1654" w:type="dxa"/>
            <w:noWrap w:val="0"/>
            <w:vAlign w:val="center"/>
          </w:tcPr>
          <w:p>
            <w:pPr>
              <w:autoSpaceDN w:val="0"/>
              <w:spacing w:line="320" w:lineRule="exact"/>
              <w:jc w:val="center"/>
              <w:textAlignment w:val="center"/>
              <w:rPr>
                <w:rFonts w:hint="eastAsia" w:ascii="仿宋" w:hAnsi="仿宋" w:eastAsia="仿宋" w:cs="仿宋"/>
                <w:sz w:val="32"/>
                <w:szCs w:val="32"/>
              </w:rPr>
            </w:pPr>
            <w:r>
              <w:rPr>
                <w:rFonts w:hint="eastAsia" w:ascii="仿宋" w:hAnsi="仿宋" w:eastAsia="仿宋" w:cs="仿宋"/>
                <w:sz w:val="32"/>
                <w:szCs w:val="32"/>
              </w:rPr>
              <w:t>总体运行情况及取得的成绩</w:t>
            </w:r>
          </w:p>
        </w:tc>
        <w:tc>
          <w:tcPr>
            <w:tcW w:w="8073" w:type="dxa"/>
            <w:gridSpan w:val="18"/>
            <w:noWrap w:val="0"/>
            <w:vAlign w:val="center"/>
          </w:tcPr>
          <w:p>
            <w:pPr>
              <w:spacing w:line="240" w:lineRule="atLeast"/>
              <w:jc w:val="left"/>
              <w:rPr>
                <w:rFonts w:hint="eastAsia" w:ascii="Calibri" w:hAnsi="Calibri" w:eastAsia="仿宋_GB2312"/>
                <w:kern w:val="0"/>
                <w:sz w:val="24"/>
                <w:szCs w:val="22"/>
              </w:rPr>
            </w:pPr>
            <w:r>
              <w:rPr>
                <w:rFonts w:hint="eastAsia" w:ascii="Calibri" w:hAnsi="Calibri" w:eastAsia="仿宋_GB2312"/>
                <w:kern w:val="0"/>
                <w:sz w:val="24"/>
                <w:szCs w:val="22"/>
              </w:rPr>
              <w:t>1、接待业务咨询、认真解答造价疑问，及时调解工程造价和合同纠纷，尽力维护建设各方主体的合法权益。今年共接待来人来访452人次，解答问题106条，调解造价纠纷18起，解答回复工程造价函件12件。</w:t>
            </w:r>
          </w:p>
          <w:p>
            <w:pPr>
              <w:autoSpaceDN w:val="0"/>
              <w:spacing w:line="240" w:lineRule="atLeast"/>
              <w:jc w:val="left"/>
              <w:textAlignment w:val="center"/>
              <w:rPr>
                <w:rFonts w:hint="eastAsia" w:ascii="Calibri" w:hAnsi="Calibri" w:eastAsia="仿宋_GB2312"/>
                <w:kern w:val="0"/>
                <w:sz w:val="24"/>
                <w:szCs w:val="22"/>
              </w:rPr>
            </w:pPr>
            <w:r>
              <w:rPr>
                <w:rFonts w:hint="eastAsia" w:ascii="Calibri" w:hAnsi="Calibri" w:eastAsia="仿宋_GB2312"/>
                <w:kern w:val="0"/>
                <w:sz w:val="24"/>
                <w:szCs w:val="22"/>
              </w:rPr>
              <w:t>2、全省仅长沙站和我站受邀参加省造价总站组织的《湖南省建设工程造价管理条例》立法研讨会</w:t>
            </w:r>
          </w:p>
          <w:p>
            <w:pPr>
              <w:spacing w:line="240" w:lineRule="atLeast"/>
              <w:jc w:val="left"/>
              <w:rPr>
                <w:rFonts w:hint="eastAsia" w:ascii="Calibri" w:hAnsi="Calibri" w:eastAsia="仿宋_GB2312"/>
                <w:kern w:val="0"/>
                <w:sz w:val="24"/>
                <w:szCs w:val="22"/>
              </w:rPr>
            </w:pPr>
            <w:r>
              <w:rPr>
                <w:rFonts w:hint="eastAsia" w:ascii="Calibri" w:hAnsi="Calibri" w:eastAsia="仿宋_GB2312"/>
                <w:kern w:val="0"/>
                <w:sz w:val="24"/>
                <w:szCs w:val="22"/>
              </w:rPr>
              <w:t>3、召开材料价格专题会议，邀请九个施工单位代表参加，广泛听取意见，完善了建筑材料价格信息收集渠道，明确了市中心城区九个具有代表性的施工企业定期报送材料价格制度。规范了材料价格发布机制，从市场调查掌握、施工现场采集、大数据分析与比对、市州横向比较、企业反馈意见等渠道完善信息，取消了材料厂商报价，符合住建部改革实施方案。</w:t>
            </w:r>
          </w:p>
          <w:p>
            <w:pPr>
              <w:spacing w:line="240" w:lineRule="atLeast"/>
              <w:jc w:val="left"/>
              <w:rPr>
                <w:rFonts w:hint="eastAsia" w:ascii="Calibri" w:hAnsi="Calibri" w:eastAsia="仿宋_GB2312"/>
                <w:kern w:val="0"/>
                <w:sz w:val="24"/>
                <w:szCs w:val="22"/>
              </w:rPr>
            </w:pPr>
            <w:r>
              <w:rPr>
                <w:rFonts w:hint="eastAsia" w:ascii="Calibri" w:hAnsi="Calibri" w:eastAsia="仿宋_GB2312"/>
                <w:kern w:val="0"/>
                <w:sz w:val="24"/>
                <w:szCs w:val="22"/>
              </w:rPr>
              <w:t>4、参加省造价管理总站“建设工程造价管理改革视频研讨会议”、“关于召开基于人工智能的工程材价监测与造价数据库建设关键技术研究课题讨论会”等专题会议，提出建立“建设工程造价信息数据平台”和“建设造价市场信息数据平台”的工作设想，提出先建立数据采集标准规范，再利用软件自动采集汇总的工作思想，得到行业专家的认可和肯定。参加全省材料预算价格工作会议，提出材料价格管理办法修编意见5条，被采用4条。</w:t>
            </w:r>
          </w:p>
          <w:p>
            <w:pPr>
              <w:spacing w:line="240" w:lineRule="atLeast"/>
              <w:jc w:val="left"/>
              <w:rPr>
                <w:rFonts w:hint="eastAsia" w:ascii="Calibri" w:hAnsi="Calibri" w:eastAsia="仿宋_GB2312"/>
                <w:kern w:val="0"/>
                <w:sz w:val="24"/>
                <w:szCs w:val="22"/>
              </w:rPr>
            </w:pPr>
            <w:r>
              <w:rPr>
                <w:rFonts w:hint="eastAsia" w:ascii="Calibri" w:hAnsi="Calibri" w:eastAsia="仿宋_GB2312"/>
                <w:kern w:val="0"/>
                <w:sz w:val="24"/>
                <w:szCs w:val="22"/>
              </w:rPr>
              <w:t>5、全年共完成招标控制价备案项目9个。</w:t>
            </w:r>
          </w:p>
          <w:p>
            <w:pPr>
              <w:autoSpaceDN w:val="0"/>
              <w:spacing w:line="240" w:lineRule="atLeast"/>
              <w:jc w:val="left"/>
              <w:textAlignment w:val="center"/>
              <w:rPr>
                <w:rFonts w:hint="eastAsia" w:ascii="Calibri" w:hAnsi="Calibri" w:eastAsia="仿宋_GB2312"/>
                <w:kern w:val="0"/>
                <w:sz w:val="24"/>
                <w:szCs w:val="22"/>
              </w:rPr>
            </w:pPr>
            <w:r>
              <w:rPr>
                <w:rFonts w:hint="eastAsia" w:ascii="Calibri" w:hAnsi="Calibri" w:eastAsia="仿宋_GB2312"/>
                <w:kern w:val="0"/>
                <w:sz w:val="24"/>
                <w:szCs w:val="22"/>
              </w:rPr>
              <w:t>6、制定了我市造价专家标准，建立全市造价专家库，为我市33名工程造价专家颁发专家证书。</w:t>
            </w:r>
          </w:p>
          <w:p>
            <w:pPr>
              <w:spacing w:line="240" w:lineRule="atLeast"/>
              <w:jc w:val="left"/>
              <w:rPr>
                <w:rFonts w:hint="eastAsia" w:ascii="Calibri" w:hAnsi="Calibri" w:eastAsia="仿宋_GB2312"/>
                <w:kern w:val="0"/>
                <w:sz w:val="24"/>
                <w:szCs w:val="22"/>
              </w:rPr>
            </w:pPr>
            <w:r>
              <w:rPr>
                <w:rFonts w:hint="eastAsia" w:ascii="Calibri" w:hAnsi="Calibri" w:eastAsia="仿宋_GB2312"/>
                <w:kern w:val="0"/>
                <w:sz w:val="24"/>
                <w:szCs w:val="22"/>
              </w:rPr>
              <w:t>7、被市住建局列为“市级文明工作重点清单”，制定了《工程造价咨询行业诚信服务精神文明建设活动办法》</w:t>
            </w:r>
          </w:p>
          <w:p>
            <w:pPr>
              <w:autoSpaceDN w:val="0"/>
              <w:spacing w:line="240" w:lineRule="atLeast"/>
              <w:jc w:val="left"/>
              <w:textAlignment w:val="center"/>
              <w:rPr>
                <w:rFonts w:hint="eastAsia" w:ascii="Calibri" w:hAnsi="Calibri" w:eastAsia="仿宋_GB2312"/>
                <w:kern w:val="0"/>
                <w:sz w:val="24"/>
                <w:szCs w:val="22"/>
              </w:rPr>
            </w:pPr>
            <w:r>
              <w:rPr>
                <w:rFonts w:hint="eastAsia" w:ascii="Calibri" w:hAnsi="Calibri" w:eastAsia="仿宋_GB2312"/>
                <w:kern w:val="0"/>
                <w:sz w:val="24"/>
                <w:szCs w:val="22"/>
              </w:rPr>
              <w:t>8、开展“三峡项目一期全过程造价咨询诚信服务精神文明建设”活动。省全市主要咨询单位等八十余人参加。活动得到了各部门高度评价，被省造价管理总站向全省推广。</w:t>
            </w:r>
          </w:p>
          <w:p>
            <w:pPr>
              <w:spacing w:line="240" w:lineRule="atLeast"/>
              <w:jc w:val="left"/>
              <w:rPr>
                <w:rFonts w:hint="eastAsia" w:ascii="Calibri" w:hAnsi="Calibri" w:eastAsia="仿宋_GB2312"/>
                <w:kern w:val="0"/>
                <w:sz w:val="24"/>
                <w:szCs w:val="22"/>
              </w:rPr>
            </w:pPr>
            <w:r>
              <w:rPr>
                <w:rFonts w:hint="eastAsia" w:ascii="Calibri" w:hAnsi="Calibri" w:eastAsia="仿宋_GB2312"/>
                <w:kern w:val="0"/>
                <w:sz w:val="24"/>
                <w:szCs w:val="22"/>
              </w:rPr>
              <w:t>9、开展我省二级注册造价工程师的资格后审工作，有理有据严格把关，共有81人申报资料，通过67人。</w:t>
            </w:r>
          </w:p>
          <w:p>
            <w:pPr>
              <w:spacing w:line="240" w:lineRule="atLeast"/>
              <w:jc w:val="left"/>
              <w:rPr>
                <w:rFonts w:hint="eastAsia" w:ascii="Calibri" w:hAnsi="Calibri" w:eastAsia="仿宋_GB2312"/>
                <w:kern w:val="0"/>
                <w:sz w:val="24"/>
                <w:szCs w:val="22"/>
              </w:rPr>
            </w:pPr>
            <w:r>
              <w:rPr>
                <w:rFonts w:hint="eastAsia" w:ascii="Calibri" w:hAnsi="Calibri" w:eastAsia="仿宋_GB2312"/>
                <w:kern w:val="0"/>
                <w:sz w:val="24"/>
                <w:szCs w:val="22"/>
              </w:rPr>
              <w:t>10、截止到目前，我站督促咨询单位在三峡项目预算初审中，对送审金额27081.84万元，初步核减金额8398.45万元，初步核减率为31%。对板框压滤新工艺计价中的人工、机械费用，初步核减金额2800万元。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56" w:hRule="atLeast"/>
          <w:jc w:val="center"/>
        </w:trPr>
        <w:tc>
          <w:tcPr>
            <w:tcW w:w="9727" w:type="dxa"/>
            <w:gridSpan w:val="19"/>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二、部门（单位）收支情况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08" w:hRule="atLeast"/>
          <w:jc w:val="center"/>
        </w:trPr>
        <w:tc>
          <w:tcPr>
            <w:tcW w:w="9727" w:type="dxa"/>
            <w:gridSpan w:val="19"/>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年度收入情况（万元）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vMerge w:val="restart"/>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收入合计</w:t>
            </w:r>
          </w:p>
        </w:tc>
        <w:tc>
          <w:tcPr>
            <w:tcW w:w="8073" w:type="dxa"/>
            <w:gridSpan w:val="18"/>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014" w:hRule="atLeast"/>
          <w:jc w:val="center"/>
        </w:trPr>
        <w:tc>
          <w:tcPr>
            <w:tcW w:w="1654" w:type="dxa"/>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548" w:type="dxa"/>
            <w:gridSpan w:val="4"/>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上年结转</w:t>
            </w:r>
          </w:p>
        </w:tc>
        <w:tc>
          <w:tcPr>
            <w:tcW w:w="1548"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公共财</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政拨款</w:t>
            </w:r>
          </w:p>
        </w:tc>
        <w:tc>
          <w:tcPr>
            <w:tcW w:w="1548"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政府基金拨款</w:t>
            </w:r>
          </w:p>
        </w:tc>
        <w:tc>
          <w:tcPr>
            <w:tcW w:w="1548"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纳入专户管理的非税收入</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拨款</w:t>
            </w:r>
          </w:p>
        </w:tc>
        <w:tc>
          <w:tcPr>
            <w:tcW w:w="1881"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收入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69" w:hRule="atLeast"/>
          <w:jc w:val="center"/>
        </w:trPr>
        <w:tc>
          <w:tcPr>
            <w:tcW w:w="1654" w:type="dxa"/>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209.82</w:t>
            </w:r>
          </w:p>
        </w:tc>
        <w:tc>
          <w:tcPr>
            <w:tcW w:w="1548" w:type="dxa"/>
            <w:gridSpan w:val="4"/>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3.65</w:t>
            </w:r>
          </w:p>
        </w:tc>
        <w:tc>
          <w:tcPr>
            <w:tcW w:w="1548"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206.17</w:t>
            </w:r>
          </w:p>
        </w:tc>
        <w:tc>
          <w:tcPr>
            <w:tcW w:w="1548"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548"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881" w:type="dxa"/>
            <w:gridSpan w:val="2"/>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47" w:hRule="atLeast"/>
          <w:jc w:val="center"/>
        </w:trPr>
        <w:tc>
          <w:tcPr>
            <w:tcW w:w="9727" w:type="dxa"/>
            <w:gridSpan w:val="19"/>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年度支出和结余情况（万元）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66" w:hRule="atLeast"/>
          <w:jc w:val="center"/>
        </w:trPr>
        <w:tc>
          <w:tcPr>
            <w:tcW w:w="1700" w:type="dxa"/>
            <w:gridSpan w:val="2"/>
            <w:vMerge w:val="restart"/>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支出合计</w:t>
            </w:r>
          </w:p>
        </w:tc>
        <w:tc>
          <w:tcPr>
            <w:tcW w:w="1419" w:type="dxa"/>
            <w:gridSpan w:val="2"/>
            <w:vMerge w:val="restart"/>
            <w:tcBorders>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基本支出</w:t>
            </w:r>
          </w:p>
        </w:tc>
        <w:tc>
          <w:tcPr>
            <w:tcW w:w="2811" w:type="dxa"/>
            <w:gridSpan w:val="8"/>
            <w:tcBorders>
              <w:left w:val="single" w:color="auto" w:sz="4" w:space="0"/>
              <w:bottom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1413" w:type="dxa"/>
            <w:gridSpan w:val="3"/>
            <w:vMerge w:val="restart"/>
            <w:tcBorders>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项目支出</w:t>
            </w:r>
          </w:p>
        </w:tc>
        <w:tc>
          <w:tcPr>
            <w:tcW w:w="2384" w:type="dxa"/>
            <w:gridSpan w:val="4"/>
            <w:tcBorders>
              <w:left w:val="single" w:color="auto" w:sz="4" w:space="0"/>
              <w:bottom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700" w:type="dxa"/>
            <w:gridSpan w:val="2"/>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419" w:type="dxa"/>
            <w:gridSpan w:val="2"/>
            <w:vMerge w:val="continue"/>
            <w:tcBorders>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401" w:type="dxa"/>
            <w:gridSpan w:val="4"/>
            <w:tcBorders>
              <w:top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人员支出</w:t>
            </w:r>
          </w:p>
        </w:tc>
        <w:tc>
          <w:tcPr>
            <w:tcW w:w="1410" w:type="dxa"/>
            <w:gridSpan w:val="4"/>
            <w:tcBorders>
              <w:top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公用支出</w:t>
            </w:r>
          </w:p>
        </w:tc>
        <w:tc>
          <w:tcPr>
            <w:tcW w:w="1413" w:type="dxa"/>
            <w:gridSpan w:val="3"/>
            <w:vMerge w:val="continue"/>
            <w:tcBorders>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61" w:type="dxa"/>
            <w:gridSpan w:val="3"/>
            <w:tcBorders>
              <w:top w:val="single" w:color="auto" w:sz="4" w:space="0"/>
              <w:left w:val="single" w:color="auto" w:sz="4" w:space="0"/>
              <w:right w:val="single" w:color="auto" w:sz="4" w:space="0"/>
            </w:tcBorders>
            <w:noWrap w:val="0"/>
            <w:vAlign w:val="center"/>
          </w:tcPr>
          <w:p>
            <w:pPr>
              <w:autoSpaceDN w:val="0"/>
              <w:spacing w:line="320" w:lineRule="exac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当年结余</w:t>
            </w:r>
          </w:p>
        </w:tc>
        <w:tc>
          <w:tcPr>
            <w:tcW w:w="1323" w:type="dxa"/>
            <w:tcBorders>
              <w:top w:val="single" w:color="auto" w:sz="4" w:space="0"/>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累计结余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2"/>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209.82</w:t>
            </w:r>
          </w:p>
        </w:tc>
        <w:tc>
          <w:tcPr>
            <w:tcW w:w="1410" w:type="dxa"/>
            <w:tcBorders>
              <w:left w:val="single" w:color="auto" w:sz="4" w:space="0"/>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209.82</w:t>
            </w:r>
          </w:p>
        </w:tc>
        <w:tc>
          <w:tcPr>
            <w:tcW w:w="1410"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165.48</w:t>
            </w:r>
          </w:p>
        </w:tc>
        <w:tc>
          <w:tcPr>
            <w:tcW w:w="141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44.34</w:t>
            </w:r>
          </w:p>
        </w:tc>
        <w:tc>
          <w:tcPr>
            <w:tcW w:w="1413" w:type="dxa"/>
            <w:gridSpan w:val="3"/>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61" w:type="dxa"/>
            <w:gridSpan w:val="3"/>
            <w:tcBorders>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23" w:type="dxa"/>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34" w:hRule="atLeast"/>
          <w:jc w:val="center"/>
        </w:trPr>
        <w:tc>
          <w:tcPr>
            <w:tcW w:w="1700" w:type="dxa"/>
            <w:gridSpan w:val="2"/>
            <w:vMerge w:val="restart"/>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三公经费合计</w:t>
            </w:r>
          </w:p>
        </w:tc>
        <w:tc>
          <w:tcPr>
            <w:tcW w:w="8027" w:type="dxa"/>
            <w:gridSpan w:val="17"/>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2"/>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923" w:type="dxa"/>
            <w:gridSpan w:val="4"/>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公务接待费</w:t>
            </w:r>
          </w:p>
        </w:tc>
        <w:tc>
          <w:tcPr>
            <w:tcW w:w="1923"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公务用车运维费</w:t>
            </w:r>
          </w:p>
        </w:tc>
        <w:tc>
          <w:tcPr>
            <w:tcW w:w="1923"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公务用车购置费</w:t>
            </w:r>
          </w:p>
        </w:tc>
        <w:tc>
          <w:tcPr>
            <w:tcW w:w="2258" w:type="dxa"/>
            <w:gridSpan w:val="3"/>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因公出国费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2"/>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0</w:t>
            </w:r>
          </w:p>
        </w:tc>
        <w:tc>
          <w:tcPr>
            <w:tcW w:w="1923" w:type="dxa"/>
            <w:gridSpan w:val="4"/>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923"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923"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258" w:type="dxa"/>
            <w:gridSpan w:val="3"/>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34" w:hRule="atLeast"/>
          <w:jc w:val="center"/>
        </w:trPr>
        <w:tc>
          <w:tcPr>
            <w:tcW w:w="1700" w:type="dxa"/>
            <w:gridSpan w:val="2"/>
            <w:vMerge w:val="restart"/>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固定资产合计</w:t>
            </w:r>
          </w:p>
        </w:tc>
        <w:tc>
          <w:tcPr>
            <w:tcW w:w="5331" w:type="dxa"/>
            <w:gridSpan w:val="12"/>
            <w:tcBorders>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2696" w:type="dxa"/>
            <w:gridSpan w:val="5"/>
            <w:vMerge w:val="restart"/>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2"/>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665" w:type="dxa"/>
            <w:gridSpan w:val="5"/>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在用固定资产</w:t>
            </w:r>
          </w:p>
        </w:tc>
        <w:tc>
          <w:tcPr>
            <w:tcW w:w="2666" w:type="dxa"/>
            <w:gridSpan w:val="7"/>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出租固定资产</w:t>
            </w:r>
          </w:p>
        </w:tc>
        <w:tc>
          <w:tcPr>
            <w:tcW w:w="2696" w:type="dxa"/>
            <w:gridSpan w:val="5"/>
            <w:vMerge w:val="continue"/>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58" w:hRule="atLeast"/>
          <w:jc w:val="center"/>
        </w:trPr>
        <w:tc>
          <w:tcPr>
            <w:tcW w:w="1700" w:type="dxa"/>
            <w:gridSpan w:val="2"/>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119.45</w:t>
            </w:r>
          </w:p>
        </w:tc>
        <w:tc>
          <w:tcPr>
            <w:tcW w:w="2665" w:type="dxa"/>
            <w:gridSpan w:val="5"/>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119.45</w:t>
            </w:r>
          </w:p>
        </w:tc>
        <w:tc>
          <w:tcPr>
            <w:tcW w:w="2666" w:type="dxa"/>
            <w:gridSpan w:val="7"/>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696" w:type="dxa"/>
            <w:gridSpan w:val="5"/>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99" w:hRule="atLeast"/>
          <w:jc w:val="center"/>
        </w:trPr>
        <w:tc>
          <w:tcPr>
            <w:tcW w:w="9727" w:type="dxa"/>
            <w:gridSpan w:val="19"/>
            <w:noWrap w:val="0"/>
            <w:vAlign w:val="center"/>
          </w:tcPr>
          <w:p>
            <w:pPr>
              <w:autoSpaceDN w:val="0"/>
              <w:spacing w:before="156" w:beforeLines="50" w:line="320" w:lineRule="exact"/>
              <w:ind w:firstLine="240" w:firstLineChars="100"/>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单位领导（签字）：</w:t>
            </w:r>
          </w:p>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 xml:space="preserve"> </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 xml:space="preserve">  </w:t>
            </w:r>
            <w:r>
              <w:rPr>
                <w:rFonts w:hint="eastAsia" w:ascii="仿宋_GB2312" w:hAnsi="仿宋_GB2312" w:eastAsia="仿宋_GB2312" w:cs="仿宋_GB2312"/>
                <w:color w:val="000000"/>
                <w:sz w:val="24"/>
              </w:rPr>
              <w:t>公章</w:t>
            </w:r>
          </w:p>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 xml:space="preserve"> </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 xml:space="preserve">  </w:t>
            </w:r>
            <w:r>
              <w:rPr>
                <w:rFonts w:hint="eastAsia" w:ascii="仿宋_GB2312" w:hAnsi="仿宋_GB2312" w:eastAsia="仿宋_GB2312" w:cs="仿宋_GB2312"/>
                <w:color w:val="000000"/>
                <w:sz w:val="24"/>
              </w:rPr>
              <w:t>年</w:t>
            </w:r>
            <w:r>
              <w:rPr>
                <w:rFonts w:hint="eastAsia" w:ascii="仿宋_GB2312" w:hAnsi="仿宋_GB2312" w:eastAsia="仿宋_GB2312" w:cs="仿宋_GB2312"/>
                <w:color w:val="000000"/>
                <w:sz w:val="24"/>
                <w:lang w:eastAsia="zh-CN"/>
              </w:rPr>
              <w:t xml:space="preserve"> </w:t>
            </w:r>
            <w:r>
              <w:rPr>
                <w:rFonts w:hint="eastAsia" w:ascii="仿宋_GB2312" w:hAnsi="仿宋_GB2312" w:eastAsia="仿宋_GB2312" w:cs="仿宋_GB2312"/>
                <w:color w:val="000000"/>
                <w:sz w:val="24"/>
              </w:rPr>
              <w:t>月</w:t>
            </w:r>
            <w:r>
              <w:rPr>
                <w:rFonts w:hint="eastAsia" w:ascii="仿宋_GB2312" w:hAnsi="仿宋_GB2312" w:eastAsia="仿宋_GB2312" w:cs="仿宋_GB2312"/>
                <w:color w:val="000000"/>
                <w:sz w:val="24"/>
                <w:lang w:eastAsia="zh-CN"/>
              </w:rPr>
              <w:t xml:space="preserve"> </w:t>
            </w:r>
            <w:r>
              <w:rPr>
                <w:rFonts w:hint="eastAsia" w:ascii="仿宋_GB2312" w:hAnsi="仿宋_GB2312" w:eastAsia="仿宋_GB2312" w:cs="仿宋_GB2312"/>
                <w:color w:val="000000"/>
                <w:sz w:val="24"/>
              </w:rPr>
              <w:t>日</w:t>
            </w:r>
          </w:p>
          <w:p>
            <w:pPr>
              <w:autoSpaceDN w:val="0"/>
              <w:spacing w:line="320" w:lineRule="exact"/>
              <w:textAlignment w:val="center"/>
              <w:rPr>
                <w:rFonts w:hint="eastAsia" w:ascii="仿宋_GB2312" w:hAnsi="仿宋_GB2312" w:eastAsia="仿宋_GB2312" w:cs="仿宋_GB2312"/>
                <w:color w:val="000000"/>
                <w:sz w:val="24"/>
              </w:rPr>
            </w:pPr>
          </w:p>
        </w:tc>
      </w:tr>
    </w:tbl>
    <w:p>
      <w:pPr>
        <w:ind w:firstLine="560" w:firstLineChars="200"/>
      </w:pPr>
      <w:r>
        <w:rPr>
          <w:rFonts w:hint="eastAsia" w:eastAsia="仿宋_GB2312" w:cs="仿宋_GB2312"/>
          <w:bCs/>
          <w:sz w:val="28"/>
          <w:szCs w:val="28"/>
        </w:rPr>
        <w:t xml:space="preserve">填报人（签名）： </w:t>
      </w:r>
      <w:r>
        <w:rPr>
          <w:rFonts w:hint="eastAsia" w:eastAsia="仿宋_GB2312" w:cs="仿宋_GB2312"/>
          <w:bCs/>
          <w:sz w:val="28"/>
          <w:szCs w:val="28"/>
          <w:lang w:val="en-US" w:eastAsia="zh-CN"/>
        </w:rPr>
        <w:t xml:space="preserve">                </w:t>
      </w:r>
      <w:r>
        <w:rPr>
          <w:rFonts w:hint="eastAsia" w:eastAsia="仿宋_GB2312" w:cs="仿宋_GB2312"/>
          <w:bCs/>
          <w:sz w:val="28"/>
          <w:szCs w:val="28"/>
        </w:rPr>
        <w:t>徐芳</w:t>
      </w:r>
      <w:r>
        <w:rPr>
          <w:rFonts w:hint="eastAsia" w:eastAsia="仿宋_GB2312" w:cs="仿宋_GB2312"/>
          <w:bCs/>
          <w:sz w:val="28"/>
          <w:szCs w:val="28"/>
          <w:lang w:eastAsia="zh-CN"/>
        </w:rPr>
        <w:t xml:space="preserve"> </w:t>
      </w:r>
      <w:r>
        <w:rPr>
          <w:rFonts w:hint="eastAsia" w:eastAsia="仿宋_GB2312" w:cs="仿宋_GB2312"/>
          <w:bCs/>
          <w:sz w:val="28"/>
          <w:szCs w:val="28"/>
        </w:rPr>
        <w:t>联系电话：16673009707</w:t>
      </w:r>
    </w:p>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2000000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6A298D"/>
    <w:multiLevelType w:val="singleLevel"/>
    <w:tmpl w:val="B16A298D"/>
    <w:lvl w:ilvl="0" w:tentative="0">
      <w:start w:val="9"/>
      <w:numFmt w:val="chineseCounting"/>
      <w:suff w:val="nothing"/>
      <w:lvlText w:val="%1、"/>
      <w:lvlJc w:val="left"/>
      <w:rPr>
        <w:rFonts w:hint="eastAsia"/>
      </w:rPr>
    </w:lvl>
  </w:abstractNum>
  <w:abstractNum w:abstractNumId="1">
    <w:nsid w:val="DD3CDD52"/>
    <w:multiLevelType w:val="singleLevel"/>
    <w:tmpl w:val="DD3CDD52"/>
    <w:lvl w:ilvl="0" w:tentative="0">
      <w:start w:val="1"/>
      <w:numFmt w:val="decimal"/>
      <w:suff w:val="nothing"/>
      <w:lvlText w:val="（%1）"/>
      <w:lvlJc w:val="left"/>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D8EA7EF"/>
    <w:multiLevelType w:val="singleLevel"/>
    <w:tmpl w:val="4D8EA7EF"/>
    <w:lvl w:ilvl="0" w:tentative="0">
      <w:start w:val="7"/>
      <w:numFmt w:val="decimal"/>
      <w:suff w:val="nothing"/>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Y2NjYWY0NDFlNmY3YWVjMmFlMWExMWMzMDYzZTMifQ=="/>
  </w:docVars>
  <w:rsids>
    <w:rsidRoot w:val="00172A27"/>
    <w:rsid w:val="0002229B"/>
    <w:rsid w:val="000273BD"/>
    <w:rsid w:val="000415B7"/>
    <w:rsid w:val="00041E3F"/>
    <w:rsid w:val="00055DAA"/>
    <w:rsid w:val="00061F7B"/>
    <w:rsid w:val="000658A3"/>
    <w:rsid w:val="00074155"/>
    <w:rsid w:val="000873EF"/>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5633A58"/>
    <w:rsid w:val="06B411F0"/>
    <w:rsid w:val="087403E0"/>
    <w:rsid w:val="0BE56081"/>
    <w:rsid w:val="13BE003E"/>
    <w:rsid w:val="142E088F"/>
    <w:rsid w:val="14C46695"/>
    <w:rsid w:val="17A87124"/>
    <w:rsid w:val="1CE80C32"/>
    <w:rsid w:val="249F2B2A"/>
    <w:rsid w:val="27DB542D"/>
    <w:rsid w:val="307E4D79"/>
    <w:rsid w:val="328A4A69"/>
    <w:rsid w:val="366364DD"/>
    <w:rsid w:val="370B6762"/>
    <w:rsid w:val="40A0549B"/>
    <w:rsid w:val="45F9639D"/>
    <w:rsid w:val="48ED43E7"/>
    <w:rsid w:val="49A16653"/>
    <w:rsid w:val="52211A04"/>
    <w:rsid w:val="5C993A35"/>
    <w:rsid w:val="60A907EA"/>
    <w:rsid w:val="6145544E"/>
    <w:rsid w:val="6E3B2B87"/>
    <w:rsid w:val="6F5541D7"/>
    <w:rsid w:val="72124B6D"/>
    <w:rsid w:val="781E545A"/>
    <w:rsid w:val="78525385"/>
    <w:rsid w:val="7C294C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99"/>
    <w:pPr>
      <w:spacing w:before="100" w:beforeAutospacing="1" w:after="0"/>
      <w:ind w:left="0" w:firstLine="420" w:firstLineChars="200"/>
    </w:pPr>
  </w:style>
  <w:style w:type="paragraph" w:styleId="3">
    <w:name w:val="Body Text Indent"/>
    <w:basedOn w:val="1"/>
    <w:qFormat/>
    <w:uiPriority w:val="99"/>
    <w:pPr>
      <w:spacing w:after="120"/>
      <w:ind w:left="420" w:leftChars="200"/>
    </w:p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80904-B2FB-4FE3-894F-42F14B17BC5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9388</Words>
  <Characters>9883</Characters>
  <Lines>69</Lines>
  <Paragraphs>19</Paragraphs>
  <TotalTime>0</TotalTime>
  <ScaleCrop>false</ScaleCrop>
  <LinksUpToDate>false</LinksUpToDate>
  <CharactersWithSpaces>9923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何蔚</cp:lastModifiedBy>
  <cp:lastPrinted>2022-07-27T12:55:00Z</cp:lastPrinted>
  <dcterms:modified xsi:type="dcterms:W3CDTF">2023-09-22T17:13:47Z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C5C082B70FBA47BC93F87193170C4B46</vt:lpwstr>
  </property>
</Properties>
</file>