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jc w:val="center"/>
        <w:rPr>
          <w:sz w:val="56"/>
          <w:szCs w:val="56"/>
        </w:rPr>
      </w:pPr>
    </w:p>
    <w:p>
      <w:pPr>
        <w:pStyle w:val="9"/>
        <w:jc w:val="center"/>
        <w:rPr>
          <w:sz w:val="56"/>
          <w:szCs w:val="56"/>
        </w:rPr>
      </w:pPr>
    </w:p>
    <w:p>
      <w:pPr>
        <w:pStyle w:val="9"/>
        <w:jc w:val="center"/>
        <w:rPr>
          <w:sz w:val="84"/>
          <w:szCs w:val="84"/>
        </w:rPr>
      </w:pPr>
    </w:p>
    <w:p>
      <w:pPr>
        <w:pStyle w:val="9"/>
        <w:jc w:val="center"/>
        <w:rPr>
          <w:sz w:val="84"/>
          <w:szCs w:val="84"/>
        </w:rPr>
      </w:pPr>
    </w:p>
    <w:p>
      <w:pPr>
        <w:pStyle w:val="9"/>
        <w:jc w:val="center"/>
        <w:rPr>
          <w:sz w:val="84"/>
          <w:szCs w:val="84"/>
        </w:rPr>
      </w:pPr>
      <w:r>
        <w:rPr>
          <w:rFonts w:hint="eastAsia"/>
          <w:sz w:val="84"/>
          <w:szCs w:val="84"/>
        </w:rPr>
        <w:t>2021年度</w:t>
      </w:r>
    </w:p>
    <w:p>
      <w:pPr>
        <w:pStyle w:val="9"/>
        <w:jc w:val="center"/>
        <w:rPr>
          <w:sz w:val="84"/>
          <w:szCs w:val="84"/>
        </w:rPr>
      </w:pPr>
      <w:r>
        <w:rPr>
          <w:rFonts w:hint="eastAsia"/>
          <w:sz w:val="84"/>
          <w:szCs w:val="84"/>
        </w:rPr>
        <w:t>岳阳市国有土地房屋征收  中心部门决算</w:t>
      </w:r>
    </w:p>
    <w:p>
      <w:pPr>
        <w:pStyle w:val="9"/>
        <w:jc w:val="center"/>
        <w:rPr>
          <w:sz w:val="56"/>
          <w:szCs w:val="56"/>
        </w:rPr>
      </w:pPr>
    </w:p>
    <w:p>
      <w:pPr>
        <w:pStyle w:val="9"/>
        <w:jc w:val="center"/>
        <w:rPr>
          <w:sz w:val="56"/>
          <w:szCs w:val="56"/>
        </w:rPr>
      </w:pPr>
    </w:p>
    <w:p>
      <w:pPr>
        <w:pStyle w:val="9"/>
        <w:jc w:val="center"/>
        <w:rPr>
          <w:sz w:val="56"/>
          <w:szCs w:val="56"/>
        </w:rPr>
      </w:pPr>
    </w:p>
    <w:p>
      <w:pPr>
        <w:pStyle w:val="9"/>
        <w:jc w:val="center"/>
        <w:rPr>
          <w:sz w:val="56"/>
          <w:szCs w:val="56"/>
        </w:rPr>
      </w:pPr>
    </w:p>
    <w:p>
      <w:pPr>
        <w:pStyle w:val="9"/>
        <w:jc w:val="center"/>
        <w:rPr>
          <w:sz w:val="32"/>
          <w:szCs w:val="32"/>
        </w:rPr>
      </w:pPr>
    </w:p>
    <w:p>
      <w:pPr>
        <w:pStyle w:val="9"/>
        <w:jc w:val="center"/>
        <w:rPr>
          <w:sz w:val="32"/>
          <w:szCs w:val="32"/>
        </w:rPr>
      </w:pPr>
    </w:p>
    <w:p>
      <w:pPr>
        <w:pStyle w:val="9"/>
        <w:jc w:val="center"/>
        <w:rPr>
          <w:sz w:val="32"/>
          <w:szCs w:val="32"/>
        </w:rPr>
      </w:pPr>
    </w:p>
    <w:p>
      <w:pPr>
        <w:pStyle w:val="9"/>
        <w:jc w:val="center"/>
        <w:rPr>
          <w:sz w:val="32"/>
          <w:szCs w:val="32"/>
        </w:rPr>
      </w:pPr>
    </w:p>
    <w:p>
      <w:pPr>
        <w:pStyle w:val="9"/>
        <w:jc w:val="center"/>
        <w:rPr>
          <w:sz w:val="32"/>
          <w:szCs w:val="32"/>
        </w:rPr>
      </w:pPr>
    </w:p>
    <w:p>
      <w:pPr>
        <w:pStyle w:val="9"/>
        <w:spacing w:line="540" w:lineRule="exact"/>
        <w:jc w:val="center"/>
        <w:rPr>
          <w:sz w:val="56"/>
          <w:szCs w:val="56"/>
        </w:rPr>
      </w:pPr>
    </w:p>
    <w:p>
      <w:pPr>
        <w:pStyle w:val="9"/>
        <w:spacing w:line="500" w:lineRule="exact"/>
        <w:jc w:val="center"/>
        <w:rPr>
          <w:b/>
          <w:sz w:val="36"/>
          <w:szCs w:val="28"/>
        </w:rPr>
      </w:pPr>
    </w:p>
    <w:p>
      <w:pPr>
        <w:pStyle w:val="9"/>
        <w:spacing w:line="500" w:lineRule="exact"/>
        <w:jc w:val="center"/>
        <w:rPr>
          <w:b/>
          <w:sz w:val="36"/>
          <w:szCs w:val="28"/>
        </w:rPr>
      </w:pPr>
    </w:p>
    <w:p>
      <w:pPr>
        <w:pStyle w:val="9"/>
        <w:spacing w:line="480" w:lineRule="exact"/>
        <w:jc w:val="center"/>
        <w:rPr>
          <w:b/>
          <w:sz w:val="36"/>
          <w:szCs w:val="28"/>
        </w:rPr>
      </w:pPr>
      <w:r>
        <w:rPr>
          <w:rFonts w:hint="eastAsia"/>
          <w:b/>
          <w:sz w:val="36"/>
          <w:szCs w:val="28"/>
        </w:rPr>
        <w:t>目录</w:t>
      </w:r>
    </w:p>
    <w:p>
      <w:pPr>
        <w:pStyle w:val="9"/>
        <w:spacing w:line="480" w:lineRule="exact"/>
        <w:rPr>
          <w:rFonts w:ascii="仿宋_GB2312" w:hAnsi="仿宋_GB2312" w:cs="仿宋_GB2312"/>
          <w:b/>
          <w:sz w:val="28"/>
          <w:szCs w:val="28"/>
        </w:rPr>
      </w:pPr>
      <w:r>
        <w:rPr>
          <w:rFonts w:hint="eastAsia"/>
          <w:b/>
          <w:sz w:val="28"/>
          <w:szCs w:val="28"/>
        </w:rPr>
        <w:t>第一部分  岳阳市国有土地房屋征收中心单位概况</w:t>
      </w:r>
    </w:p>
    <w:p>
      <w:pPr>
        <w:pStyle w:val="9"/>
        <w:spacing w:line="48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一、部门职责</w:t>
      </w:r>
    </w:p>
    <w:p>
      <w:pPr>
        <w:pStyle w:val="9"/>
        <w:spacing w:line="48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二、机构设置</w:t>
      </w:r>
      <w:r>
        <w:rPr>
          <w:rFonts w:hint="eastAsia" w:cs="仿宋_GB2312" w:asciiTheme="minorEastAsia" w:hAnsiTheme="minorEastAsia" w:eastAsiaTheme="minorEastAsia"/>
          <w:sz w:val="28"/>
          <w:szCs w:val="28"/>
          <w:lang w:val="en-US" w:eastAsia="zh-CN"/>
        </w:rPr>
        <w:t>及决算单位构成</w:t>
      </w:r>
    </w:p>
    <w:p>
      <w:pPr>
        <w:pStyle w:val="9"/>
        <w:spacing w:line="480" w:lineRule="exact"/>
        <w:rPr>
          <w:rFonts w:ascii="仿宋_GB2312" w:hAnsi="仿宋_GB2312" w:cs="仿宋_GB2312"/>
          <w:b/>
          <w:sz w:val="28"/>
          <w:szCs w:val="28"/>
        </w:rPr>
      </w:pPr>
      <w:r>
        <w:rPr>
          <w:rFonts w:hint="eastAsia" w:hAnsi="仿宋_GB2312"/>
          <w:b/>
          <w:sz w:val="28"/>
          <w:szCs w:val="28"/>
        </w:rPr>
        <w:t xml:space="preserve">第二部分  </w:t>
      </w:r>
      <w:r>
        <w:rPr>
          <w:rFonts w:hAnsi="仿宋_GB2312"/>
          <w:b/>
          <w:sz w:val="28"/>
          <w:szCs w:val="28"/>
        </w:rPr>
        <w:t>20</w:t>
      </w:r>
      <w:r>
        <w:rPr>
          <w:rFonts w:hint="eastAsia" w:hAnsi="仿宋_GB2312"/>
          <w:b/>
          <w:sz w:val="28"/>
          <w:szCs w:val="28"/>
        </w:rPr>
        <w:t>21年度部门决算表</w:t>
      </w:r>
    </w:p>
    <w:p>
      <w:pPr>
        <w:pStyle w:val="9"/>
        <w:spacing w:line="48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pPr>
        <w:pStyle w:val="9"/>
        <w:spacing w:line="48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pPr>
        <w:pStyle w:val="9"/>
        <w:spacing w:line="48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pPr>
        <w:pStyle w:val="9"/>
        <w:spacing w:line="48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pPr>
        <w:pStyle w:val="9"/>
        <w:spacing w:line="48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pPr>
        <w:pStyle w:val="9"/>
        <w:spacing w:line="48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w:t>
      </w:r>
      <w:r>
        <w:rPr>
          <w:rFonts w:hint="eastAsia" w:cs="仿宋_GB2312" w:asciiTheme="minorEastAsia" w:hAnsiTheme="minorEastAsia" w:eastAsiaTheme="minorEastAsia"/>
          <w:sz w:val="28"/>
          <w:szCs w:val="28"/>
        </w:rPr>
        <w:t>明细</w:t>
      </w:r>
      <w:r>
        <w:rPr>
          <w:rFonts w:cs="仿宋_GB2312" w:asciiTheme="minorEastAsia" w:hAnsiTheme="minorEastAsia" w:eastAsiaTheme="minorEastAsia"/>
          <w:sz w:val="28"/>
          <w:szCs w:val="28"/>
        </w:rPr>
        <w:t>表</w:t>
      </w:r>
    </w:p>
    <w:p>
      <w:pPr>
        <w:pStyle w:val="9"/>
        <w:spacing w:line="48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pPr>
        <w:pStyle w:val="9"/>
        <w:spacing w:line="48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pPr>
        <w:pStyle w:val="9"/>
        <w:spacing w:line="480" w:lineRule="exact"/>
        <w:ind w:firstLine="700" w:firstLineChars="25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九、国有资本经营预算财政拨款支出决算表</w:t>
      </w:r>
    </w:p>
    <w:p>
      <w:pPr>
        <w:pStyle w:val="9"/>
        <w:spacing w:line="480" w:lineRule="exact"/>
        <w:rPr>
          <w:rFonts w:ascii="仿宋_GB2312" w:hAnsi="仿宋_GB2312" w:cs="仿宋_GB2312"/>
          <w:b/>
          <w:sz w:val="28"/>
          <w:szCs w:val="28"/>
        </w:rPr>
      </w:pPr>
      <w:r>
        <w:rPr>
          <w:rFonts w:hint="eastAsia" w:hAnsi="仿宋_GB2312"/>
          <w:b/>
          <w:sz w:val="28"/>
          <w:szCs w:val="28"/>
        </w:rPr>
        <w:t xml:space="preserve">第三部分  </w:t>
      </w:r>
      <w:r>
        <w:rPr>
          <w:rFonts w:hAnsi="仿宋_GB2312"/>
          <w:b/>
          <w:sz w:val="28"/>
          <w:szCs w:val="28"/>
        </w:rPr>
        <w:t>20</w:t>
      </w:r>
      <w:r>
        <w:rPr>
          <w:rFonts w:hint="eastAsia" w:hAnsi="仿宋_GB2312"/>
          <w:b/>
          <w:sz w:val="28"/>
          <w:szCs w:val="28"/>
        </w:rPr>
        <w:t>21年度部门决算情况说明</w:t>
      </w:r>
    </w:p>
    <w:p>
      <w:pPr>
        <w:pStyle w:val="9"/>
        <w:spacing w:line="48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pPr>
        <w:spacing w:line="480" w:lineRule="exact"/>
        <w:ind w:firstLine="700" w:firstLineChars="250"/>
        <w:jc w:val="left"/>
        <w:rPr>
          <w:rFonts w:ascii="仿宋_GB2312" w:hAnsi="仿宋_GB2312" w:cs="仿宋_GB2312"/>
          <w:sz w:val="28"/>
          <w:szCs w:val="28"/>
        </w:rPr>
      </w:pPr>
      <w:r>
        <w:rPr>
          <w:rFonts w:ascii="仿宋_GB2312" w:hAnsi="仿宋_GB2312" w:cs="仿宋_GB2312"/>
          <w:sz w:val="28"/>
          <w:szCs w:val="28"/>
        </w:rPr>
        <w:t>二、收入决算情况说明</w:t>
      </w:r>
    </w:p>
    <w:p>
      <w:pPr>
        <w:autoSpaceDE w:val="0"/>
        <w:autoSpaceDN w:val="0"/>
        <w:adjustRightInd w:val="0"/>
        <w:spacing w:line="48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pPr>
        <w:autoSpaceDE w:val="0"/>
        <w:autoSpaceDN w:val="0"/>
        <w:adjustRightInd w:val="0"/>
        <w:spacing w:line="48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pPr>
        <w:autoSpaceDE w:val="0"/>
        <w:autoSpaceDN w:val="0"/>
        <w:adjustRightInd w:val="0"/>
        <w:spacing w:line="48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pPr>
        <w:autoSpaceDE w:val="0"/>
        <w:autoSpaceDN w:val="0"/>
        <w:adjustRightInd w:val="0"/>
        <w:spacing w:line="48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pPr>
        <w:autoSpaceDE w:val="0"/>
        <w:autoSpaceDN w:val="0"/>
        <w:adjustRightInd w:val="0"/>
        <w:spacing w:line="48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w:t>
      </w:r>
      <w:r>
        <w:rPr>
          <w:rFonts w:hint="eastAsia" w:ascii="仿宋_GB2312" w:hAnsi="仿宋_GB2312" w:cs="仿宋_GB2312"/>
          <w:color w:val="000000"/>
          <w:kern w:val="0"/>
          <w:sz w:val="28"/>
          <w:szCs w:val="28"/>
        </w:rPr>
        <w:t>“</w:t>
      </w:r>
      <w:r>
        <w:rPr>
          <w:rFonts w:ascii="仿宋_GB2312" w:hAnsi="仿宋_GB2312" w:cs="仿宋_GB2312"/>
          <w:color w:val="000000"/>
          <w:kern w:val="0"/>
          <w:sz w:val="28"/>
          <w:szCs w:val="28"/>
        </w:rPr>
        <w:t>三公</w:t>
      </w:r>
      <w:r>
        <w:rPr>
          <w:rFonts w:hint="eastAsia" w:ascii="仿宋_GB2312" w:hAnsi="仿宋_GB2312" w:cs="仿宋_GB2312"/>
          <w:color w:val="000000"/>
          <w:kern w:val="0"/>
          <w:sz w:val="28"/>
          <w:szCs w:val="28"/>
        </w:rPr>
        <w:t>”</w:t>
      </w:r>
      <w:r>
        <w:rPr>
          <w:rFonts w:ascii="仿宋_GB2312" w:hAnsi="仿宋_GB2312" w:cs="仿宋_GB2312"/>
          <w:color w:val="000000"/>
          <w:kern w:val="0"/>
          <w:sz w:val="28"/>
          <w:szCs w:val="28"/>
        </w:rPr>
        <w:t>经费支出决算情况说明</w:t>
      </w:r>
    </w:p>
    <w:p>
      <w:pPr>
        <w:autoSpaceDE w:val="0"/>
        <w:autoSpaceDN w:val="0"/>
        <w:adjustRightInd w:val="0"/>
        <w:spacing w:line="48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pPr>
        <w:autoSpaceDE w:val="0"/>
        <w:autoSpaceDN w:val="0"/>
        <w:adjustRightInd w:val="0"/>
        <w:spacing w:line="48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九</w:t>
      </w:r>
      <w:r>
        <w:rPr>
          <w:rFonts w:ascii="仿宋_GB2312" w:hAnsi="仿宋_GB2312" w:cs="仿宋_GB2312"/>
          <w:color w:val="000000"/>
          <w:kern w:val="0"/>
          <w:sz w:val="28"/>
          <w:szCs w:val="28"/>
        </w:rPr>
        <w:t>、</w:t>
      </w:r>
      <w:r>
        <w:rPr>
          <w:rFonts w:hint="eastAsia" w:cs="仿宋_GB2312" w:asciiTheme="minorEastAsia" w:hAnsiTheme="minorEastAsia"/>
          <w:sz w:val="28"/>
          <w:szCs w:val="28"/>
        </w:rPr>
        <w:t>国有资本经营预算财政拨款支出决算情况</w:t>
      </w:r>
    </w:p>
    <w:p>
      <w:pPr>
        <w:autoSpaceDE w:val="0"/>
        <w:autoSpaceDN w:val="0"/>
        <w:adjustRightInd w:val="0"/>
        <w:spacing w:line="48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十、机关运行经费支出说明</w:t>
      </w:r>
    </w:p>
    <w:p>
      <w:pPr>
        <w:autoSpaceDE w:val="0"/>
        <w:autoSpaceDN w:val="0"/>
        <w:adjustRightInd w:val="0"/>
        <w:spacing w:line="48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十一、一般性支出情况说明</w:t>
      </w:r>
    </w:p>
    <w:p>
      <w:pPr>
        <w:autoSpaceDE w:val="0"/>
        <w:autoSpaceDN w:val="0"/>
        <w:adjustRightInd w:val="0"/>
        <w:spacing w:line="480" w:lineRule="exact"/>
        <w:ind w:firstLine="700" w:firstLineChars="250"/>
        <w:jc w:val="left"/>
        <w:rPr>
          <w:rFonts w:ascii="仿宋_GB2312" w:hAnsi="仿宋_GB2312" w:cs="仿宋_GB2312"/>
          <w:sz w:val="28"/>
          <w:szCs w:val="28"/>
        </w:rPr>
      </w:pPr>
      <w:r>
        <w:rPr>
          <w:rFonts w:hint="eastAsia" w:ascii="仿宋_GB2312" w:hAnsi="仿宋_GB2312" w:cs="仿宋_GB2312"/>
          <w:sz w:val="28"/>
          <w:szCs w:val="28"/>
        </w:rPr>
        <w:t>十二、</w:t>
      </w:r>
      <w:r>
        <w:rPr>
          <w:rFonts w:hint="eastAsia" w:ascii="仿宋_GB2312" w:hAnsi="仿宋_GB2312" w:cs="仿宋_GB2312"/>
          <w:color w:val="000000"/>
          <w:kern w:val="0"/>
          <w:sz w:val="28"/>
          <w:szCs w:val="28"/>
        </w:rPr>
        <w:t>政府采购支出说明</w:t>
      </w:r>
    </w:p>
    <w:p>
      <w:pPr>
        <w:pStyle w:val="9"/>
        <w:spacing w:line="48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十三、国有资产占用情况说明</w:t>
      </w:r>
    </w:p>
    <w:p>
      <w:pPr>
        <w:pStyle w:val="9"/>
        <w:spacing w:line="48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十四、</w:t>
      </w:r>
      <w:r>
        <w:rPr>
          <w:rFonts w:hint="eastAsia" w:cs="仿宋_GB2312" w:asciiTheme="minorEastAsia" w:hAnsiTheme="minorEastAsia" w:eastAsiaTheme="minorEastAsia"/>
          <w:sz w:val="28"/>
          <w:szCs w:val="28"/>
        </w:rPr>
        <w:t>2021年</w:t>
      </w:r>
      <w:r>
        <w:rPr>
          <w:rFonts w:hint="eastAsia" w:ascii="仿宋_GB2312" w:hAnsi="仿宋_GB2312" w:cs="仿宋_GB2312" w:eastAsiaTheme="minorEastAsia"/>
          <w:sz w:val="28"/>
          <w:szCs w:val="28"/>
        </w:rPr>
        <w:t>度预算绩效情况说明</w:t>
      </w:r>
    </w:p>
    <w:p>
      <w:pPr>
        <w:autoSpaceDE w:val="0"/>
        <w:autoSpaceDN w:val="0"/>
        <w:adjustRightInd w:val="0"/>
        <w:spacing w:line="480" w:lineRule="exact"/>
        <w:jc w:val="left"/>
        <w:rPr>
          <w:rFonts w:ascii="黑体" w:hAnsi="黑体" w:eastAsia="黑体" w:cs="黑体"/>
          <w:b/>
          <w:color w:val="000000"/>
          <w:kern w:val="0"/>
          <w:sz w:val="28"/>
          <w:szCs w:val="28"/>
        </w:rPr>
      </w:pPr>
      <w:r>
        <w:rPr>
          <w:rFonts w:ascii="黑体" w:hAnsi="黑体" w:eastAsia="黑体" w:cs="黑体"/>
          <w:b/>
          <w:color w:val="000000"/>
          <w:kern w:val="0"/>
          <w:sz w:val="28"/>
          <w:szCs w:val="28"/>
        </w:rPr>
        <w:t>第四部分</w:t>
      </w:r>
      <w:r>
        <w:rPr>
          <w:rFonts w:hint="eastAsia" w:ascii="黑体" w:hAnsi="黑体" w:eastAsia="黑体" w:cs="黑体"/>
          <w:b/>
          <w:color w:val="000000"/>
          <w:kern w:val="0"/>
          <w:sz w:val="28"/>
          <w:szCs w:val="28"/>
        </w:rPr>
        <w:t xml:space="preserve">  </w:t>
      </w:r>
      <w:r>
        <w:rPr>
          <w:rFonts w:ascii="黑体" w:hAnsi="黑体" w:eastAsia="黑体" w:cs="黑体"/>
          <w:b/>
          <w:color w:val="000000"/>
          <w:kern w:val="0"/>
          <w:sz w:val="28"/>
          <w:szCs w:val="28"/>
        </w:rPr>
        <w:t>名词解释</w:t>
      </w:r>
    </w:p>
    <w:p>
      <w:pPr>
        <w:autoSpaceDE w:val="0"/>
        <w:autoSpaceDN w:val="0"/>
        <w:adjustRightInd w:val="0"/>
        <w:spacing w:line="480" w:lineRule="exact"/>
        <w:jc w:val="left"/>
        <w:rPr>
          <w:rFonts w:ascii="黑体" w:hAnsi="黑体" w:eastAsia="黑体" w:cs="仿宋_GB2312"/>
          <w:b/>
          <w:color w:val="000000"/>
          <w:kern w:val="0"/>
          <w:sz w:val="28"/>
          <w:szCs w:val="28"/>
        </w:rPr>
      </w:pPr>
      <w:r>
        <w:rPr>
          <w:rFonts w:hint="eastAsia" w:ascii="黑体" w:hAnsi="黑体" w:eastAsia="黑体" w:cs="黑体"/>
          <w:b/>
          <w:color w:val="000000"/>
          <w:kern w:val="0"/>
          <w:sz w:val="28"/>
          <w:szCs w:val="28"/>
        </w:rPr>
        <w:t>第五部分  附件</w:t>
      </w:r>
    </w:p>
    <w:p>
      <w:pPr>
        <w:spacing w:line="620" w:lineRule="exact"/>
        <w:jc w:val="center"/>
        <w:rPr>
          <w:sz w:val="72"/>
          <w:szCs w:val="72"/>
        </w:rPr>
      </w:pPr>
    </w:p>
    <w:p>
      <w:pPr>
        <w:jc w:val="center"/>
        <w:rPr>
          <w:sz w:val="72"/>
          <w:szCs w:val="72"/>
        </w:rPr>
      </w:pPr>
    </w:p>
    <w:p>
      <w:pPr>
        <w:jc w:val="center"/>
        <w:rPr>
          <w:sz w:val="72"/>
          <w:szCs w:val="72"/>
        </w:rPr>
      </w:pPr>
    </w:p>
    <w:p>
      <w:pPr>
        <w:jc w:val="center"/>
        <w:rPr>
          <w:sz w:val="72"/>
          <w:szCs w:val="72"/>
        </w:rPr>
      </w:pPr>
    </w:p>
    <w:p>
      <w:pPr>
        <w:rPr>
          <w:sz w:val="72"/>
          <w:szCs w:val="72"/>
        </w:rPr>
      </w:pPr>
    </w:p>
    <w:p>
      <w:pPr>
        <w:pStyle w:val="9"/>
        <w:jc w:val="center"/>
        <w:rPr>
          <w:sz w:val="84"/>
          <w:szCs w:val="84"/>
        </w:rPr>
      </w:pPr>
      <w:r>
        <w:rPr>
          <w:rFonts w:hint="eastAsia"/>
          <w:sz w:val="84"/>
          <w:szCs w:val="84"/>
        </w:rPr>
        <w:t>第一部分</w:t>
      </w:r>
      <w:r>
        <w:rPr>
          <w:sz w:val="84"/>
          <w:szCs w:val="84"/>
        </w:rPr>
        <w:t xml:space="preserve"> </w:t>
      </w:r>
    </w:p>
    <w:p>
      <w:pPr>
        <w:pStyle w:val="9"/>
        <w:jc w:val="center"/>
        <w:rPr>
          <w:sz w:val="84"/>
          <w:szCs w:val="84"/>
        </w:rPr>
      </w:pPr>
    </w:p>
    <w:p>
      <w:pPr>
        <w:pStyle w:val="9"/>
        <w:jc w:val="center"/>
        <w:rPr>
          <w:sz w:val="84"/>
          <w:szCs w:val="84"/>
        </w:rPr>
      </w:pPr>
      <w:r>
        <w:rPr>
          <w:rFonts w:hint="eastAsia"/>
          <w:sz w:val="84"/>
          <w:szCs w:val="84"/>
        </w:rPr>
        <w:t>岳阳市国有土地房屋征收 中心单位概况</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0"/>
        <w:ind w:left="720" w:firstLine="0" w:firstLineChars="0"/>
        <w:jc w:val="left"/>
        <w:rPr>
          <w:rFonts w:ascii="黑体" w:hAnsi="黑体" w:eastAsia="黑体"/>
          <w:sz w:val="32"/>
          <w:szCs w:val="32"/>
        </w:rPr>
      </w:pPr>
    </w:p>
    <w:p>
      <w:pPr>
        <w:pStyle w:val="10"/>
        <w:ind w:left="720" w:firstLine="0" w:firstLineChars="0"/>
        <w:jc w:val="left"/>
        <w:rPr>
          <w:rFonts w:ascii="黑体" w:hAnsi="黑体" w:eastAsia="黑体"/>
          <w:sz w:val="32"/>
          <w:szCs w:val="32"/>
        </w:rPr>
      </w:pPr>
    </w:p>
    <w:p>
      <w:pPr>
        <w:pStyle w:val="10"/>
        <w:ind w:left="720" w:firstLine="0" w:firstLineChars="0"/>
        <w:jc w:val="left"/>
        <w:rPr>
          <w:rFonts w:ascii="黑体" w:hAnsi="黑体" w:eastAsia="黑体"/>
          <w:sz w:val="32"/>
          <w:szCs w:val="32"/>
        </w:rPr>
      </w:pPr>
    </w:p>
    <w:p>
      <w:pPr>
        <w:pStyle w:val="10"/>
        <w:numPr>
          <w:ilvl w:val="0"/>
          <w:numId w:val="1"/>
        </w:numPr>
        <w:ind w:firstLineChars="0"/>
        <w:jc w:val="left"/>
        <w:rPr>
          <w:rFonts w:ascii="黑体" w:hAnsi="黑体" w:eastAsia="黑体"/>
          <w:sz w:val="32"/>
          <w:szCs w:val="32"/>
        </w:rPr>
      </w:pPr>
      <w:r>
        <w:rPr>
          <w:rFonts w:ascii="黑体" w:hAnsi="黑体" w:eastAsia="黑体"/>
          <w:sz w:val="32"/>
          <w:szCs w:val="32"/>
        </w:rPr>
        <w:t>部门职责</w:t>
      </w:r>
    </w:p>
    <w:p>
      <w:pPr>
        <w:spacing w:line="560" w:lineRule="exact"/>
        <w:ind w:firstLine="640" w:firstLineChars="200"/>
        <w:rPr>
          <w:rFonts w:asciiTheme="minorEastAsia" w:hAnsiTheme="minorEastAsia"/>
          <w:bCs/>
          <w:kern w:val="0"/>
          <w:sz w:val="32"/>
          <w:szCs w:val="32"/>
        </w:rPr>
      </w:pPr>
      <w:r>
        <w:rPr>
          <w:rFonts w:hint="eastAsia" w:asciiTheme="minorEastAsia" w:hAnsiTheme="minorEastAsia"/>
          <w:bCs/>
          <w:kern w:val="0"/>
          <w:sz w:val="32"/>
          <w:szCs w:val="32"/>
        </w:rPr>
        <w:t>（一）宣传贯彻《国有土地上房屋征收与补偿条例》及相关法律法规政策；拟制和报批房屋征收补助和奖励等相关配套政策</w:t>
      </w:r>
      <w:r>
        <w:rPr>
          <w:rFonts w:asciiTheme="minorEastAsia" w:hAnsiTheme="minorEastAsia"/>
          <w:bCs/>
          <w:kern w:val="0"/>
          <w:sz w:val="32"/>
          <w:szCs w:val="32"/>
        </w:rPr>
        <w:t>;</w:t>
      </w:r>
    </w:p>
    <w:p>
      <w:pPr>
        <w:pStyle w:val="10"/>
        <w:spacing w:line="560" w:lineRule="exact"/>
        <w:ind w:left="720" w:firstLine="0" w:firstLineChars="0"/>
        <w:rPr>
          <w:rFonts w:asciiTheme="minorEastAsia" w:hAnsiTheme="minorEastAsia"/>
          <w:bCs/>
          <w:kern w:val="0"/>
          <w:sz w:val="32"/>
          <w:szCs w:val="32"/>
        </w:rPr>
      </w:pPr>
      <w:r>
        <w:rPr>
          <w:rFonts w:hint="eastAsia" w:asciiTheme="minorEastAsia" w:hAnsiTheme="minorEastAsia"/>
          <w:bCs/>
          <w:kern w:val="0"/>
          <w:sz w:val="32"/>
          <w:szCs w:val="32"/>
        </w:rPr>
        <w:t>（二）负责房屋征收（收购）项目补偿安置方案、房地产评估报告及补偿协议的备案和项目成本审核工作，并对征购补偿资金实行专户存储、专款专用</w:t>
      </w:r>
      <w:r>
        <w:rPr>
          <w:rFonts w:asciiTheme="minorEastAsia" w:hAnsiTheme="minorEastAsia"/>
          <w:bCs/>
          <w:kern w:val="0"/>
          <w:sz w:val="32"/>
          <w:szCs w:val="32"/>
        </w:rPr>
        <w:t>;</w:t>
      </w:r>
    </w:p>
    <w:p>
      <w:pPr>
        <w:pStyle w:val="10"/>
        <w:spacing w:line="560" w:lineRule="exact"/>
        <w:ind w:left="720" w:firstLine="0" w:firstLineChars="0"/>
        <w:rPr>
          <w:rFonts w:asciiTheme="minorEastAsia" w:hAnsiTheme="minorEastAsia"/>
          <w:bCs/>
          <w:kern w:val="0"/>
          <w:sz w:val="32"/>
          <w:szCs w:val="32"/>
        </w:rPr>
      </w:pPr>
      <w:r>
        <w:rPr>
          <w:rFonts w:hint="eastAsia" w:asciiTheme="minorEastAsia" w:hAnsiTheme="minorEastAsia"/>
          <w:bCs/>
          <w:kern w:val="0"/>
          <w:sz w:val="32"/>
          <w:szCs w:val="32"/>
        </w:rPr>
        <w:t>（三）建立健全房屋征收（收购）项目房地产价格评估机构备选库并报请向社会公布；</w:t>
      </w:r>
    </w:p>
    <w:p>
      <w:pPr>
        <w:pStyle w:val="10"/>
        <w:spacing w:line="560" w:lineRule="exact"/>
        <w:ind w:left="720" w:firstLine="0" w:firstLineChars="0"/>
        <w:rPr>
          <w:rFonts w:asciiTheme="minorEastAsia" w:hAnsiTheme="minorEastAsia"/>
          <w:bCs/>
          <w:kern w:val="0"/>
          <w:sz w:val="32"/>
          <w:szCs w:val="32"/>
        </w:rPr>
      </w:pPr>
      <w:r>
        <w:rPr>
          <w:rFonts w:hint="eastAsia" w:asciiTheme="minorEastAsia" w:hAnsiTheme="minorEastAsia"/>
          <w:bCs/>
          <w:kern w:val="0"/>
          <w:sz w:val="32"/>
          <w:szCs w:val="32"/>
        </w:rPr>
        <w:t>（四）接受实施房屋征收（收购）委托，组织房屋征收（收购）项目调查登记和社会稳定风险评估，拟制并报批房屋征收（收购）具体项目补偿安置方案</w:t>
      </w:r>
      <w:r>
        <w:rPr>
          <w:rFonts w:asciiTheme="minorEastAsia" w:hAnsiTheme="minorEastAsia"/>
          <w:bCs/>
          <w:kern w:val="0"/>
          <w:sz w:val="32"/>
          <w:szCs w:val="32"/>
        </w:rPr>
        <w:t xml:space="preserve">; </w:t>
      </w:r>
      <w:r>
        <w:rPr>
          <w:rFonts w:hint="eastAsia" w:asciiTheme="minorEastAsia" w:hAnsiTheme="minorEastAsia"/>
          <w:bCs/>
          <w:kern w:val="0"/>
          <w:sz w:val="32"/>
          <w:szCs w:val="32"/>
        </w:rPr>
        <w:t>组织签订和履行征收（收购）补偿协议，公布分户补偿结果，编制实施项目的成本报告，建立房屋征收（收购）补偿档案</w:t>
      </w:r>
      <w:r>
        <w:rPr>
          <w:rFonts w:asciiTheme="minorEastAsia" w:hAnsiTheme="minorEastAsia"/>
          <w:bCs/>
          <w:kern w:val="0"/>
          <w:sz w:val="32"/>
          <w:szCs w:val="32"/>
        </w:rPr>
        <w:t xml:space="preserve">; </w:t>
      </w:r>
      <w:r>
        <w:rPr>
          <w:rFonts w:hint="eastAsia" w:asciiTheme="minorEastAsia" w:hAnsiTheme="minorEastAsia"/>
          <w:bCs/>
          <w:kern w:val="0"/>
          <w:sz w:val="32"/>
          <w:szCs w:val="32"/>
        </w:rPr>
        <w:t>组织拆除被征收（收购）房屋并办理相关权证注销手续</w:t>
      </w:r>
      <w:r>
        <w:rPr>
          <w:rFonts w:asciiTheme="minorEastAsia" w:hAnsiTheme="minorEastAsia"/>
          <w:bCs/>
          <w:kern w:val="0"/>
          <w:sz w:val="32"/>
          <w:szCs w:val="32"/>
        </w:rPr>
        <w:t>;</w:t>
      </w:r>
    </w:p>
    <w:p>
      <w:pPr>
        <w:spacing w:line="560" w:lineRule="exact"/>
        <w:ind w:firstLine="640" w:firstLineChars="200"/>
        <w:rPr>
          <w:rFonts w:asciiTheme="minorEastAsia" w:hAnsiTheme="minorEastAsia"/>
          <w:bCs/>
          <w:kern w:val="0"/>
          <w:sz w:val="32"/>
          <w:szCs w:val="32"/>
        </w:rPr>
      </w:pPr>
      <w:r>
        <w:rPr>
          <w:rFonts w:hint="eastAsia" w:asciiTheme="minorEastAsia" w:hAnsiTheme="minorEastAsia"/>
          <w:bCs/>
          <w:kern w:val="0"/>
          <w:sz w:val="32"/>
          <w:szCs w:val="32"/>
        </w:rPr>
        <w:t>（五）指导和协调县（市、区）房屋征收（收购）补偿的相关工作；</w:t>
      </w:r>
    </w:p>
    <w:p>
      <w:pPr>
        <w:pStyle w:val="10"/>
        <w:spacing w:line="560" w:lineRule="exact"/>
        <w:ind w:left="720" w:firstLine="0" w:firstLineChars="0"/>
        <w:rPr>
          <w:rFonts w:asciiTheme="minorEastAsia" w:hAnsiTheme="minorEastAsia"/>
          <w:bCs/>
          <w:kern w:val="0"/>
          <w:sz w:val="32"/>
          <w:szCs w:val="32"/>
        </w:rPr>
      </w:pPr>
      <w:r>
        <w:rPr>
          <w:rFonts w:hint="eastAsia" w:asciiTheme="minorEastAsia" w:hAnsiTheme="minorEastAsia"/>
          <w:bCs/>
          <w:kern w:val="0"/>
          <w:sz w:val="32"/>
          <w:szCs w:val="32"/>
        </w:rPr>
        <w:t>（六）完成市住建局交办的其它工作。</w:t>
      </w:r>
    </w:p>
    <w:p>
      <w:pPr>
        <w:ind w:firstLine="800" w:firstLineChars="250"/>
        <w:jc w:val="left"/>
        <w:rPr>
          <w:rFonts w:asciiTheme="minorEastAsia" w:hAnsiTheme="minorEastAsia"/>
          <w:sz w:val="32"/>
          <w:szCs w:val="32"/>
        </w:rPr>
      </w:pPr>
    </w:p>
    <w:p>
      <w:pPr>
        <w:widowControl/>
        <w:spacing w:line="600" w:lineRule="exact"/>
        <w:rPr>
          <w:rFonts w:ascii="黑体" w:hAnsi="黑体" w:eastAsia="黑体"/>
          <w:bCs/>
          <w:kern w:val="0"/>
          <w:sz w:val="32"/>
          <w:szCs w:val="32"/>
        </w:rPr>
      </w:pPr>
      <w:r>
        <w:rPr>
          <w:rFonts w:hint="eastAsia" w:ascii="黑体" w:hAnsi="黑体" w:eastAsia="黑体"/>
          <w:bCs/>
          <w:kern w:val="0"/>
          <w:sz w:val="32"/>
          <w:szCs w:val="32"/>
        </w:rPr>
        <w:t>二、机构设置及决算单位构成</w:t>
      </w:r>
    </w:p>
    <w:p>
      <w:pPr>
        <w:spacing w:line="560" w:lineRule="exact"/>
        <w:ind w:firstLine="640" w:firstLineChars="200"/>
        <w:rPr>
          <w:rFonts w:asciiTheme="minorEastAsia" w:hAnsiTheme="minorEastAsia"/>
          <w:bCs/>
          <w:kern w:val="0"/>
          <w:sz w:val="32"/>
          <w:szCs w:val="32"/>
        </w:rPr>
      </w:pPr>
      <w:r>
        <w:rPr>
          <w:rFonts w:hint="eastAsia" w:asciiTheme="minorEastAsia" w:hAnsiTheme="minorEastAsia"/>
          <w:bCs/>
          <w:kern w:val="0"/>
          <w:sz w:val="32"/>
          <w:szCs w:val="32"/>
        </w:rPr>
        <w:t>（一）内设机构设置。根据《岳阳市国有土地房屋征收中心主要职责内设机构和人员编制规定（暂行稿）》，岳阳市国有土地房屋征收中心计划设内设机构</w:t>
      </w:r>
      <w:r>
        <w:rPr>
          <w:rFonts w:asciiTheme="minorEastAsia" w:hAnsiTheme="minorEastAsia"/>
          <w:bCs/>
          <w:kern w:val="0"/>
          <w:sz w:val="32"/>
          <w:szCs w:val="32"/>
        </w:rPr>
        <w:t>5</w:t>
      </w:r>
      <w:r>
        <w:rPr>
          <w:rFonts w:hint="eastAsia" w:asciiTheme="minorEastAsia" w:hAnsiTheme="minorEastAsia"/>
          <w:bCs/>
          <w:kern w:val="0"/>
          <w:sz w:val="32"/>
          <w:szCs w:val="32"/>
        </w:rPr>
        <w:t>个：综合室、计划财务室、征收实施室、征收备案室、成本核算室。</w:t>
      </w:r>
    </w:p>
    <w:p>
      <w:pPr>
        <w:spacing w:line="560" w:lineRule="exact"/>
        <w:ind w:firstLine="640" w:firstLineChars="200"/>
        <w:rPr>
          <w:rFonts w:asciiTheme="minorEastAsia" w:hAnsiTheme="minorEastAsia"/>
          <w:bCs/>
          <w:kern w:val="0"/>
          <w:sz w:val="32"/>
          <w:szCs w:val="32"/>
        </w:rPr>
      </w:pPr>
      <w:r>
        <w:rPr>
          <w:rFonts w:hint="eastAsia" w:asciiTheme="minorEastAsia" w:hAnsiTheme="minorEastAsia"/>
          <w:bCs/>
          <w:kern w:val="0"/>
          <w:sz w:val="32"/>
          <w:szCs w:val="32"/>
        </w:rPr>
        <w:t>（二）决算单位构成。岳阳市国有土地房屋征收中心单位2021年部门决算汇总公开单位构成包括：仅岳阳市国有土地房屋征收中心本级，没有设立二级机构和下属单位。</w:t>
      </w:r>
    </w:p>
    <w:p>
      <w:pPr>
        <w:widowControl/>
        <w:spacing w:line="600" w:lineRule="exact"/>
        <w:rPr>
          <w:rFonts w:asciiTheme="minorEastAsia" w:hAnsiTheme="minorEastAsia"/>
          <w:bCs/>
          <w:kern w:val="0"/>
          <w:sz w:val="32"/>
          <w:szCs w:val="32"/>
        </w:rPr>
      </w:pPr>
    </w:p>
    <w:p>
      <w:pPr>
        <w:jc w:val="left"/>
        <w:rPr>
          <w:rFonts w:ascii="仿宋_GB2312" w:eastAsia="仿宋_GB2312" w:hAnsiTheme="minorEastAsia"/>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r>
        <w:rPr>
          <w:rFonts w:hint="eastAsia"/>
          <w:sz w:val="72"/>
          <w:szCs w:val="72"/>
        </w:rPr>
        <w:t>第二部分</w:t>
      </w:r>
    </w:p>
    <w:p>
      <w:pPr>
        <w:jc w:val="center"/>
        <w:rPr>
          <w:sz w:val="72"/>
          <w:szCs w:val="72"/>
        </w:rPr>
      </w:pPr>
    </w:p>
    <w:p>
      <w:pPr>
        <w:jc w:val="center"/>
        <w:rPr>
          <w:sz w:val="72"/>
          <w:szCs w:val="72"/>
        </w:rPr>
      </w:pPr>
      <w:r>
        <w:rPr>
          <w:rFonts w:hint="eastAsia"/>
          <w:sz w:val="72"/>
          <w:szCs w:val="72"/>
        </w:rPr>
        <w:t>部门决算表</w:t>
      </w:r>
    </w:p>
    <w:p>
      <w:pPr>
        <w:jc w:val="center"/>
        <w:rPr>
          <w:sz w:val="72"/>
          <w:szCs w:val="72"/>
        </w:rPr>
      </w:pPr>
      <w:r>
        <w:rPr>
          <w:rFonts w:hint="eastAsia"/>
          <w:sz w:val="72"/>
          <w:szCs w:val="72"/>
        </w:rPr>
        <w:t>（见附件）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p>
      <w:pPr>
        <w:pStyle w:val="9"/>
        <w:jc w:val="both"/>
        <w:rPr>
          <w:sz w:val="72"/>
          <w:szCs w:val="72"/>
        </w:rPr>
      </w:pPr>
    </w:p>
    <w:p>
      <w:pPr>
        <w:pStyle w:val="9"/>
        <w:jc w:val="center"/>
        <w:rPr>
          <w:sz w:val="72"/>
          <w:szCs w:val="72"/>
        </w:rPr>
      </w:pPr>
    </w:p>
    <w:p>
      <w:pPr>
        <w:pStyle w:val="9"/>
        <w:jc w:val="center"/>
        <w:rPr>
          <w:sz w:val="72"/>
          <w:szCs w:val="72"/>
        </w:rPr>
      </w:pPr>
      <w:r>
        <w:rPr>
          <w:rFonts w:hint="eastAsia"/>
          <w:sz w:val="72"/>
          <w:szCs w:val="72"/>
        </w:rPr>
        <w:t>第三部分</w:t>
      </w:r>
    </w:p>
    <w:p>
      <w:pPr>
        <w:pStyle w:val="9"/>
        <w:jc w:val="center"/>
        <w:rPr>
          <w:sz w:val="70"/>
          <w:szCs w:val="70"/>
        </w:rPr>
      </w:pPr>
    </w:p>
    <w:p>
      <w:pPr>
        <w:pStyle w:val="9"/>
        <w:jc w:val="center"/>
        <w:rPr>
          <w:sz w:val="70"/>
          <w:szCs w:val="70"/>
        </w:rPr>
      </w:pPr>
      <w:r>
        <w:rPr>
          <w:sz w:val="70"/>
          <w:szCs w:val="70"/>
        </w:rPr>
        <w:t>20</w:t>
      </w:r>
      <w:r>
        <w:rPr>
          <w:rFonts w:hint="eastAsia"/>
          <w:sz w:val="70"/>
          <w:szCs w:val="70"/>
        </w:rPr>
        <w:t>21年度部门决算情况说明</w:t>
      </w:r>
    </w:p>
    <w:p>
      <w:pPr>
        <w:widowControl/>
        <w:jc w:val="left"/>
        <w:rPr>
          <w:rFonts w:ascii="黑体" w:eastAsia="黑体" w:cs="黑体"/>
          <w:color w:val="000000"/>
          <w:kern w:val="0"/>
          <w:sz w:val="70"/>
          <w:szCs w:val="70"/>
        </w:rPr>
      </w:pPr>
      <w:r>
        <w:rPr>
          <w:sz w:val="70"/>
          <w:szCs w:val="70"/>
        </w:rPr>
        <w:br w:type="page"/>
      </w:r>
    </w:p>
    <w:p>
      <w:pPr>
        <w:pStyle w:val="9"/>
        <w:rPr>
          <w:rFonts w:asciiTheme="minorEastAsia" w:hAnsiTheme="minorEastAsia" w:eastAsiaTheme="minorEastAsia"/>
          <w:sz w:val="32"/>
          <w:szCs w:val="32"/>
        </w:rPr>
      </w:pPr>
    </w:p>
    <w:p>
      <w:pPr>
        <w:pStyle w:val="9"/>
        <w:rPr>
          <w:rFonts w:hAnsi="黑体"/>
          <w:b/>
          <w:sz w:val="32"/>
          <w:szCs w:val="32"/>
        </w:rPr>
      </w:pPr>
      <w:r>
        <w:rPr>
          <w:rFonts w:hint="eastAsia" w:hAnsi="黑体"/>
          <w:b/>
          <w:sz w:val="32"/>
          <w:szCs w:val="32"/>
        </w:rPr>
        <w:t>一、收入支出决算总体情况说明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2021年度收、支总计750.48万元。与上年相比，减少2747.72万元，减少78.54%，主要是因为去年有一笔政府性基金财政拨款收入2673.73万元，是站前西路征收项目房屋征收还建建设资金收付。</w:t>
      </w:r>
    </w:p>
    <w:p>
      <w:pPr>
        <w:pStyle w:val="9"/>
        <w:ind w:firstLine="640" w:firstLineChars="200"/>
        <w:rPr>
          <w:rFonts w:asciiTheme="minorEastAsia" w:hAnsiTheme="minorEastAsia" w:eastAsiaTheme="minorEastAsia"/>
          <w:sz w:val="32"/>
          <w:szCs w:val="32"/>
        </w:rPr>
      </w:pPr>
    </w:p>
    <w:p>
      <w:pPr>
        <w:pStyle w:val="9"/>
        <w:rPr>
          <w:rFonts w:hAnsi="黑体"/>
          <w:b/>
          <w:sz w:val="32"/>
          <w:szCs w:val="32"/>
        </w:rPr>
      </w:pPr>
      <w:r>
        <w:rPr>
          <w:rFonts w:hint="eastAsia" w:hAnsi="黑体"/>
          <w:b/>
          <w:sz w:val="32"/>
          <w:szCs w:val="32"/>
        </w:rPr>
        <w:t>二、收入决算情况说明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2021年度收入合计172.57万元，其中：财政拨款收入157.31万元，占91.16%；上级补助收入0万元，占0%；事业收入0万元，占0%；经营收入0万元，占0%；附属单位上缴收入0万元，占0%；其他收入15.26万元，占8.84%。</w:t>
      </w:r>
    </w:p>
    <w:p>
      <w:pPr>
        <w:pStyle w:val="9"/>
        <w:ind w:firstLine="720" w:firstLineChars="200"/>
        <w:rPr>
          <w:rFonts w:asciiTheme="minorEastAsia" w:hAnsiTheme="minorEastAsia" w:eastAsiaTheme="minorEastAsia"/>
          <w:i/>
          <w:iCs/>
          <w:sz w:val="36"/>
          <w:szCs w:val="36"/>
        </w:rPr>
      </w:pPr>
    </w:p>
    <w:p>
      <w:pPr>
        <w:pStyle w:val="9"/>
        <w:rPr>
          <w:rFonts w:hAnsi="黑体"/>
          <w:b/>
          <w:sz w:val="32"/>
          <w:szCs w:val="32"/>
        </w:rPr>
      </w:pPr>
      <w:r>
        <w:rPr>
          <w:rFonts w:hint="eastAsia" w:hAnsi="黑体"/>
          <w:b/>
          <w:sz w:val="32"/>
          <w:szCs w:val="32"/>
        </w:rPr>
        <w:t>三、支出决算情况说明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2021年度支出合计750.49万元，其中：基本支出750.49万元，占100%；项目支出0万元，占0%；上缴上级支出0万元，占0%；经营支出0万元，占0%；对附属单位补助支出0万元，占0%。</w:t>
      </w:r>
    </w:p>
    <w:p>
      <w:pPr>
        <w:pStyle w:val="9"/>
        <w:ind w:firstLine="640" w:firstLineChars="200"/>
        <w:rPr>
          <w:rFonts w:asciiTheme="minorEastAsia" w:hAnsiTheme="minorEastAsia" w:eastAsiaTheme="minorEastAsia"/>
          <w:sz w:val="32"/>
          <w:szCs w:val="32"/>
        </w:rPr>
      </w:pPr>
    </w:p>
    <w:p>
      <w:pPr>
        <w:pStyle w:val="9"/>
        <w:rPr>
          <w:rFonts w:hAnsi="黑体"/>
          <w:b/>
          <w:sz w:val="32"/>
          <w:szCs w:val="32"/>
        </w:rPr>
      </w:pPr>
      <w:r>
        <w:rPr>
          <w:rFonts w:hint="eastAsia" w:hAnsi="黑体"/>
          <w:b/>
          <w:sz w:val="32"/>
          <w:szCs w:val="32"/>
        </w:rPr>
        <w:t>四、财政拨款收入支出决算总体情况说明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 xml:space="preserve">    2021年度财政拨款收、支总计463.4万元，与上年相比，减少2979.77万元,减少86.54%，主要是因为去年有一笔政府性基金财政拨款收入2673.73万元，是站前西路征收项目房屋征收还建建设资金收付。</w:t>
      </w:r>
    </w:p>
    <w:p>
      <w:pPr>
        <w:pStyle w:val="9"/>
        <w:ind w:firstLine="640" w:firstLineChars="200"/>
        <w:rPr>
          <w:rFonts w:asciiTheme="minorEastAsia" w:hAnsiTheme="minorEastAsia" w:eastAsiaTheme="minorEastAsia"/>
          <w:sz w:val="32"/>
          <w:szCs w:val="32"/>
        </w:rPr>
      </w:pPr>
    </w:p>
    <w:p>
      <w:pPr>
        <w:pStyle w:val="9"/>
        <w:rPr>
          <w:rFonts w:hAnsi="黑体"/>
          <w:b/>
          <w:sz w:val="32"/>
          <w:szCs w:val="32"/>
        </w:rPr>
      </w:pPr>
      <w:r>
        <w:rPr>
          <w:rFonts w:hint="eastAsia" w:hAnsi="黑体"/>
          <w:b/>
          <w:sz w:val="32"/>
          <w:szCs w:val="32"/>
        </w:rPr>
        <w:t>五、一般公共预算财政拨款支出决算情况说明</w:t>
      </w:r>
    </w:p>
    <w:p>
      <w:pPr>
        <w:pStyle w:val="9"/>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（一）财政拨款支出决算总体情况</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2021年度财政拨款支出463.4万元，占本年支出合计的61.75%，与上年相比，财政拨款支出增加10.42万元，增长2.3%，主要是因为工作人员调整，工资增加；职工工资普调。</w:t>
      </w:r>
    </w:p>
    <w:p>
      <w:pPr>
        <w:pStyle w:val="9"/>
        <w:ind w:firstLine="320" w:firstLineChars="100"/>
        <w:rPr>
          <w:rFonts w:asciiTheme="minorEastAsia" w:hAnsiTheme="minorEastAsia" w:eastAsiaTheme="minorEastAsia"/>
          <w:b/>
          <w:sz w:val="32"/>
          <w:szCs w:val="32"/>
        </w:rPr>
      </w:pPr>
      <w:r>
        <w:rPr>
          <w:rFonts w:hint="eastAsia" w:asciiTheme="minorEastAsia" w:hAnsiTheme="minorEastAsia" w:eastAsiaTheme="minorEastAsia"/>
          <w:b/>
          <w:sz w:val="32"/>
          <w:szCs w:val="32"/>
        </w:rPr>
        <w:t>（二）财政拨款支出决算结构情况</w:t>
      </w:r>
    </w:p>
    <w:p>
      <w:pPr>
        <w:pStyle w:val="9"/>
        <w:ind w:firstLine="640" w:firstLineChars="200"/>
        <w:jc w:val="both"/>
        <w:rPr>
          <w:rFonts w:asciiTheme="minorEastAsia" w:hAnsiTheme="minorEastAsia" w:eastAsiaTheme="minorEastAsia"/>
          <w:sz w:val="32"/>
          <w:szCs w:val="32"/>
        </w:rPr>
      </w:pPr>
      <w:r>
        <w:rPr>
          <w:rFonts w:hint="eastAsia" w:asciiTheme="minorEastAsia" w:hAnsiTheme="minorEastAsia" w:eastAsiaTheme="minorEastAsia"/>
          <w:sz w:val="32"/>
          <w:szCs w:val="32"/>
        </w:rPr>
        <w:t>2021年度财政拨款支出463.4万元，主要用于以下方面：社会保障和就业（类）支出14.09万元，占3.04%；卫生健康（类）支出5.81万元，占1.26%；城乡社区（类）支出170.75万元，占36.84%；资源勘探工业信息等（类）支出272.75万元，占58.86%。</w:t>
      </w:r>
    </w:p>
    <w:p>
      <w:pPr>
        <w:pStyle w:val="9"/>
        <w:ind w:firstLine="640" w:firstLineChars="200"/>
        <w:rPr>
          <w:rFonts w:asciiTheme="minorEastAsia" w:hAnsiTheme="minorEastAsia" w:eastAsiaTheme="minorEastAsia"/>
          <w:sz w:val="32"/>
          <w:szCs w:val="32"/>
        </w:rPr>
      </w:pPr>
    </w:p>
    <w:p>
      <w:pPr>
        <w:pStyle w:val="9"/>
        <w:ind w:firstLine="800" w:firstLineChars="250"/>
        <w:rPr>
          <w:rFonts w:asciiTheme="minorEastAsia" w:hAnsiTheme="minorEastAsia" w:eastAsiaTheme="minorEastAsia"/>
          <w:b/>
          <w:sz w:val="32"/>
          <w:szCs w:val="32"/>
        </w:rPr>
      </w:pPr>
      <w:r>
        <w:rPr>
          <w:rFonts w:hint="eastAsia" w:asciiTheme="minorEastAsia" w:hAnsiTheme="minorEastAsia" w:eastAsiaTheme="minorEastAsia"/>
          <w:b/>
          <w:sz w:val="32"/>
          <w:szCs w:val="32"/>
        </w:rPr>
        <w:t>（三）财政拨款支出决算具体情况</w:t>
      </w:r>
    </w:p>
    <w:p>
      <w:pPr>
        <w:keepNext/>
        <w:keepLines/>
        <w:suppressLineNumbers/>
        <w:autoSpaceDE w:val="0"/>
        <w:autoSpaceDN w:val="0"/>
        <w:adjustRightInd w:val="0"/>
        <w:ind w:firstLine="640" w:firstLineChars="200"/>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2021年度财政拨款支出年初预算为424.5万元，支出决算为463.4万元，完成年初预算的109.16%。其中：</w:t>
      </w:r>
    </w:p>
    <w:p>
      <w:pPr>
        <w:pStyle w:val="9"/>
        <w:ind w:firstLine="640" w:firstLineChars="200"/>
        <w:jc w:val="both"/>
        <w:rPr>
          <w:rFonts w:asciiTheme="minorEastAsia" w:hAnsiTheme="minorEastAsia" w:eastAsiaTheme="minorEastAsia"/>
          <w:sz w:val="32"/>
          <w:szCs w:val="32"/>
        </w:rPr>
      </w:pPr>
      <w:r>
        <w:rPr>
          <w:rFonts w:hint="eastAsia" w:asciiTheme="minorEastAsia" w:hAnsiTheme="minorEastAsia" w:eastAsiaTheme="minorEastAsia"/>
          <w:sz w:val="32"/>
          <w:szCs w:val="32"/>
        </w:rPr>
        <w:t>1、一般公共服务支出社会保障和就业支出（类）行政事业单位养老支出（款）机关事业单位基本养老保险缴费支出（项）。</w:t>
      </w:r>
    </w:p>
    <w:p>
      <w:pPr>
        <w:pStyle w:val="9"/>
        <w:ind w:firstLine="640" w:firstLineChars="200"/>
        <w:jc w:val="both"/>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年初预算为13.02万元，支出决算为13.02万元，</w:t>
      </w:r>
      <w:r>
        <w:rPr>
          <w:rFonts w:hint="eastAsia" w:asciiTheme="minorEastAsia" w:hAnsiTheme="minorEastAsia" w:eastAsiaTheme="minorEastAsia"/>
          <w:sz w:val="32"/>
          <w:szCs w:val="32"/>
          <w:lang w:eastAsia="zh-CN"/>
        </w:rPr>
        <w:t>完成预算的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 xml:space="preserve">预、决算数无差异。  </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2、一般公共服务支出社会保障和就业支出（类）残疾人事业（款）其他残疾人事业（项）。</w:t>
      </w:r>
    </w:p>
    <w:p>
      <w:pPr>
        <w:pStyle w:val="9"/>
        <w:ind w:firstLine="640" w:firstLineChars="200"/>
        <w:jc w:val="both"/>
        <w:rPr>
          <w:rFonts w:asciiTheme="minorEastAsia" w:hAnsiTheme="minorEastAsia" w:eastAsiaTheme="minorEastAsia"/>
          <w:sz w:val="32"/>
          <w:szCs w:val="32"/>
        </w:rPr>
      </w:pPr>
      <w:r>
        <w:rPr>
          <w:rFonts w:hint="eastAsia" w:asciiTheme="minorEastAsia" w:hAnsiTheme="minorEastAsia" w:eastAsiaTheme="minorEastAsia"/>
          <w:sz w:val="32"/>
          <w:szCs w:val="32"/>
        </w:rPr>
        <w:t xml:space="preserve">    年初预算为1.07万元，支出决算为1.07万元</w:t>
      </w:r>
      <w:r>
        <w:rPr>
          <w:rFonts w:hint="eastAsia" w:asciiTheme="minorEastAsia" w:hAnsiTheme="minorEastAsia" w:eastAsiaTheme="minorEastAsia"/>
          <w:sz w:val="32"/>
          <w:szCs w:val="32"/>
          <w:lang w:eastAsia="zh-CN"/>
        </w:rPr>
        <w:t>完成预算的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 xml:space="preserve">，预、决算数无差异。 </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3、一般公共服务支出卫生健康支出（类）行政事业单位医疗（款）事业单位医疗（项）。</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年初预算为6.02万元，支出决算为5.81万元，完成年初预算的96.51%，决算数小于年初预算数的主要原因是：年初预算安排生育保险0.33万元，因保险机构原因没有缴纳。</w:t>
      </w:r>
    </w:p>
    <w:p>
      <w:pPr>
        <w:pStyle w:val="9"/>
        <w:ind w:firstLine="640" w:firstLineChars="200"/>
        <w:jc w:val="both"/>
        <w:rPr>
          <w:rFonts w:asciiTheme="minorEastAsia" w:hAnsiTheme="minorEastAsia" w:eastAsiaTheme="minorEastAsia"/>
          <w:sz w:val="32"/>
          <w:szCs w:val="32"/>
        </w:rPr>
      </w:pPr>
      <w:r>
        <w:rPr>
          <w:rFonts w:hint="eastAsia" w:asciiTheme="minorEastAsia" w:hAnsiTheme="minorEastAsia" w:eastAsiaTheme="minorEastAsia"/>
          <w:sz w:val="32"/>
          <w:szCs w:val="32"/>
        </w:rPr>
        <w:t xml:space="preserve"> 4、一般公共服务支出城乡社区支出（类）其他城乡社区支出（款）其他城乡社区支出（项）。</w:t>
      </w:r>
    </w:p>
    <w:p>
      <w:pPr>
        <w:pStyle w:val="9"/>
        <w:ind w:firstLine="640" w:firstLineChars="200"/>
        <w:jc w:val="both"/>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年初预算为0万元，支出决算为170.75万元，</w:t>
      </w:r>
      <w:r>
        <w:rPr>
          <w:rFonts w:hint="eastAsia" w:asciiTheme="minorEastAsia" w:hAnsiTheme="minorEastAsia" w:eastAsiaTheme="minorEastAsia"/>
          <w:sz w:val="32"/>
          <w:szCs w:val="32"/>
          <w:lang w:val="en-US" w:eastAsia="zh-CN"/>
        </w:rPr>
        <w:t>由于预算数为0，无法计算百分比</w:t>
      </w:r>
      <w:r>
        <w:rPr>
          <w:rFonts w:hint="eastAsia" w:asciiTheme="minorEastAsia" w:hAnsiTheme="minorEastAsia" w:eastAsiaTheme="minorEastAsia"/>
          <w:sz w:val="32"/>
          <w:szCs w:val="32"/>
        </w:rPr>
        <w:t>。决算数大于预算数的主要原因是一.2020年综合绩效、市级平安建设工作考评奖励</w:t>
      </w:r>
      <w:r>
        <w:rPr>
          <w:rFonts w:hint="eastAsia" w:asciiTheme="minorEastAsia" w:hAnsiTheme="minorEastAsia"/>
          <w:sz w:val="32"/>
          <w:szCs w:val="32"/>
        </w:rPr>
        <w:t>。</w:t>
      </w:r>
      <w:r>
        <w:rPr>
          <w:rFonts w:hint="eastAsia" w:asciiTheme="minorEastAsia" w:hAnsiTheme="minorEastAsia" w:eastAsiaTheme="minorEastAsia"/>
          <w:sz w:val="32"/>
          <w:szCs w:val="32"/>
        </w:rPr>
        <w:t xml:space="preserve">二.2020年非税收入超收财政安排的支出。  </w:t>
      </w:r>
    </w:p>
    <w:p>
      <w:pPr>
        <w:pStyle w:val="9"/>
        <w:ind w:firstLine="640" w:firstLineChars="200"/>
        <w:jc w:val="both"/>
        <w:rPr>
          <w:rFonts w:asciiTheme="minorEastAsia" w:hAnsiTheme="minorEastAsia" w:eastAsiaTheme="minorEastAsia"/>
          <w:sz w:val="32"/>
          <w:szCs w:val="32"/>
        </w:rPr>
      </w:pPr>
      <w:r>
        <w:rPr>
          <w:rFonts w:hint="eastAsia" w:asciiTheme="minorEastAsia" w:hAnsiTheme="minorEastAsia" w:eastAsiaTheme="minorEastAsia"/>
          <w:sz w:val="32"/>
          <w:szCs w:val="32"/>
        </w:rPr>
        <w:t>5、一般公共服务支出资源勘探工业信息等支出（类）建筑业（款）行政运行（项）。</w:t>
      </w:r>
    </w:p>
    <w:p>
      <w:pPr>
        <w:pStyle w:val="9"/>
        <w:ind w:firstLine="640" w:firstLineChars="200"/>
        <w:jc w:val="both"/>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年初预算为394.63万元，支出决算为272.75万元，完成年初预算的69.12%。决算数小于预算数的主要原因是一、 持续压减一般支出，严格落实“过紧日子”要求 ，二、年末非税征收成本指标下达晚。</w:t>
      </w:r>
    </w:p>
    <w:p>
      <w:pPr>
        <w:keepNext/>
        <w:keepLines/>
        <w:suppressLineNumbers/>
        <w:autoSpaceDE w:val="0"/>
        <w:autoSpaceDN w:val="0"/>
        <w:adjustRightInd w:val="0"/>
        <w:ind w:firstLine="640" w:firstLineChars="200"/>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 xml:space="preserve"> </w:t>
      </w:r>
    </w:p>
    <w:p>
      <w:pPr>
        <w:pStyle w:val="9"/>
        <w:rPr>
          <w:rFonts w:hAnsi="黑体"/>
          <w:b/>
          <w:sz w:val="32"/>
          <w:szCs w:val="32"/>
        </w:rPr>
      </w:pPr>
      <w:r>
        <w:rPr>
          <w:rFonts w:hint="eastAsia" w:hAnsi="黑体"/>
          <w:b/>
          <w:sz w:val="32"/>
          <w:szCs w:val="32"/>
        </w:rPr>
        <w:t>六、一般公共预算财政拨款基本支出决算情况说明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2021年度财政拨款基本支出463.4万元，其中：人员经费305.53万元，占基本支出的65.93%,主要包括主要包括基本工资、津贴补贴、</w:t>
      </w:r>
      <w:r>
        <w:rPr>
          <w:rFonts w:hint="eastAsia" w:asciiTheme="minorEastAsia" w:hAnsiTheme="minorEastAsia" w:eastAsiaTheme="minorEastAsia"/>
          <w:sz w:val="32"/>
          <w:szCs w:val="32"/>
          <w:lang w:val="zh-CN"/>
        </w:rPr>
        <w:t>奖金、伙食补助费、绩效工资、机关事业单位基本养老保险缴费、职业年金缴费、职工基本医疗保险缴费、公务员医疗补助缴费、其他社会保障缴费、住房公积金、医疗费、其他工资福利支出、离休费、退休费、抚恤金、生活补助、医疗费补助、奖励金、其他对个人和家庭的补助</w:t>
      </w:r>
      <w:r>
        <w:rPr>
          <w:rFonts w:hint="eastAsia" w:asciiTheme="minorEastAsia" w:hAnsiTheme="minorEastAsia" w:eastAsiaTheme="minorEastAsia"/>
          <w:sz w:val="32"/>
          <w:szCs w:val="32"/>
        </w:rPr>
        <w:t>；公用经费157.87万元，占基本支出的34.07%，主要包括办公费、印刷费、咨询费、手续费、水费、电费、邮电费、取暖费、物业管理费、差旅费、因公出国（境）费用、维修（护）费、租赁费、会议费、培训费、公务接待费、专用材料费、劳务费、委托业务费、工会经费、福利费、公务用车运行维护费、其他交通费用、税金及附加费用、其他商品和服务支出、办公设备购置、专用设备购置、信息网络及软件购置更新、公务用车购置、其他交通工具购置、文物和陈列品购置、无形资产购置、其他资本性支出、赠与。</w:t>
      </w:r>
    </w:p>
    <w:p>
      <w:pPr>
        <w:pStyle w:val="9"/>
        <w:ind w:firstLine="640" w:firstLineChars="200"/>
        <w:rPr>
          <w:rFonts w:asciiTheme="minorEastAsia" w:hAnsiTheme="minorEastAsia" w:eastAsiaTheme="minorEastAsia"/>
          <w:i/>
          <w:color w:val="FF0000"/>
          <w:sz w:val="32"/>
          <w:szCs w:val="32"/>
        </w:rPr>
      </w:pPr>
    </w:p>
    <w:p>
      <w:pPr>
        <w:pStyle w:val="9"/>
        <w:rPr>
          <w:rFonts w:hAnsi="黑体"/>
          <w:b/>
          <w:sz w:val="32"/>
          <w:szCs w:val="32"/>
        </w:rPr>
      </w:pPr>
      <w:r>
        <w:rPr>
          <w:rFonts w:hint="eastAsia" w:hAnsi="黑体"/>
          <w:b/>
          <w:sz w:val="32"/>
          <w:szCs w:val="32"/>
        </w:rPr>
        <w:t>七、一般公共预算财政拨款“三公”经费支出决算情况说明</w:t>
      </w:r>
    </w:p>
    <w:p>
      <w:pPr>
        <w:pStyle w:val="9"/>
        <w:rPr>
          <w:rFonts w:asciiTheme="minorEastAsia" w:hAnsiTheme="minorEastAsia" w:eastAsiaTheme="minorEastAsia"/>
          <w:b/>
          <w:sz w:val="32"/>
          <w:szCs w:val="32"/>
        </w:rPr>
      </w:pPr>
      <w:r>
        <w:rPr>
          <w:rFonts w:hint="eastAsia" w:asciiTheme="minorEastAsia" w:hAnsiTheme="minorEastAsia" w:eastAsiaTheme="minorEastAsia"/>
          <w:b/>
          <w:sz w:val="32"/>
          <w:szCs w:val="32"/>
        </w:rPr>
        <w:t>（一）“三公”经费财政拨款支出决算总体情况说明</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2021年度“三公”经费财政拨款支出预算为1.8万元，支出决算为0万元，完成预算的0%，其中：</w:t>
      </w:r>
    </w:p>
    <w:p>
      <w:pPr>
        <w:pStyle w:val="9"/>
        <w:ind w:firstLine="960" w:firstLineChars="300"/>
        <w:rPr>
          <w:rFonts w:asciiTheme="minorEastAsia" w:hAnsiTheme="minorEastAsia" w:eastAsiaTheme="minorEastAsia"/>
          <w:sz w:val="32"/>
          <w:szCs w:val="32"/>
        </w:rPr>
      </w:pPr>
      <w:r>
        <w:rPr>
          <w:rFonts w:hint="eastAsia" w:asciiTheme="minorEastAsia" w:hAnsiTheme="minorEastAsia" w:eastAsiaTheme="minorEastAsia"/>
          <w:sz w:val="32"/>
          <w:szCs w:val="32"/>
        </w:rPr>
        <w:t>因公出国（境）费支出预算为0万元，支出决算为0万元，决算数与预算数一致无差异，</w:t>
      </w:r>
      <w:r>
        <w:rPr>
          <w:rFonts w:hint="eastAsia" w:ascii="宋体" w:hAnsi="宋体" w:eastAsia="宋体"/>
          <w:bCs/>
          <w:sz w:val="32"/>
          <w:szCs w:val="32"/>
        </w:rPr>
        <w:t>主要原因是单位无因公出国（境）预算安排和支出，与上年相比无增减变化，主要原因是单位近两年均无因公出国（境）预算安排和支出。</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公务接待费支出预算为1.8万元，支出决算为0万元，完成预算的0%，决算数小于预算数的主要原因是</w:t>
      </w:r>
      <w:r>
        <w:rPr>
          <w:rFonts w:hint="eastAsia" w:ascii="宋体" w:hAnsi="宋体" w:eastAsia="宋体"/>
          <w:bCs/>
          <w:sz w:val="32"/>
          <w:szCs w:val="32"/>
        </w:rPr>
        <w:t>单位一直厉行节约，严控公务接待</w:t>
      </w:r>
      <w:r>
        <w:rPr>
          <w:rFonts w:hint="eastAsia" w:asciiTheme="minorEastAsia" w:hAnsiTheme="minorEastAsia" w:eastAsiaTheme="minorEastAsia"/>
          <w:sz w:val="32"/>
          <w:szCs w:val="32"/>
        </w:rPr>
        <w:t>，</w:t>
      </w:r>
      <w:r>
        <w:rPr>
          <w:rFonts w:hint="eastAsia" w:ascii="宋体" w:hAnsi="宋体" w:eastAsia="宋体"/>
          <w:bCs/>
          <w:sz w:val="32"/>
          <w:szCs w:val="32"/>
        </w:rPr>
        <w:t>与上年相比无增减变化，主要原因是单位一直厉行节约，严控公务接待。</w:t>
      </w:r>
    </w:p>
    <w:p>
      <w:pPr>
        <w:keepNext/>
        <w:keepLines/>
        <w:autoSpaceDE w:val="0"/>
        <w:autoSpaceDN w:val="0"/>
        <w:adjustRightInd w:val="0"/>
        <w:spacing w:line="560" w:lineRule="exact"/>
        <w:ind w:firstLine="800" w:firstLineChars="250"/>
        <w:rPr>
          <w:rFonts w:ascii="宋体" w:hAnsi="Times New Roman" w:eastAsia="宋体"/>
          <w:sz w:val="32"/>
          <w:highlight w:val="white"/>
          <w:lang w:val="zh-CN"/>
        </w:rPr>
      </w:pPr>
      <w:r>
        <w:rPr>
          <w:rFonts w:hint="eastAsia" w:ascii="宋体" w:hAnsi="Times New Roman" w:eastAsia="宋体"/>
          <w:color w:val="000000"/>
          <w:sz w:val="32"/>
          <w:highlight w:val="white"/>
        </w:rPr>
        <w:t>公务用车购置费支出预算为0万元，支出决算为0万元，决算数与预算数一致无差异，主要原因是单位无</w:t>
      </w:r>
      <w:r>
        <w:rPr>
          <w:rFonts w:hint="eastAsia" w:ascii="宋体" w:hAnsi="Times New Roman" w:eastAsia="宋体"/>
          <w:color w:val="000000"/>
          <w:sz w:val="32"/>
          <w:highlight w:val="white"/>
          <w:lang w:val="zh-CN"/>
        </w:rPr>
        <w:t>公务用车购置安排。</w:t>
      </w:r>
      <w:r>
        <w:rPr>
          <w:rFonts w:hint="eastAsia" w:ascii="宋体" w:hAnsi="Times New Roman" w:eastAsia="宋体"/>
          <w:sz w:val="32"/>
          <w:highlight w:val="white"/>
        </w:rPr>
        <w:t>与上年相比无增减变化，主要原因是单位近两年均</w:t>
      </w:r>
      <w:r>
        <w:rPr>
          <w:rFonts w:hint="eastAsia" w:ascii="宋体" w:hAnsi="Times New Roman" w:eastAsia="宋体"/>
          <w:color w:val="000000"/>
          <w:sz w:val="32"/>
          <w:highlight w:val="white"/>
        </w:rPr>
        <w:t>无</w:t>
      </w:r>
      <w:r>
        <w:rPr>
          <w:rFonts w:hint="eastAsia" w:ascii="宋体" w:hAnsi="Times New Roman" w:eastAsia="宋体"/>
          <w:color w:val="000000"/>
          <w:sz w:val="32"/>
          <w:highlight w:val="white"/>
          <w:lang w:val="zh-CN"/>
        </w:rPr>
        <w:t>公务用车购置安排。</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公务用车运行维护费支出预算为0万元，支出决算为0万元，</w:t>
      </w:r>
      <w:r>
        <w:rPr>
          <w:rFonts w:hint="eastAsia" w:ascii="宋体" w:hAnsi="Times New Roman" w:eastAsia="宋体"/>
          <w:sz w:val="32"/>
          <w:highlight w:val="white"/>
        </w:rPr>
        <w:t>决算数与预算数一致无差异，</w:t>
      </w:r>
      <w:r>
        <w:rPr>
          <w:rFonts w:hint="eastAsia" w:asciiTheme="minorEastAsia" w:hAnsiTheme="minorEastAsia" w:eastAsiaTheme="minorEastAsia"/>
          <w:sz w:val="32"/>
          <w:szCs w:val="32"/>
        </w:rPr>
        <w:t>主要原因是单位无公务用车，与上年相比</w:t>
      </w:r>
      <w:r>
        <w:rPr>
          <w:rFonts w:hint="eastAsia" w:ascii="宋体" w:hAnsi="Times New Roman" w:eastAsia="宋体"/>
          <w:sz w:val="32"/>
          <w:highlight w:val="white"/>
        </w:rPr>
        <w:t>无增减变化，</w:t>
      </w:r>
      <w:r>
        <w:rPr>
          <w:rFonts w:hint="eastAsia" w:asciiTheme="minorEastAsia" w:hAnsiTheme="minorEastAsia" w:eastAsiaTheme="minorEastAsia"/>
          <w:sz w:val="32"/>
          <w:szCs w:val="32"/>
        </w:rPr>
        <w:t>主要原因是单位已无公务用车。</w:t>
      </w:r>
    </w:p>
    <w:p>
      <w:pPr>
        <w:pStyle w:val="9"/>
        <w:rPr>
          <w:rFonts w:asciiTheme="minorEastAsia" w:hAnsiTheme="minorEastAsia" w:eastAsiaTheme="minorEastAsia"/>
          <w:b/>
          <w:sz w:val="32"/>
          <w:szCs w:val="32"/>
        </w:rPr>
      </w:pPr>
      <w:r>
        <w:rPr>
          <w:rFonts w:hint="eastAsia" w:asciiTheme="minorEastAsia" w:hAnsiTheme="minorEastAsia" w:eastAsiaTheme="minorEastAsia"/>
          <w:b/>
          <w:sz w:val="32"/>
          <w:szCs w:val="32"/>
        </w:rPr>
        <w:t>（二）“三公”经费财政拨款支出决算具体情况说明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2021年度“三公”经费财政拨款支出决算中，公务接待费支出决算0万元，占0%,因公出国（境）费支出决算0万元，占0%,公务用车购置费及运行维护费支出决算0万元，占0%。其中：</w:t>
      </w:r>
    </w:p>
    <w:p>
      <w:pPr>
        <w:pStyle w:val="9"/>
        <w:ind w:firstLine="640" w:firstLineChars="200"/>
        <w:rPr>
          <w:rFonts w:asciiTheme="minorEastAsia" w:hAnsiTheme="minorEastAsia" w:eastAsiaTheme="minorEastAsia"/>
          <w:b/>
          <w:sz w:val="32"/>
          <w:szCs w:val="32"/>
        </w:rPr>
      </w:pPr>
      <w:r>
        <w:rPr>
          <w:rFonts w:hint="eastAsia" w:asciiTheme="minorEastAsia" w:hAnsiTheme="minorEastAsia" w:eastAsiaTheme="minorEastAsia"/>
          <w:sz w:val="32"/>
          <w:szCs w:val="32"/>
        </w:rPr>
        <w:t>1、因公出国（境）费支出决算为0万元，全年安排因公出国（境）团组0个，累计0人次。</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2、公务接待费支出决算为0万元，全年共接待来访团组0个、来宾0人次，全年没有发生公务接待活动。</w:t>
      </w:r>
    </w:p>
    <w:p>
      <w:pPr>
        <w:ind w:firstLine="640" w:firstLineChars="200"/>
        <w:rPr>
          <w:rFonts w:asciiTheme="minorEastAsia" w:hAnsiTheme="minorEastAsia"/>
          <w:sz w:val="32"/>
          <w:szCs w:val="32"/>
        </w:rPr>
      </w:pPr>
      <w:r>
        <w:rPr>
          <w:rFonts w:hint="eastAsia" w:asciiTheme="minorEastAsia" w:hAnsiTheme="minorEastAsia"/>
          <w:sz w:val="32"/>
          <w:szCs w:val="32"/>
        </w:rPr>
        <w:t>3、公务用车购置费及运行维护费支出决算为0万元，其中：公务用车购置费0万元，单位本级更新公务用车0辆</w:t>
      </w:r>
      <w:r>
        <w:rPr>
          <w:rFonts w:hint="eastAsia" w:asciiTheme="minorEastAsia" w:hAnsiTheme="minorEastAsia"/>
          <w:color w:val="000000" w:themeColor="text1"/>
          <w:sz w:val="32"/>
          <w:szCs w:val="32"/>
        </w:rPr>
        <w:t>。</w:t>
      </w:r>
      <w:r>
        <w:rPr>
          <w:rFonts w:hint="eastAsia" w:asciiTheme="minorEastAsia" w:hAnsiTheme="minorEastAsia"/>
          <w:sz w:val="32"/>
          <w:szCs w:val="32"/>
        </w:rPr>
        <w:t>公务用车运行维护费0万元，截止2021年12月31日，我单位开支财政拨款的公务用车保有量为0辆。</w:t>
      </w:r>
    </w:p>
    <w:p>
      <w:pPr>
        <w:pStyle w:val="9"/>
        <w:rPr>
          <w:rFonts w:hAnsi="黑体"/>
          <w:b/>
          <w:sz w:val="32"/>
          <w:szCs w:val="32"/>
        </w:rPr>
      </w:pPr>
      <w:r>
        <w:rPr>
          <w:rFonts w:hint="eastAsia" w:hAnsi="黑体"/>
          <w:b/>
          <w:sz w:val="32"/>
          <w:szCs w:val="32"/>
        </w:rPr>
        <w:t>八、政府性基金预算收入支出决算情况</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2021年度政府性基金预算财政拨款收入0万元；年初结转和结余0万元；支出0万元，其中基本支出0万元，项目支出0万元；年末结转和结余0万元。</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2021年度本单位无政府性基金预算收入支出。</w:t>
      </w:r>
    </w:p>
    <w:p>
      <w:pPr>
        <w:pStyle w:val="9"/>
        <w:numPr>
          <w:ilvl w:val="0"/>
          <w:numId w:val="2"/>
        </w:numPr>
        <w:rPr>
          <w:rFonts w:hAnsi="黑体"/>
          <w:b/>
          <w:sz w:val="32"/>
          <w:szCs w:val="32"/>
        </w:rPr>
      </w:pPr>
      <w:r>
        <w:rPr>
          <w:rFonts w:hint="eastAsia" w:hAnsi="黑体"/>
          <w:b/>
          <w:sz w:val="32"/>
          <w:szCs w:val="32"/>
        </w:rPr>
        <w:t>国有资本经营预算财政拨款支出决算情况</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2021年度国有资本经营预算财政拨款支出0万元；基本支出0万元，项目支出0万元。</w:t>
      </w:r>
    </w:p>
    <w:p>
      <w:pPr>
        <w:pStyle w:val="9"/>
        <w:ind w:firstLine="640" w:firstLineChars="200"/>
        <w:rPr>
          <w:rFonts w:hAnsi="黑体" w:eastAsiaTheme="minorEastAsia"/>
          <w:b/>
          <w:iCs/>
          <w:color w:val="auto"/>
          <w:sz w:val="32"/>
          <w:szCs w:val="32"/>
        </w:rPr>
      </w:pPr>
      <w:r>
        <w:rPr>
          <w:rFonts w:hint="eastAsia" w:asciiTheme="minorEastAsia" w:hAnsiTheme="minorEastAsia" w:eastAsiaTheme="minorEastAsia"/>
          <w:iCs/>
          <w:color w:val="auto"/>
          <w:sz w:val="32"/>
          <w:szCs w:val="32"/>
        </w:rPr>
        <w:t>2021年度本单位无国有资本经营预算财政拨款支出。</w:t>
      </w:r>
    </w:p>
    <w:p>
      <w:pPr>
        <w:pStyle w:val="9"/>
        <w:rPr>
          <w:rFonts w:hAnsi="黑体"/>
          <w:b/>
          <w:sz w:val="32"/>
          <w:szCs w:val="32"/>
        </w:rPr>
      </w:pPr>
      <w:r>
        <w:rPr>
          <w:rFonts w:hint="eastAsia" w:hAnsi="黑体"/>
          <w:b/>
          <w:sz w:val="32"/>
          <w:szCs w:val="32"/>
        </w:rPr>
        <w:t>十、机关运行经费支出说明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本部门2021年度机关运行经费支出0万元，比上年决算数无增减变化。主要原因是本单位性质为财政补助事业单位，非行政单位和参照公务员法管理事业单位。</w:t>
      </w:r>
    </w:p>
    <w:p>
      <w:pPr>
        <w:pStyle w:val="9"/>
        <w:rPr>
          <w:rFonts w:hAnsi="黑体"/>
          <w:b/>
          <w:sz w:val="32"/>
          <w:szCs w:val="32"/>
        </w:rPr>
      </w:pPr>
      <w:r>
        <w:rPr>
          <w:rFonts w:hint="eastAsia" w:hAnsi="黑体"/>
          <w:b/>
          <w:sz w:val="32"/>
          <w:szCs w:val="32"/>
        </w:rPr>
        <w:t>十一、一般性支出情况说明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2021年本部门开支会议费0万元，未召开会议，人数0人，无会议内容；开支培训费0万元，未开展培训，人数0人，无培训内容；未举办节庆、晚会、论坛、赛事活动，开支0万元。</w:t>
      </w:r>
    </w:p>
    <w:p>
      <w:pPr>
        <w:pStyle w:val="9"/>
        <w:rPr>
          <w:rFonts w:hAnsi="黑体"/>
          <w:b/>
          <w:sz w:val="32"/>
          <w:szCs w:val="32"/>
        </w:rPr>
      </w:pPr>
      <w:r>
        <w:rPr>
          <w:rFonts w:hint="eastAsia" w:hAnsi="黑体"/>
          <w:b/>
          <w:sz w:val="32"/>
          <w:szCs w:val="32"/>
        </w:rPr>
        <w:t>十二、政府采购支出说明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本部门2021年度政府采购支出总额0万元，其中：政府采购货物支出0 万元、政府采购工程支出0 万元、政府采购服务支出0万元。授予中小企业合同金额0万元，占政府采购支出总额的0.00%，其中：授予小微企业合同金额0万元，占授予中小企业合同金额的0.00%；货物采购授予中小企业合同金额占货物支出金额的0%，工程采购授予中小企业合同金额占工程支出金额的0%，服务采购授予中小企业合同金额占服务支出金额的0.00%。</w:t>
      </w:r>
    </w:p>
    <w:p>
      <w:pPr>
        <w:pStyle w:val="9"/>
        <w:rPr>
          <w:rFonts w:hAnsi="黑体"/>
          <w:b/>
          <w:sz w:val="32"/>
          <w:szCs w:val="32"/>
        </w:rPr>
      </w:pPr>
      <w:r>
        <w:rPr>
          <w:rFonts w:hint="eastAsia" w:hAnsi="黑体"/>
          <w:b/>
          <w:sz w:val="32"/>
          <w:szCs w:val="32"/>
        </w:rPr>
        <w:t>十三、国有资产占用情况说明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截至2021年12月31日，部门（单位）共有车辆0辆，其中，主要领导干部用车0辆，机要通信用车0辆、应急保障用车0辆、执法执勤用车0辆、特种专业技术用车0辆、其他用车0辆，其他用车</w:t>
      </w:r>
      <w:r>
        <w:rPr>
          <w:rFonts w:hint="eastAsia" w:ascii="宋体" w:hAnsi="Times New Roman" w:eastAsia="宋体"/>
          <w:sz w:val="32"/>
        </w:rPr>
        <w:t>主要是用于机要通信和应急保障之外公务用途的车辆</w:t>
      </w:r>
      <w:r>
        <w:rPr>
          <w:rFonts w:hint="eastAsia" w:asciiTheme="minorEastAsia" w:hAnsiTheme="minorEastAsia" w:eastAsiaTheme="minorEastAsia"/>
          <w:sz w:val="32"/>
          <w:szCs w:val="32"/>
        </w:rPr>
        <w:t>；单位价值50万元以上通用设备0台（套）；单位价值100万元以上专用设备0台（套）。</w:t>
      </w:r>
    </w:p>
    <w:p>
      <w:pPr>
        <w:pStyle w:val="9"/>
        <w:rPr>
          <w:rFonts w:hAnsi="黑体"/>
          <w:b/>
          <w:sz w:val="32"/>
          <w:szCs w:val="32"/>
        </w:rPr>
      </w:pPr>
    </w:p>
    <w:p>
      <w:pPr>
        <w:pStyle w:val="9"/>
        <w:rPr>
          <w:rFonts w:hAnsi="黑体"/>
          <w:b/>
          <w:sz w:val="32"/>
          <w:szCs w:val="32"/>
        </w:rPr>
      </w:pPr>
      <w:r>
        <w:rPr>
          <w:rFonts w:hint="eastAsia" w:hAnsi="黑体"/>
          <w:b/>
          <w:sz w:val="32"/>
          <w:szCs w:val="32"/>
        </w:rPr>
        <w:t>十四、2021年度预算绩效情况说明</w:t>
      </w:r>
    </w:p>
    <w:p>
      <w:pPr>
        <w:autoSpaceDE w:val="0"/>
        <w:autoSpaceDN w:val="0"/>
        <w:adjustRightInd w:val="0"/>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b/>
          <w:color w:val="000000"/>
          <w:kern w:val="0"/>
          <w:sz w:val="32"/>
          <w:szCs w:val="32"/>
        </w:rPr>
        <w:t>（1）绩效管理评价工作开展情况</w:t>
      </w:r>
      <w:r>
        <w:rPr>
          <w:rFonts w:hint="eastAsia" w:cs="黑体" w:asciiTheme="minorEastAsia" w:hAnsiTheme="minorEastAsia"/>
          <w:color w:val="000000"/>
          <w:kern w:val="0"/>
          <w:sz w:val="32"/>
          <w:szCs w:val="32"/>
        </w:rPr>
        <w:t>。</w:t>
      </w:r>
    </w:p>
    <w:p>
      <w:pPr>
        <w:keepNext w:val="0"/>
        <w:keepLines w:val="0"/>
        <w:pageBreakBefore w:val="0"/>
        <w:widowControl w:val="0"/>
        <w:kinsoku/>
        <w:wordWrap/>
        <w:overflowPunct/>
        <w:topLinePunct w:val="0"/>
        <w:autoSpaceDE/>
        <w:autoSpaceDN w:val="0"/>
        <w:bidi w:val="0"/>
        <w:adjustRightInd/>
        <w:snapToGrid/>
        <w:spacing w:line="560" w:lineRule="exact"/>
        <w:ind w:firstLine="640" w:firstLineChars="200"/>
        <w:jc w:val="left"/>
        <w:textAlignment w:val="center"/>
        <w:rPr>
          <w:rFonts w:ascii="宋体" w:hAnsi="宋体" w:eastAsia="宋体" w:cs="黑体"/>
          <w:color w:val="000000"/>
          <w:kern w:val="0"/>
          <w:sz w:val="32"/>
          <w:szCs w:val="32"/>
        </w:rPr>
      </w:pPr>
      <w:r>
        <w:rPr>
          <w:rFonts w:hint="eastAsia" w:cs="黑体" w:asciiTheme="minorEastAsia" w:hAnsiTheme="minorEastAsia"/>
          <w:color w:val="000000"/>
          <w:kern w:val="0"/>
          <w:sz w:val="32"/>
          <w:szCs w:val="32"/>
        </w:rPr>
        <w:t>根据预算绩效管理要求，我</w:t>
      </w:r>
      <w:r>
        <w:rPr>
          <w:rFonts w:hint="eastAsia" w:cs="黑体" w:asciiTheme="minorEastAsia" w:hAnsiTheme="minorEastAsia"/>
          <w:color w:val="000000"/>
          <w:kern w:val="0"/>
          <w:sz w:val="32"/>
          <w:szCs w:val="32"/>
          <w:lang w:val="en-US" w:eastAsia="zh-CN"/>
        </w:rPr>
        <w:t>单位</w:t>
      </w:r>
      <w:r>
        <w:rPr>
          <w:rFonts w:hint="eastAsia" w:cs="黑体" w:asciiTheme="minorEastAsia" w:hAnsiTheme="minorEastAsia"/>
          <w:color w:val="000000"/>
          <w:kern w:val="0"/>
          <w:sz w:val="32"/>
          <w:szCs w:val="32"/>
        </w:rPr>
        <w:t>组织开展整体支出绩效评价，涉及一般公共预算支出463.4万元，政府性基金预算支出0万元。</w:t>
      </w:r>
      <w:r>
        <w:rPr>
          <w:rFonts w:hint="eastAsia" w:ascii="宋体" w:hAnsi="Times New Roman" w:eastAsia="宋体"/>
          <w:sz w:val="32"/>
          <w:szCs w:val="24"/>
          <w:highlight w:val="white"/>
        </w:rPr>
        <w:t>评价等次为优秀。</w:t>
      </w:r>
      <w:r>
        <w:rPr>
          <w:rFonts w:hint="eastAsia" w:cs="黑体" w:asciiTheme="minorEastAsia" w:hAnsiTheme="minorEastAsia"/>
          <w:color w:val="000000"/>
          <w:kern w:val="0"/>
          <w:sz w:val="32"/>
          <w:szCs w:val="32"/>
        </w:rPr>
        <w:t>从评价情况来看，</w:t>
      </w:r>
      <w:r>
        <w:rPr>
          <w:rFonts w:hint="eastAsia" w:cs="黑体" w:asciiTheme="minorEastAsia" w:hAnsiTheme="minorEastAsia"/>
          <w:color w:val="000000"/>
          <w:kern w:val="0"/>
          <w:sz w:val="32"/>
          <w:szCs w:val="32"/>
          <w:lang w:val="en-US" w:eastAsia="zh-CN"/>
        </w:rPr>
        <w:t>我单位整体支出绩效情况如</w:t>
      </w:r>
      <w:bookmarkStart w:id="0" w:name="_GoBack"/>
      <w:bookmarkEnd w:id="0"/>
      <w:r>
        <w:rPr>
          <w:rFonts w:hint="eastAsia" w:cs="黑体" w:asciiTheme="minorEastAsia" w:hAnsiTheme="minorEastAsia"/>
          <w:color w:val="000000"/>
          <w:kern w:val="0"/>
          <w:sz w:val="32"/>
          <w:szCs w:val="32"/>
          <w:lang w:val="en-US" w:eastAsia="zh-CN"/>
        </w:rPr>
        <w:t>下：</w:t>
      </w:r>
      <w:r>
        <w:rPr>
          <w:rFonts w:hint="eastAsia" w:ascii="宋体" w:hAnsi="宋体" w:eastAsia="宋体" w:cs="黑体"/>
          <w:color w:val="000000"/>
          <w:kern w:val="0"/>
          <w:sz w:val="32"/>
          <w:szCs w:val="32"/>
          <w:lang w:val="en-US" w:eastAsia="zh-CN"/>
        </w:rPr>
        <w:t>一是</w:t>
      </w:r>
      <w:r>
        <w:rPr>
          <w:rFonts w:hint="eastAsia" w:ascii="宋体" w:hAnsi="宋体" w:eastAsia="宋体" w:cs="黑体"/>
          <w:color w:val="000000"/>
          <w:kern w:val="0"/>
          <w:sz w:val="32"/>
          <w:szCs w:val="32"/>
        </w:rPr>
        <w:t>完善我市国有土地上房屋征收的相关配套政策，确保我市征收有法可依，有章可循；</w:t>
      </w:r>
      <w:r>
        <w:rPr>
          <w:rFonts w:hint="eastAsia" w:ascii="宋体" w:hAnsi="宋体" w:eastAsia="宋体" w:cs="黑体"/>
          <w:color w:val="000000"/>
          <w:kern w:val="0"/>
          <w:sz w:val="32"/>
          <w:szCs w:val="32"/>
          <w:lang w:val="en-US" w:eastAsia="zh-CN"/>
        </w:rPr>
        <w:t>二是</w:t>
      </w:r>
      <w:r>
        <w:rPr>
          <w:rFonts w:hint="eastAsia" w:ascii="宋体" w:hAnsi="宋体" w:eastAsia="宋体" w:cs="黑体"/>
          <w:color w:val="000000"/>
          <w:kern w:val="0"/>
          <w:sz w:val="32"/>
          <w:szCs w:val="32"/>
        </w:rPr>
        <w:t>加强我市国有土地上房屋征收补偿的监督管理，做到征收补偿公平、公正、公开，确保社会稳定；</w:t>
      </w:r>
      <w:r>
        <w:rPr>
          <w:rFonts w:hint="eastAsia" w:ascii="宋体" w:hAnsi="宋体" w:eastAsia="宋体" w:cs="黑体"/>
          <w:color w:val="000000"/>
          <w:kern w:val="0"/>
          <w:sz w:val="32"/>
          <w:szCs w:val="32"/>
          <w:lang w:val="en-US" w:eastAsia="zh-CN"/>
        </w:rPr>
        <w:t>三是</w:t>
      </w:r>
      <w:r>
        <w:rPr>
          <w:rFonts w:hint="eastAsia" w:ascii="宋体" w:hAnsi="宋体" w:eastAsia="宋体" w:cs="黑体"/>
          <w:color w:val="000000"/>
          <w:kern w:val="0"/>
          <w:sz w:val="32"/>
          <w:szCs w:val="32"/>
        </w:rPr>
        <w:t>完成年度交办的市级征收（收购）实施工作任务，确保市重点项目及公益事业的顺利实施</w:t>
      </w:r>
      <w:r>
        <w:rPr>
          <w:rFonts w:hint="eastAsia" w:cs="黑体" w:asciiTheme="minorEastAsia" w:hAnsiTheme="minorEastAsia"/>
          <w:color w:val="000000"/>
          <w:kern w:val="0"/>
          <w:sz w:val="32"/>
          <w:szCs w:val="32"/>
        </w:rPr>
        <w:t>。</w:t>
      </w:r>
    </w:p>
    <w:p>
      <w:pPr>
        <w:autoSpaceDE w:val="0"/>
        <w:autoSpaceDN w:val="0"/>
        <w:adjustRightInd w:val="0"/>
        <w:jc w:val="left"/>
        <w:rPr>
          <w:rFonts w:cs="黑体" w:asciiTheme="minorEastAsia" w:hAnsiTheme="minorEastAsia"/>
          <w:color w:val="000000"/>
          <w:kern w:val="0"/>
          <w:sz w:val="32"/>
          <w:szCs w:val="32"/>
        </w:rPr>
      </w:pPr>
    </w:p>
    <w:p>
      <w:pPr>
        <w:autoSpaceDE w:val="0"/>
        <w:autoSpaceDN w:val="0"/>
        <w:adjustRightInd w:val="0"/>
        <w:ind w:firstLine="640" w:firstLineChars="200"/>
        <w:jc w:val="left"/>
        <w:rPr>
          <w:rFonts w:cs="黑体" w:asciiTheme="minorEastAsia" w:hAnsiTheme="minorEastAsia"/>
          <w:b/>
          <w:color w:val="000000"/>
          <w:kern w:val="0"/>
          <w:sz w:val="32"/>
          <w:szCs w:val="32"/>
        </w:rPr>
      </w:pPr>
      <w:r>
        <w:rPr>
          <w:rFonts w:hint="eastAsia" w:cs="黑体" w:asciiTheme="minorEastAsia" w:hAnsiTheme="minorEastAsia"/>
          <w:b/>
          <w:color w:val="000000"/>
          <w:kern w:val="0"/>
          <w:sz w:val="32"/>
          <w:szCs w:val="32"/>
        </w:rPr>
        <w:t>（2）部门决算中项目绩效自评结果。</w:t>
      </w:r>
    </w:p>
    <w:p>
      <w:pPr>
        <w:pStyle w:val="9"/>
        <w:ind w:firstLine="640" w:firstLineChars="200"/>
        <w:rPr>
          <w:rFonts w:hint="eastAsia" w:ascii="宋体" w:hAnsi="Times New Roman" w:eastAsia="宋体"/>
          <w:sz w:val="32"/>
        </w:rPr>
      </w:pPr>
      <w:r>
        <w:rPr>
          <w:rFonts w:hint="eastAsia" w:ascii="宋体" w:hAnsi="Times New Roman" w:eastAsia="宋体"/>
          <w:sz w:val="32"/>
        </w:rPr>
        <w:t>本单位无项目支出，故</w:t>
      </w:r>
      <w:r>
        <w:rPr>
          <w:rFonts w:hint="eastAsia" w:ascii="宋体" w:hAnsi="Times New Roman" w:eastAsia="宋体"/>
          <w:sz w:val="32"/>
          <w:lang w:val="en-US" w:eastAsia="zh-CN"/>
        </w:rPr>
        <w:t>未开</w:t>
      </w:r>
      <w:r>
        <w:rPr>
          <w:rFonts w:hint="eastAsia" w:ascii="宋体" w:hAnsi="Times New Roman" w:eastAsia="宋体"/>
          <w:sz w:val="32"/>
        </w:rPr>
        <w:t>展项目</w:t>
      </w:r>
      <w:r>
        <w:rPr>
          <w:rFonts w:hint="eastAsia" w:ascii="宋体" w:hAnsi="Times New Roman" w:eastAsia="宋体"/>
          <w:sz w:val="32"/>
          <w:lang w:val="en-US" w:eastAsia="zh-CN"/>
        </w:rPr>
        <w:t>自</w:t>
      </w:r>
      <w:r>
        <w:rPr>
          <w:rFonts w:hint="eastAsia" w:ascii="宋体" w:hAnsi="Times New Roman" w:eastAsia="宋体"/>
          <w:sz w:val="32"/>
        </w:rPr>
        <w:t>评，无自评结果。</w:t>
      </w:r>
    </w:p>
    <w:p>
      <w:pPr>
        <w:autoSpaceDE w:val="0"/>
        <w:autoSpaceDN w:val="0"/>
        <w:adjustRightInd w:val="0"/>
        <w:ind w:firstLine="640" w:firstLineChars="200"/>
        <w:jc w:val="left"/>
        <w:rPr>
          <w:rFonts w:cs="黑体" w:asciiTheme="minorEastAsia" w:hAnsiTheme="minorEastAsia"/>
          <w:color w:val="000000"/>
          <w:kern w:val="0"/>
          <w:sz w:val="32"/>
          <w:szCs w:val="32"/>
        </w:rPr>
      </w:pPr>
    </w:p>
    <w:p>
      <w:pPr>
        <w:autoSpaceDE w:val="0"/>
        <w:autoSpaceDN w:val="0"/>
        <w:adjustRightInd w:val="0"/>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b/>
          <w:color w:val="000000"/>
          <w:kern w:val="0"/>
          <w:sz w:val="32"/>
          <w:szCs w:val="32"/>
        </w:rPr>
        <w:t>（</w:t>
      </w:r>
      <w:r>
        <w:rPr>
          <w:rFonts w:cs="黑体" w:asciiTheme="minorEastAsia" w:hAnsiTheme="minorEastAsia"/>
          <w:b/>
          <w:color w:val="000000"/>
          <w:kern w:val="0"/>
          <w:sz w:val="32"/>
          <w:szCs w:val="32"/>
        </w:rPr>
        <w:t>3</w:t>
      </w:r>
      <w:r>
        <w:rPr>
          <w:rFonts w:hint="eastAsia" w:cs="黑体" w:asciiTheme="minorEastAsia" w:hAnsiTheme="minorEastAsia"/>
          <w:b/>
          <w:color w:val="000000"/>
          <w:kern w:val="0"/>
          <w:sz w:val="32"/>
          <w:szCs w:val="32"/>
        </w:rPr>
        <w:t>）部门评价项目绩效评价结果。</w:t>
      </w:r>
    </w:p>
    <w:p>
      <w:pPr>
        <w:pStyle w:val="9"/>
        <w:ind w:firstLine="640" w:firstLineChars="200"/>
        <w:rPr>
          <w:rFonts w:hint="eastAsia" w:ascii="宋体" w:hAnsi="Times New Roman" w:eastAsia="宋体"/>
          <w:sz w:val="32"/>
        </w:rPr>
      </w:pPr>
      <w:r>
        <w:rPr>
          <w:rFonts w:hint="eastAsia" w:ascii="宋体" w:hAnsi="Times New Roman" w:eastAsia="宋体"/>
          <w:sz w:val="32"/>
        </w:rPr>
        <w:t>本单位无项目支出，故</w:t>
      </w:r>
      <w:r>
        <w:rPr>
          <w:rFonts w:hint="eastAsia" w:ascii="宋体" w:hAnsi="Times New Roman" w:eastAsia="宋体"/>
          <w:sz w:val="32"/>
          <w:lang w:val="en-US" w:eastAsia="zh-CN"/>
        </w:rPr>
        <w:t>未开</w:t>
      </w:r>
      <w:r>
        <w:rPr>
          <w:rFonts w:hint="eastAsia" w:ascii="宋体" w:hAnsi="Times New Roman" w:eastAsia="宋体"/>
          <w:sz w:val="32"/>
        </w:rPr>
        <w:t>展</w:t>
      </w:r>
      <w:r>
        <w:rPr>
          <w:rFonts w:hint="eastAsia" w:ascii="宋体" w:hAnsi="Times New Roman" w:eastAsia="宋体"/>
          <w:sz w:val="32"/>
          <w:lang w:val="en-US" w:eastAsia="zh-CN"/>
        </w:rPr>
        <w:t>部门评价</w:t>
      </w:r>
      <w:r>
        <w:rPr>
          <w:rFonts w:hint="eastAsia" w:ascii="宋体" w:hAnsi="Times New Roman" w:eastAsia="宋体"/>
          <w:sz w:val="32"/>
        </w:rPr>
        <w:t>，无</w:t>
      </w:r>
      <w:r>
        <w:rPr>
          <w:rFonts w:hint="eastAsia" w:ascii="宋体" w:hAnsi="Times New Roman" w:eastAsia="宋体"/>
          <w:sz w:val="32"/>
          <w:lang w:val="en-US" w:eastAsia="zh-CN"/>
        </w:rPr>
        <w:t>评价</w:t>
      </w:r>
      <w:r>
        <w:rPr>
          <w:rFonts w:hint="eastAsia" w:ascii="宋体" w:hAnsi="Times New Roman" w:eastAsia="宋体"/>
          <w:sz w:val="32"/>
        </w:rPr>
        <w:t>结果。</w:t>
      </w:r>
    </w:p>
    <w:p>
      <w:pPr>
        <w:pStyle w:val="9"/>
        <w:ind w:firstLine="640" w:firstLineChars="200"/>
        <w:rPr>
          <w:rFonts w:hint="eastAsia" w:ascii="宋体" w:hAnsi="Times New Roman" w:eastAsia="宋体"/>
          <w:sz w:val="32"/>
          <w:lang w:eastAsia="zh-CN"/>
        </w:rPr>
      </w:pPr>
      <w:r>
        <w:rPr>
          <w:rFonts w:hint="eastAsia" w:ascii="宋体" w:hAnsi="Times New Roman" w:eastAsia="宋体"/>
          <w:sz w:val="32"/>
          <w:szCs w:val="24"/>
          <w:highlight w:val="white"/>
          <w:lang w:eastAsia="zh-CN"/>
        </w:rPr>
        <w:t>预算</w:t>
      </w:r>
      <w:r>
        <w:rPr>
          <w:rFonts w:hint="eastAsia" w:ascii="宋体" w:hAnsi="Times New Roman" w:eastAsia="宋体" w:cs="Times New Roman"/>
          <w:sz w:val="32"/>
          <w:szCs w:val="24"/>
          <w:lang w:eastAsia="zh-CN"/>
        </w:rPr>
        <w:t>绩效管理</w:t>
      </w:r>
      <w:r>
        <w:rPr>
          <w:rFonts w:hint="eastAsia" w:ascii="宋体" w:hAnsi="Times New Roman" w:eastAsia="宋体"/>
          <w:sz w:val="32"/>
          <w:szCs w:val="24"/>
          <w:highlight w:val="white"/>
          <w:lang w:eastAsia="zh-CN"/>
        </w:rPr>
        <w:t>开展情况、</w:t>
      </w:r>
      <w:r>
        <w:rPr>
          <w:rFonts w:hint="eastAsia" w:ascii="宋体" w:hAnsi="Times New Roman" w:eastAsia="宋体" w:cs="Times New Roman"/>
          <w:sz w:val="32"/>
          <w:szCs w:val="24"/>
          <w:lang w:eastAsia="zh-CN"/>
        </w:rPr>
        <w:t>单位</w:t>
      </w:r>
      <w:r>
        <w:rPr>
          <w:rFonts w:hint="eastAsia" w:ascii="宋体" w:hAnsi="Times New Roman" w:eastAsia="宋体" w:cs="Times New Roman"/>
          <w:sz w:val="32"/>
          <w:szCs w:val="24"/>
        </w:rPr>
        <w:t>整体支出绩效</w:t>
      </w:r>
      <w:r>
        <w:rPr>
          <w:rFonts w:hint="eastAsia" w:ascii="宋体" w:hAnsi="Times New Roman" w:eastAsia="宋体" w:cs="Times New Roman"/>
          <w:sz w:val="32"/>
          <w:szCs w:val="24"/>
          <w:lang w:eastAsia="zh-CN"/>
        </w:rPr>
        <w:t>情况表</w:t>
      </w:r>
      <w:r>
        <w:rPr>
          <w:rFonts w:hint="eastAsia" w:ascii="宋体" w:hAnsi="Times New Roman" w:eastAsia="宋体" w:cs="Times New Roman"/>
          <w:sz w:val="32"/>
          <w:szCs w:val="24"/>
          <w:lang w:val="en-US" w:eastAsia="zh-CN"/>
        </w:rPr>
        <w:t>等</w:t>
      </w:r>
      <w:r>
        <w:rPr>
          <w:rFonts w:hint="eastAsia" w:ascii="宋体" w:hAnsi="Times New Roman" w:eastAsia="宋体" w:cs="Times New Roman"/>
          <w:sz w:val="32"/>
          <w:szCs w:val="24"/>
          <w:lang w:eastAsia="zh-CN"/>
        </w:rPr>
        <w:t>一并作为附件公开。</w:t>
      </w:r>
    </w:p>
    <w:p>
      <w:pPr>
        <w:pStyle w:val="9"/>
        <w:jc w:val="both"/>
        <w:rPr>
          <w:sz w:val="72"/>
          <w:szCs w:val="72"/>
        </w:rPr>
      </w:pPr>
    </w:p>
    <w:p>
      <w:pPr>
        <w:autoSpaceDE w:val="0"/>
        <w:autoSpaceDN w:val="0"/>
        <w:adjustRightInd w:val="0"/>
        <w:ind w:firstLine="720" w:firstLineChars="200"/>
        <w:jc w:val="left"/>
        <w:rPr>
          <w:rFonts w:cs="黑体" w:asciiTheme="minorEastAsia" w:hAnsiTheme="minorEastAsia"/>
          <w:b/>
          <w:bCs/>
          <w:i/>
          <w:iCs/>
          <w:color w:val="FF0000"/>
          <w:kern w:val="0"/>
          <w:sz w:val="36"/>
          <w:szCs w:val="36"/>
        </w:rPr>
      </w:pPr>
    </w:p>
    <w:p>
      <w:pPr>
        <w:pStyle w:val="9"/>
        <w:rPr>
          <w:sz w:val="72"/>
          <w:szCs w:val="72"/>
        </w:rPr>
      </w:pPr>
    </w:p>
    <w:p>
      <w:pPr>
        <w:pStyle w:val="9"/>
        <w:jc w:val="both"/>
        <w:rPr>
          <w:sz w:val="72"/>
          <w:szCs w:val="72"/>
        </w:rPr>
      </w:pPr>
    </w:p>
    <w:p>
      <w:pPr>
        <w:pStyle w:val="9"/>
        <w:jc w:val="center"/>
        <w:rPr>
          <w:sz w:val="72"/>
          <w:szCs w:val="72"/>
        </w:rPr>
      </w:pPr>
      <w:r>
        <w:rPr>
          <w:rFonts w:hint="eastAsia"/>
          <w:sz w:val="72"/>
          <w:szCs w:val="72"/>
        </w:rPr>
        <w:t>第四部分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名词解释</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ind w:firstLine="640" w:firstLineChars="200"/>
        <w:jc w:val="left"/>
        <w:rPr>
          <w:rFonts w:cs="黑体" w:asciiTheme="minorEastAsia" w:hAnsiTheme="minorEastAsia"/>
          <w:color w:val="000000"/>
          <w:kern w:val="0"/>
          <w:sz w:val="32"/>
          <w:szCs w:val="32"/>
        </w:rPr>
      </w:pPr>
    </w:p>
    <w:p>
      <w:pPr>
        <w:ind w:firstLine="640" w:firstLineChars="200"/>
        <w:jc w:val="left"/>
        <w:rPr>
          <w:rFonts w:cs="黑体" w:asciiTheme="minorEastAsia" w:hAnsiTheme="minorEastAsia"/>
          <w:color w:val="000000"/>
          <w:kern w:val="0"/>
          <w:sz w:val="32"/>
          <w:szCs w:val="32"/>
        </w:rPr>
      </w:pPr>
    </w:p>
    <w:p>
      <w:pPr>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一、“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二、机关运行经费，是指各部门的公用经费，包括办公及印刷费、邮电费、差旅费、会议费、福利费、日常维修费、专用材料及一般设备购置费、办公用房水电费、办公用房取暖费、办公用房物业管理费、公务用车运行维护费以及其他费用。</w:t>
      </w:r>
    </w:p>
    <w:p>
      <w:pPr>
        <w:keepNext/>
        <w:keepLines/>
        <w:autoSpaceDE w:val="0"/>
        <w:autoSpaceDN w:val="0"/>
        <w:adjustRightInd w:val="0"/>
        <w:spacing w:line="560" w:lineRule="exact"/>
        <w:ind w:firstLine="640"/>
        <w:rPr>
          <w:rFonts w:ascii="宋体" w:hAnsi="Times New Roman" w:eastAsia="宋体"/>
          <w:color w:val="000000"/>
          <w:kern w:val="0"/>
          <w:sz w:val="32"/>
        </w:rPr>
      </w:pPr>
      <w:r>
        <w:rPr>
          <w:rFonts w:hint="eastAsia" w:cs="黑体" w:asciiTheme="minorEastAsia" w:hAnsiTheme="minorEastAsia"/>
          <w:color w:val="000000"/>
          <w:kern w:val="0"/>
          <w:sz w:val="32"/>
          <w:szCs w:val="32"/>
        </w:rPr>
        <w:t>三、</w:t>
      </w:r>
      <w:r>
        <w:rPr>
          <w:rFonts w:hint="eastAsia" w:ascii="宋体" w:hAnsi="Times New Roman" w:eastAsia="宋体"/>
          <w:color w:val="000000"/>
          <w:kern w:val="0"/>
          <w:sz w:val="32"/>
        </w:rPr>
        <w:t>财政拨款收入，指本级财政当年拨付的资金。</w:t>
      </w:r>
    </w:p>
    <w:p>
      <w:pPr>
        <w:keepNext/>
        <w:keepLines/>
        <w:autoSpaceDE w:val="0"/>
        <w:autoSpaceDN w:val="0"/>
        <w:adjustRightInd w:val="0"/>
        <w:spacing w:line="560" w:lineRule="exact"/>
        <w:ind w:firstLine="640"/>
        <w:rPr>
          <w:rFonts w:ascii="宋体" w:hAnsi="Times New Roman" w:eastAsia="宋体"/>
          <w:color w:val="000000"/>
          <w:kern w:val="0"/>
          <w:sz w:val="32"/>
        </w:rPr>
      </w:pPr>
      <w:r>
        <w:rPr>
          <w:rFonts w:hint="eastAsia" w:ascii="宋体" w:hAnsi="Times New Roman" w:eastAsia="宋体"/>
          <w:color w:val="000000"/>
          <w:kern w:val="0"/>
          <w:sz w:val="32"/>
        </w:rPr>
        <w:t>四、基本支出，指保障机构正常运转、完成支日常工作任务而发生的人员支出和公用支出。</w:t>
      </w:r>
    </w:p>
    <w:p>
      <w:pPr>
        <w:keepNext/>
        <w:keepLines/>
        <w:autoSpaceDE w:val="0"/>
        <w:autoSpaceDN w:val="0"/>
        <w:adjustRightInd w:val="0"/>
        <w:spacing w:line="560" w:lineRule="exact"/>
        <w:ind w:firstLine="640"/>
        <w:rPr>
          <w:rFonts w:ascii="宋体" w:hAnsi="Times New Roman" w:eastAsia="宋体"/>
          <w:color w:val="000000"/>
          <w:kern w:val="0"/>
          <w:sz w:val="32"/>
        </w:rPr>
      </w:pPr>
      <w:r>
        <w:rPr>
          <w:rFonts w:hint="eastAsia" w:ascii="宋体" w:hAnsi="Times New Roman" w:eastAsia="宋体"/>
          <w:color w:val="000000"/>
          <w:kern w:val="0"/>
          <w:sz w:val="32"/>
        </w:rPr>
        <w:t>五、项目支出，指在基本支出之外为完成特定行政任务和事业发展目标所发生的支出。</w:t>
      </w:r>
    </w:p>
    <w:p>
      <w:pPr>
        <w:ind w:firstLine="640" w:firstLineChars="200"/>
        <w:jc w:val="left"/>
        <w:rPr>
          <w:rFonts w:cs="黑体" w:asciiTheme="minorEastAsia" w:hAnsiTheme="minorEastAsia"/>
          <w:color w:val="000000"/>
          <w:kern w:val="0"/>
          <w:sz w:val="32"/>
          <w:szCs w:val="3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r>
        <w:rPr>
          <w:rFonts w:hint="eastAsia"/>
          <w:sz w:val="72"/>
          <w:szCs w:val="72"/>
        </w:rPr>
        <w:t>第五部分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附件</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jc w:val="center"/>
        <w:rPr>
          <w:rFonts w:ascii="黑体" w:eastAsia="黑体" w:cs="黑体"/>
          <w:color w:val="000000"/>
          <w:kern w:val="0"/>
          <w:sz w:val="70"/>
          <w:szCs w:val="70"/>
        </w:rPr>
      </w:pPr>
    </w:p>
    <w:p>
      <w:pPr>
        <w:ind w:firstLine="640" w:firstLineChars="200"/>
        <w:jc w:val="left"/>
        <w:rPr>
          <w:rFonts w:cs="黑体" w:asciiTheme="minorEastAsia" w:hAnsiTheme="minorEastAsia"/>
          <w:b/>
          <w:color w:val="000000"/>
          <w:kern w:val="0"/>
          <w:sz w:val="32"/>
          <w:szCs w:val="32"/>
        </w:rPr>
      </w:pPr>
      <w:r>
        <w:rPr>
          <w:rFonts w:hint="eastAsia" w:cs="黑体" w:asciiTheme="minorEastAsia" w:hAnsiTheme="minorEastAsia"/>
          <w:b/>
          <w:color w:val="000000"/>
          <w:kern w:val="0"/>
          <w:sz w:val="32"/>
          <w:szCs w:val="32"/>
        </w:rPr>
        <w:t>1、2021年部门决算公开表格</w:t>
      </w:r>
    </w:p>
    <w:p>
      <w:pPr>
        <w:ind w:firstLine="640" w:firstLineChars="200"/>
        <w:jc w:val="left"/>
        <w:rPr>
          <w:rFonts w:hint="eastAsia" w:cs="黑体" w:asciiTheme="minorEastAsia" w:hAnsiTheme="minorEastAsia"/>
          <w:b/>
          <w:color w:val="000000"/>
          <w:kern w:val="0"/>
          <w:sz w:val="32"/>
          <w:szCs w:val="32"/>
        </w:rPr>
      </w:pPr>
      <w:r>
        <w:rPr>
          <w:rFonts w:hint="eastAsia" w:cs="黑体" w:asciiTheme="minorEastAsia" w:hAnsiTheme="minorEastAsia"/>
          <w:b/>
          <w:color w:val="000000"/>
          <w:kern w:val="0"/>
          <w:sz w:val="32"/>
          <w:szCs w:val="32"/>
        </w:rPr>
        <w:t>2、2021年度部门整体支出绩效评价报告</w:t>
      </w:r>
    </w:p>
    <w:p>
      <w:pPr>
        <w:spacing w:line="800" w:lineRule="exact"/>
        <w:jc w:val="center"/>
        <w:rPr>
          <w:rFonts w:hint="eastAsia" w:eastAsia="方正小标宋简体"/>
          <w:bCs/>
          <w:sz w:val="46"/>
          <w:szCs w:val="46"/>
        </w:rPr>
      </w:pPr>
      <w:r>
        <w:rPr>
          <w:rFonts w:hint="eastAsia" w:eastAsia="方正小标宋简体"/>
          <w:bCs/>
          <w:sz w:val="46"/>
          <w:szCs w:val="46"/>
        </w:rPr>
        <w:t>岳阳市</w:t>
      </w:r>
      <w:r>
        <w:rPr>
          <w:rFonts w:hint="eastAsia" w:eastAsia="方正小标宋简体"/>
          <w:bCs/>
          <w:sz w:val="46"/>
          <w:szCs w:val="46"/>
          <w:u w:val="single"/>
        </w:rPr>
        <w:t>2021</w:t>
      </w:r>
      <w:r>
        <w:rPr>
          <w:rFonts w:hint="eastAsia" w:eastAsia="方正小标宋简体"/>
          <w:bCs/>
          <w:sz w:val="46"/>
          <w:szCs w:val="46"/>
        </w:rPr>
        <w:t>年度单位整体支出</w:t>
      </w:r>
    </w:p>
    <w:p>
      <w:pPr>
        <w:spacing w:line="800" w:lineRule="exact"/>
        <w:jc w:val="center"/>
        <w:rPr>
          <w:rFonts w:hint="eastAsia" w:eastAsia="方正小标宋简体"/>
          <w:bCs/>
          <w:sz w:val="46"/>
          <w:szCs w:val="46"/>
        </w:rPr>
      </w:pPr>
      <w:r>
        <w:rPr>
          <w:rFonts w:hint="eastAsia" w:eastAsia="方正小标宋简体"/>
          <w:bCs/>
          <w:sz w:val="46"/>
          <w:szCs w:val="46"/>
        </w:rPr>
        <w:t>绩效情况表</w:t>
      </w:r>
    </w:p>
    <w:tbl>
      <w:tblPr>
        <w:tblStyle w:val="5"/>
        <w:tblW w:w="835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5" w:type="dxa"/>
          <w:bottom w:w="0" w:type="dxa"/>
          <w:right w:w="15" w:type="dxa"/>
        </w:tblCellMar>
      </w:tblPr>
      <w:tblGrid>
        <w:gridCol w:w="1109"/>
        <w:gridCol w:w="1866"/>
        <w:gridCol w:w="264"/>
        <w:gridCol w:w="264"/>
        <w:gridCol w:w="264"/>
        <w:gridCol w:w="171"/>
        <w:gridCol w:w="864"/>
        <w:gridCol w:w="864"/>
        <w:gridCol w:w="245"/>
        <w:gridCol w:w="217"/>
        <w:gridCol w:w="247"/>
        <w:gridCol w:w="212"/>
        <w:gridCol w:w="176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26" w:hRule="atLeast"/>
          <w:jc w:val="center"/>
        </w:trPr>
        <w:tc>
          <w:tcPr>
            <w:tcW w:w="0" w:type="auto"/>
            <w:gridSpan w:val="13"/>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黑体" w:hAnsi="黑体" w:eastAsia="黑体" w:cs="黑体"/>
                <w:color w:val="000000"/>
                <w:sz w:val="28"/>
                <w:szCs w:val="28"/>
              </w:rPr>
              <w:t>一、单位基本概况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26" w:hRule="atLeast"/>
          <w:jc w:val="center"/>
        </w:trPr>
        <w:tc>
          <w:tcPr>
            <w:tcW w:w="0" w:type="auto"/>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人员编制</w:t>
            </w:r>
          </w:p>
        </w:tc>
        <w:tc>
          <w:tcPr>
            <w:tcW w:w="0" w:type="auto"/>
            <w:gridSpan w:val="5"/>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23</w:t>
            </w:r>
          </w:p>
        </w:tc>
        <w:tc>
          <w:tcPr>
            <w:tcW w:w="0" w:type="auto"/>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实有人数</w:t>
            </w:r>
          </w:p>
        </w:tc>
        <w:tc>
          <w:tcPr>
            <w:tcW w:w="0" w:type="auto"/>
            <w:gridSpan w:val="5"/>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2908" w:hRule="atLeast"/>
          <w:jc w:val="center"/>
        </w:trPr>
        <w:tc>
          <w:tcPr>
            <w:tcW w:w="0" w:type="auto"/>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职能职责概述</w:t>
            </w:r>
          </w:p>
        </w:tc>
        <w:tc>
          <w:tcPr>
            <w:tcW w:w="0" w:type="auto"/>
            <w:gridSpan w:val="12"/>
            <w:noWrap w:val="0"/>
            <w:vAlign w:val="center"/>
          </w:tcPr>
          <w:p>
            <w:pPr>
              <w:autoSpaceDN w:val="0"/>
              <w:spacing w:line="320" w:lineRule="exact"/>
              <w:jc w:val="left"/>
              <w:textAlignment w:val="center"/>
              <w:rPr>
                <w:rFonts w:hint="eastAsia" w:ascii="仿宋" w:hAnsi="仿宋" w:eastAsia="仿宋" w:cs="仿宋"/>
                <w:bCs/>
                <w:sz w:val="32"/>
                <w:szCs w:val="32"/>
              </w:rPr>
            </w:pPr>
          </w:p>
          <w:p>
            <w:pPr>
              <w:autoSpaceDN w:val="0"/>
              <w:spacing w:line="320" w:lineRule="exact"/>
              <w:jc w:val="left"/>
              <w:textAlignment w:val="center"/>
              <w:rPr>
                <w:rFonts w:hint="eastAsia" w:ascii="仿宋" w:hAnsi="仿宋" w:eastAsia="仿宋" w:cs="仿宋"/>
                <w:bCs/>
                <w:sz w:val="32"/>
                <w:szCs w:val="32"/>
              </w:rPr>
            </w:pPr>
            <w:r>
              <w:rPr>
                <w:rFonts w:hint="eastAsia" w:ascii="仿宋" w:hAnsi="仿宋" w:eastAsia="仿宋" w:cs="仿宋"/>
                <w:bCs/>
                <w:sz w:val="32"/>
                <w:szCs w:val="32"/>
              </w:rPr>
              <w:t>(一)宣传贯彻《国有土地上房屋征收与补偿条例》及相关法律法规政策；拟制和报批房屋征收补助和奖励等相关配套政策;</w:t>
            </w:r>
          </w:p>
          <w:p>
            <w:pPr>
              <w:autoSpaceDN w:val="0"/>
              <w:spacing w:line="320" w:lineRule="exact"/>
              <w:jc w:val="left"/>
              <w:textAlignment w:val="center"/>
              <w:rPr>
                <w:rFonts w:hint="eastAsia" w:ascii="仿宋" w:hAnsi="仿宋" w:eastAsia="仿宋" w:cs="仿宋"/>
                <w:bCs/>
                <w:sz w:val="32"/>
                <w:szCs w:val="32"/>
              </w:rPr>
            </w:pPr>
            <w:r>
              <w:rPr>
                <w:rFonts w:hint="eastAsia" w:ascii="仿宋" w:hAnsi="仿宋" w:eastAsia="仿宋" w:cs="仿宋"/>
                <w:bCs/>
                <w:sz w:val="32"/>
                <w:szCs w:val="32"/>
              </w:rPr>
              <w:t>(二)负责房屋征收（收购）项目补偿安置方案、房地产评估报告及补偿协议的备案和项目成本审核工作，并对征购补偿资金实行专户存储、专款专用;</w:t>
            </w:r>
          </w:p>
          <w:p>
            <w:pPr>
              <w:widowControl/>
              <w:jc w:val="left"/>
              <w:rPr>
                <w:rFonts w:hint="eastAsia" w:eastAsia="仿宋_GB2312"/>
                <w:kern w:val="0"/>
                <w:sz w:val="24"/>
              </w:rPr>
            </w:pPr>
          </w:p>
          <w:p>
            <w:pPr>
              <w:widowControl/>
              <w:jc w:val="left"/>
              <w:rPr>
                <w:rFonts w:hint="eastAsia" w:eastAsia="仿宋_GB2312"/>
                <w:kern w:val="0"/>
                <w:sz w:val="24"/>
              </w:rPr>
            </w:pPr>
          </w:p>
          <w:p>
            <w:pPr>
              <w:autoSpaceDN w:val="0"/>
              <w:spacing w:line="320" w:lineRule="exact"/>
              <w:jc w:val="left"/>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2735" w:hRule="atLeast"/>
          <w:jc w:val="center"/>
        </w:trPr>
        <w:tc>
          <w:tcPr>
            <w:tcW w:w="0" w:type="auto"/>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年度主要</w:t>
            </w:r>
          </w:p>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工作内容</w:t>
            </w:r>
          </w:p>
        </w:tc>
        <w:tc>
          <w:tcPr>
            <w:tcW w:w="0" w:type="auto"/>
            <w:gridSpan w:val="12"/>
            <w:noWrap w:val="0"/>
            <w:vAlign w:val="center"/>
          </w:tcPr>
          <w:p>
            <w:pPr>
              <w:autoSpaceDN w:val="0"/>
              <w:spacing w:line="320" w:lineRule="exact"/>
              <w:jc w:val="left"/>
              <w:textAlignment w:val="center"/>
              <w:rPr>
                <w:rFonts w:hint="eastAsia" w:ascii="仿宋" w:hAnsi="仿宋" w:eastAsia="仿宋" w:cs="仿宋"/>
                <w:bCs/>
                <w:sz w:val="32"/>
                <w:szCs w:val="32"/>
              </w:rPr>
            </w:pPr>
            <w:r>
              <w:rPr>
                <w:rFonts w:hint="eastAsia" w:ascii="仿宋" w:hAnsi="仿宋" w:eastAsia="仿宋" w:cs="仿宋"/>
                <w:bCs/>
                <w:sz w:val="32"/>
                <w:szCs w:val="32"/>
              </w:rPr>
              <w:t>1.完善我市国有土地上房屋征收的相关配套政策，确保我市征收有法可依，有章可循；</w:t>
            </w:r>
          </w:p>
          <w:p>
            <w:pPr>
              <w:autoSpaceDN w:val="0"/>
              <w:spacing w:line="320" w:lineRule="exact"/>
              <w:jc w:val="left"/>
              <w:textAlignment w:val="center"/>
              <w:rPr>
                <w:rFonts w:hint="eastAsia" w:ascii="仿宋" w:hAnsi="仿宋" w:eastAsia="仿宋" w:cs="仿宋"/>
                <w:bCs/>
                <w:sz w:val="32"/>
                <w:szCs w:val="32"/>
              </w:rPr>
            </w:pPr>
            <w:r>
              <w:rPr>
                <w:rFonts w:hint="eastAsia" w:ascii="仿宋" w:hAnsi="仿宋" w:eastAsia="仿宋" w:cs="仿宋"/>
                <w:bCs/>
                <w:sz w:val="32"/>
                <w:szCs w:val="32"/>
              </w:rPr>
              <w:t>2.加强我市国有土地上房屋征收补偿的监督管理，做到征收补偿公平、公正、公开，确保社会稳定；</w:t>
            </w:r>
          </w:p>
          <w:p>
            <w:pPr>
              <w:autoSpaceDN w:val="0"/>
              <w:spacing w:line="320" w:lineRule="exact"/>
              <w:jc w:val="left"/>
              <w:textAlignment w:val="center"/>
              <w:rPr>
                <w:rFonts w:hint="eastAsia" w:ascii="仿宋" w:hAnsi="仿宋" w:eastAsia="仿宋" w:cs="仿宋"/>
                <w:bCs/>
                <w:sz w:val="32"/>
                <w:szCs w:val="32"/>
              </w:rPr>
            </w:pPr>
            <w:r>
              <w:rPr>
                <w:rFonts w:hint="eastAsia" w:ascii="仿宋" w:hAnsi="仿宋" w:eastAsia="仿宋" w:cs="仿宋"/>
                <w:bCs/>
                <w:sz w:val="32"/>
                <w:szCs w:val="32"/>
              </w:rPr>
              <w:t>3.完成年度交办的市级征收（收购）实施工作任务，确保市重点项目及公益事业的顺利实施。</w:t>
            </w: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045" w:hRule="atLeast"/>
          <w:jc w:val="center"/>
        </w:trPr>
        <w:tc>
          <w:tcPr>
            <w:tcW w:w="0" w:type="auto"/>
            <w:noWrap w:val="0"/>
            <w:vAlign w:val="center"/>
          </w:tcPr>
          <w:p>
            <w:pPr>
              <w:autoSpaceDN w:val="0"/>
              <w:spacing w:line="320" w:lineRule="exact"/>
              <w:jc w:val="center"/>
              <w:textAlignment w:val="center"/>
              <w:rPr>
                <w:rFonts w:hint="eastAsia" w:ascii="仿宋_GB2312" w:hAnsi="仿宋_GB2312" w:eastAsia="仿宋_GB2312" w:cs="仿宋_GB2312"/>
                <w:color w:val="000000"/>
                <w:spacing w:val="-6"/>
                <w:sz w:val="24"/>
              </w:rPr>
            </w:pPr>
            <w:r>
              <w:rPr>
                <w:rFonts w:hint="eastAsia" w:ascii="仿宋_GB2312" w:hAnsi="仿宋_GB2312" w:eastAsia="仿宋_GB2312" w:cs="仿宋_GB2312"/>
                <w:color w:val="000000"/>
                <w:spacing w:val="-6"/>
                <w:sz w:val="24"/>
              </w:rPr>
              <w:t>总体运行情况及取得的成绩</w:t>
            </w:r>
          </w:p>
        </w:tc>
        <w:tc>
          <w:tcPr>
            <w:tcW w:w="0" w:type="auto"/>
            <w:gridSpan w:val="12"/>
            <w:noWrap w:val="0"/>
            <w:vAlign w:val="center"/>
          </w:tcPr>
          <w:p>
            <w:pPr>
              <w:autoSpaceDN w:val="0"/>
              <w:spacing w:line="320" w:lineRule="exact"/>
              <w:jc w:val="left"/>
              <w:textAlignment w:val="center"/>
              <w:rPr>
                <w:rFonts w:hint="eastAsia" w:ascii="仿宋" w:hAnsi="仿宋" w:eastAsia="仿宋" w:cs="仿宋"/>
                <w:sz w:val="32"/>
                <w:szCs w:val="32"/>
              </w:rPr>
            </w:pPr>
            <w:r>
              <w:rPr>
                <w:rFonts w:hint="eastAsia" w:ascii="仿宋" w:hAnsi="仿宋" w:eastAsia="仿宋" w:cs="仿宋"/>
                <w:b/>
                <w:bCs/>
                <w:sz w:val="32"/>
                <w:szCs w:val="32"/>
              </w:rPr>
              <w:t>一是抓</w:t>
            </w:r>
            <w:r>
              <w:rPr>
                <w:rFonts w:hint="eastAsia" w:ascii="仿宋" w:hAnsi="仿宋" w:eastAsia="仿宋" w:cs="仿宋"/>
                <w:b/>
                <w:sz w:val="32"/>
                <w:szCs w:val="32"/>
              </w:rPr>
              <w:t>项目评估备案</w:t>
            </w:r>
            <w:r>
              <w:rPr>
                <w:rFonts w:hint="eastAsia" w:ascii="仿宋" w:hAnsi="仿宋" w:eastAsia="仿宋" w:cs="仿宋"/>
                <w:b/>
                <w:bCs/>
                <w:sz w:val="32"/>
                <w:szCs w:val="32"/>
              </w:rPr>
              <w:t>。</w:t>
            </w:r>
            <w:r>
              <w:rPr>
                <w:rFonts w:hint="eastAsia" w:ascii="仿宋" w:hAnsi="仿宋" w:eastAsia="仿宋" w:cs="仿宋"/>
                <w:sz w:val="32"/>
                <w:szCs w:val="32"/>
              </w:rPr>
              <w:t>对华菱港、蛋禽市场、四化建南片区等24个项目进行评估报告备案。</w:t>
            </w:r>
          </w:p>
          <w:p>
            <w:pPr>
              <w:autoSpaceDN w:val="0"/>
              <w:spacing w:line="320" w:lineRule="exact"/>
              <w:jc w:val="left"/>
              <w:textAlignment w:val="center"/>
              <w:rPr>
                <w:rFonts w:hint="eastAsia" w:ascii="仿宋" w:hAnsi="仿宋" w:eastAsia="仿宋" w:cs="仿宋"/>
                <w:sz w:val="32"/>
                <w:szCs w:val="32"/>
              </w:rPr>
            </w:pPr>
            <w:r>
              <w:rPr>
                <w:rFonts w:hint="eastAsia" w:ascii="仿宋" w:hAnsi="仿宋" w:eastAsia="仿宋" w:cs="仿宋"/>
                <w:b/>
                <w:bCs/>
                <w:sz w:val="32"/>
                <w:szCs w:val="32"/>
              </w:rPr>
              <w:t>二是抓</w:t>
            </w:r>
            <w:r>
              <w:rPr>
                <w:rFonts w:hint="eastAsia" w:ascii="仿宋" w:hAnsi="仿宋" w:eastAsia="仿宋" w:cs="仿宋"/>
                <w:b/>
                <w:sz w:val="32"/>
                <w:szCs w:val="32"/>
              </w:rPr>
              <w:t>成本概算审核</w:t>
            </w:r>
            <w:r>
              <w:rPr>
                <w:rFonts w:hint="eastAsia" w:ascii="仿宋" w:hAnsi="仿宋" w:eastAsia="仿宋" w:cs="仿宋"/>
                <w:b/>
                <w:bCs/>
                <w:sz w:val="32"/>
                <w:szCs w:val="32"/>
              </w:rPr>
              <w:t>。</w:t>
            </w:r>
            <w:r>
              <w:rPr>
                <w:rFonts w:hint="eastAsia" w:ascii="仿宋" w:hAnsi="仿宋" w:eastAsia="仿宋" w:cs="仿宋"/>
                <w:sz w:val="32"/>
                <w:szCs w:val="32"/>
              </w:rPr>
              <w:t>对同联药业、四化建南片区等项目加强监管，确保概算备案标准规范。</w:t>
            </w:r>
          </w:p>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 w:hAnsi="仿宋" w:eastAsia="仿宋" w:cs="仿宋"/>
                <w:b/>
                <w:bCs/>
                <w:sz w:val="32"/>
                <w:szCs w:val="32"/>
              </w:rPr>
              <w:t>三是抓</w:t>
            </w:r>
            <w:r>
              <w:rPr>
                <w:rFonts w:hint="eastAsia" w:ascii="仿宋" w:hAnsi="仿宋" w:eastAsia="仿宋" w:cs="仿宋"/>
                <w:b/>
                <w:sz w:val="32"/>
                <w:szCs w:val="32"/>
              </w:rPr>
              <w:t>征（拆）项目成本核算</w:t>
            </w:r>
            <w:r>
              <w:rPr>
                <w:rFonts w:hint="eastAsia" w:ascii="仿宋" w:hAnsi="仿宋" w:eastAsia="仿宋" w:cs="仿宋"/>
                <w:b/>
                <w:bCs/>
                <w:sz w:val="32"/>
                <w:szCs w:val="32"/>
              </w:rPr>
              <w:t>。</w:t>
            </w:r>
            <w:r>
              <w:rPr>
                <w:rFonts w:hint="eastAsia" w:ascii="仿宋" w:hAnsi="仿宋" w:eastAsia="仿宋" w:cs="仿宋"/>
                <w:sz w:val="32"/>
                <w:szCs w:val="32"/>
              </w:rPr>
              <w:t>对七里山周边私产权房、杨树塘片区等项目进行成本审核。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26" w:hRule="atLeast"/>
          <w:jc w:val="center"/>
        </w:trPr>
        <w:tc>
          <w:tcPr>
            <w:tcW w:w="0" w:type="auto"/>
            <w:gridSpan w:val="13"/>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黑体" w:hAnsi="黑体" w:eastAsia="黑体" w:cs="黑体"/>
                <w:color w:val="000000"/>
                <w:sz w:val="28"/>
                <w:szCs w:val="28"/>
              </w:rPr>
              <w:t>二、部门（单位）收支情况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26" w:hRule="atLeast"/>
          <w:jc w:val="center"/>
        </w:trPr>
        <w:tc>
          <w:tcPr>
            <w:tcW w:w="0" w:type="auto"/>
            <w:gridSpan w:val="13"/>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b/>
                <w:bCs/>
                <w:color w:val="000000"/>
                <w:sz w:val="24"/>
              </w:rPr>
              <w:t>年度收入情况（万元）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26" w:hRule="atLeast"/>
          <w:jc w:val="center"/>
        </w:trPr>
        <w:tc>
          <w:tcPr>
            <w:tcW w:w="0" w:type="auto"/>
            <w:vMerge w:val="restart"/>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收入合计</w:t>
            </w:r>
          </w:p>
        </w:tc>
        <w:tc>
          <w:tcPr>
            <w:tcW w:w="0" w:type="auto"/>
            <w:gridSpan w:val="12"/>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761" w:hRule="atLeast"/>
          <w:jc w:val="center"/>
        </w:trPr>
        <w:tc>
          <w:tcPr>
            <w:tcW w:w="0" w:type="auto"/>
            <w:vMerge w:val="continue"/>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0" w:type="auto"/>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上年结转</w:t>
            </w:r>
          </w:p>
        </w:tc>
        <w:tc>
          <w:tcPr>
            <w:tcW w:w="0" w:type="auto"/>
            <w:gridSpan w:val="4"/>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公共财</w:t>
            </w:r>
          </w:p>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政拨款</w:t>
            </w:r>
          </w:p>
        </w:tc>
        <w:tc>
          <w:tcPr>
            <w:tcW w:w="0" w:type="auto"/>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政府基金拨款</w:t>
            </w:r>
          </w:p>
        </w:tc>
        <w:tc>
          <w:tcPr>
            <w:tcW w:w="0" w:type="auto"/>
            <w:gridSpan w:val="4"/>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纳入专户管理的非税收入</w:t>
            </w:r>
          </w:p>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拨款</w:t>
            </w:r>
          </w:p>
        </w:tc>
        <w:tc>
          <w:tcPr>
            <w:tcW w:w="0" w:type="auto"/>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其他</w:t>
            </w:r>
          </w:p>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收入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03" w:hRule="atLeast"/>
          <w:jc w:val="center"/>
        </w:trPr>
        <w:tc>
          <w:tcPr>
            <w:tcW w:w="0" w:type="auto"/>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478.65</w:t>
            </w:r>
          </w:p>
        </w:tc>
        <w:tc>
          <w:tcPr>
            <w:tcW w:w="0" w:type="auto"/>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306.09</w:t>
            </w:r>
          </w:p>
        </w:tc>
        <w:tc>
          <w:tcPr>
            <w:tcW w:w="0" w:type="auto"/>
            <w:gridSpan w:val="4"/>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157.3</w:t>
            </w:r>
          </w:p>
        </w:tc>
        <w:tc>
          <w:tcPr>
            <w:tcW w:w="0" w:type="auto"/>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0" w:type="auto"/>
            <w:gridSpan w:val="4"/>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0" w:type="auto"/>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15.26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68" w:hRule="atLeast"/>
          <w:jc w:val="center"/>
        </w:trPr>
        <w:tc>
          <w:tcPr>
            <w:tcW w:w="0" w:type="auto"/>
            <w:gridSpan w:val="13"/>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b/>
                <w:bCs/>
                <w:color w:val="000000"/>
                <w:sz w:val="24"/>
              </w:rPr>
              <w:t>年度支出和结余情况（万元）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275" w:hRule="atLeast"/>
          <w:jc w:val="center"/>
        </w:trPr>
        <w:tc>
          <w:tcPr>
            <w:tcW w:w="0" w:type="auto"/>
            <w:vMerge w:val="restart"/>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支出合计</w:t>
            </w:r>
          </w:p>
        </w:tc>
        <w:tc>
          <w:tcPr>
            <w:tcW w:w="0" w:type="auto"/>
            <w:vMerge w:val="restart"/>
            <w:tcBorders>
              <w:left w:val="single" w:color="auto" w:sz="4" w:space="0"/>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基本支出</w:t>
            </w:r>
          </w:p>
        </w:tc>
        <w:tc>
          <w:tcPr>
            <w:tcW w:w="0" w:type="auto"/>
            <w:gridSpan w:val="6"/>
            <w:tcBorders>
              <w:left w:val="single" w:color="auto" w:sz="4" w:space="0"/>
              <w:bottom w:val="single" w:color="auto" w:sz="4" w:space="0"/>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c>
          <w:tcPr>
            <w:tcW w:w="0" w:type="auto"/>
            <w:gridSpan w:val="2"/>
            <w:vMerge w:val="restart"/>
            <w:tcBorders>
              <w:left w:val="single" w:color="auto" w:sz="4" w:space="0"/>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项目支出</w:t>
            </w:r>
          </w:p>
        </w:tc>
        <w:tc>
          <w:tcPr>
            <w:tcW w:w="0" w:type="auto"/>
            <w:gridSpan w:val="3"/>
            <w:tcBorders>
              <w:left w:val="single" w:color="auto" w:sz="4" w:space="0"/>
              <w:bottom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结余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341" w:hRule="atLeast"/>
          <w:jc w:val="center"/>
        </w:trPr>
        <w:tc>
          <w:tcPr>
            <w:tcW w:w="0" w:type="auto"/>
            <w:vMerge w:val="continue"/>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0" w:type="auto"/>
            <w:vMerge w:val="continue"/>
            <w:tcBorders>
              <w:left w:val="single" w:color="auto" w:sz="4" w:space="0"/>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0" w:type="auto"/>
            <w:gridSpan w:val="3"/>
            <w:tcBorders>
              <w:top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人员支出</w:t>
            </w:r>
          </w:p>
        </w:tc>
        <w:tc>
          <w:tcPr>
            <w:tcW w:w="0" w:type="auto"/>
            <w:gridSpan w:val="3"/>
            <w:tcBorders>
              <w:top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公用支出</w:t>
            </w:r>
          </w:p>
        </w:tc>
        <w:tc>
          <w:tcPr>
            <w:tcW w:w="0" w:type="auto"/>
            <w:gridSpan w:val="2"/>
            <w:vMerge w:val="continue"/>
            <w:tcBorders>
              <w:left w:val="single" w:color="auto" w:sz="4" w:space="0"/>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0" w:type="auto"/>
            <w:gridSpan w:val="2"/>
            <w:tcBorders>
              <w:top w:val="single" w:color="auto" w:sz="4" w:space="0"/>
              <w:left w:val="single" w:color="auto" w:sz="4" w:space="0"/>
              <w:right w:val="single" w:color="auto" w:sz="4" w:space="0"/>
            </w:tcBorders>
            <w:noWrap w:val="0"/>
            <w:vAlign w:val="center"/>
          </w:tcPr>
          <w:p>
            <w:pPr>
              <w:autoSpaceDN w:val="0"/>
              <w:spacing w:line="320" w:lineRule="exac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当年结余</w:t>
            </w:r>
          </w:p>
        </w:tc>
        <w:tc>
          <w:tcPr>
            <w:tcW w:w="0" w:type="auto"/>
            <w:tcBorders>
              <w:top w:val="single" w:color="auto" w:sz="4" w:space="0"/>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累计结余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68" w:hRule="atLeast"/>
          <w:jc w:val="center"/>
        </w:trPr>
        <w:tc>
          <w:tcPr>
            <w:tcW w:w="0" w:type="auto"/>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478.65</w:t>
            </w:r>
          </w:p>
        </w:tc>
        <w:tc>
          <w:tcPr>
            <w:tcW w:w="0" w:type="auto"/>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478.65</w:t>
            </w:r>
          </w:p>
        </w:tc>
        <w:tc>
          <w:tcPr>
            <w:tcW w:w="0" w:type="auto"/>
            <w:gridSpan w:val="3"/>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339.70</w:t>
            </w:r>
          </w:p>
        </w:tc>
        <w:tc>
          <w:tcPr>
            <w:tcW w:w="0" w:type="auto"/>
            <w:gridSpan w:val="3"/>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138.95</w:t>
            </w:r>
          </w:p>
        </w:tc>
        <w:tc>
          <w:tcPr>
            <w:tcW w:w="0" w:type="auto"/>
            <w:gridSpan w:val="2"/>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0" w:type="auto"/>
            <w:gridSpan w:val="2"/>
            <w:tcBorders>
              <w:left w:val="single" w:color="auto" w:sz="4" w:space="0"/>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0" w:type="auto"/>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325" w:hRule="atLeast"/>
          <w:jc w:val="center"/>
        </w:trPr>
        <w:tc>
          <w:tcPr>
            <w:tcW w:w="0" w:type="auto"/>
            <w:vMerge w:val="restart"/>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三公经费合计</w:t>
            </w:r>
          </w:p>
        </w:tc>
        <w:tc>
          <w:tcPr>
            <w:tcW w:w="0" w:type="auto"/>
            <w:gridSpan w:val="12"/>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68" w:hRule="atLeast"/>
          <w:jc w:val="center"/>
        </w:trPr>
        <w:tc>
          <w:tcPr>
            <w:tcW w:w="0" w:type="auto"/>
            <w:vMerge w:val="continue"/>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0" w:type="auto"/>
            <w:gridSpan w:val="2"/>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公务接待费</w:t>
            </w:r>
          </w:p>
        </w:tc>
        <w:tc>
          <w:tcPr>
            <w:tcW w:w="0" w:type="auto"/>
            <w:gridSpan w:val="4"/>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公务用车运维费</w:t>
            </w:r>
          </w:p>
        </w:tc>
        <w:tc>
          <w:tcPr>
            <w:tcW w:w="0" w:type="auto"/>
            <w:gridSpan w:val="4"/>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公务用车购置费</w:t>
            </w:r>
          </w:p>
        </w:tc>
        <w:tc>
          <w:tcPr>
            <w:tcW w:w="0" w:type="auto"/>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因公出国费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68" w:hRule="atLeast"/>
          <w:jc w:val="center"/>
        </w:trPr>
        <w:tc>
          <w:tcPr>
            <w:tcW w:w="0" w:type="auto"/>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0</w:t>
            </w:r>
          </w:p>
        </w:tc>
        <w:tc>
          <w:tcPr>
            <w:tcW w:w="0" w:type="auto"/>
            <w:gridSpan w:val="2"/>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0</w:t>
            </w:r>
          </w:p>
        </w:tc>
        <w:tc>
          <w:tcPr>
            <w:tcW w:w="0" w:type="auto"/>
            <w:gridSpan w:val="4"/>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0</w:t>
            </w:r>
          </w:p>
        </w:tc>
        <w:tc>
          <w:tcPr>
            <w:tcW w:w="0" w:type="auto"/>
            <w:gridSpan w:val="4"/>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0</w:t>
            </w:r>
          </w:p>
        </w:tc>
        <w:tc>
          <w:tcPr>
            <w:tcW w:w="0" w:type="auto"/>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325" w:hRule="atLeast"/>
          <w:jc w:val="center"/>
        </w:trPr>
        <w:tc>
          <w:tcPr>
            <w:tcW w:w="0" w:type="auto"/>
            <w:vMerge w:val="restart"/>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固定资产合计</w:t>
            </w:r>
          </w:p>
        </w:tc>
        <w:tc>
          <w:tcPr>
            <w:tcW w:w="0" w:type="auto"/>
            <w:gridSpan w:val="8"/>
            <w:tcBorders>
              <w:left w:val="single" w:color="auto" w:sz="4" w:space="0"/>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c>
          <w:tcPr>
            <w:tcW w:w="0" w:type="auto"/>
            <w:gridSpan w:val="4"/>
            <w:vMerge w:val="restart"/>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68" w:hRule="atLeast"/>
          <w:jc w:val="center"/>
        </w:trPr>
        <w:tc>
          <w:tcPr>
            <w:tcW w:w="0" w:type="auto"/>
            <w:vMerge w:val="continue"/>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0" w:type="auto"/>
            <w:gridSpan w:val="3"/>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在用固定资产</w:t>
            </w:r>
          </w:p>
        </w:tc>
        <w:tc>
          <w:tcPr>
            <w:tcW w:w="0" w:type="auto"/>
            <w:gridSpan w:val="5"/>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出租固定资产</w:t>
            </w:r>
          </w:p>
        </w:tc>
        <w:tc>
          <w:tcPr>
            <w:tcW w:w="0" w:type="auto"/>
            <w:gridSpan w:val="4"/>
            <w:vMerge w:val="continue"/>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68" w:hRule="atLeast"/>
          <w:jc w:val="center"/>
        </w:trPr>
        <w:tc>
          <w:tcPr>
            <w:tcW w:w="0" w:type="auto"/>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27.96</w:t>
            </w:r>
          </w:p>
        </w:tc>
        <w:tc>
          <w:tcPr>
            <w:tcW w:w="0" w:type="auto"/>
            <w:gridSpan w:val="3"/>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27.96</w:t>
            </w:r>
          </w:p>
        </w:tc>
        <w:tc>
          <w:tcPr>
            <w:tcW w:w="0" w:type="auto"/>
            <w:gridSpan w:val="5"/>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0" w:type="auto"/>
            <w:gridSpan w:val="4"/>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68" w:hRule="atLeast"/>
          <w:jc w:val="center"/>
        </w:trPr>
        <w:tc>
          <w:tcPr>
            <w:tcW w:w="0" w:type="auto"/>
            <w:gridSpan w:val="13"/>
            <w:noWrap w:val="0"/>
            <w:vAlign w:val="center"/>
          </w:tcPr>
          <w:p>
            <w:pPr>
              <w:autoSpaceDN w:val="0"/>
              <w:spacing w:before="156" w:beforeLines="50" w:line="320" w:lineRule="exact"/>
              <w:ind w:firstLine="240" w:firstLineChars="100"/>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单位领导（签字）：</w:t>
            </w: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                                                         公  章</w:t>
            </w:r>
          </w:p>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 </w:t>
            </w:r>
          </w:p>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                                                       年    月   日</w:t>
            </w:r>
          </w:p>
          <w:p>
            <w:pPr>
              <w:autoSpaceDN w:val="0"/>
              <w:spacing w:line="320" w:lineRule="exact"/>
              <w:textAlignment w:val="center"/>
              <w:rPr>
                <w:rFonts w:hint="eastAsia" w:ascii="仿宋_GB2312" w:hAnsi="仿宋_GB2312" w:eastAsia="仿宋_GB2312" w:cs="仿宋_GB2312"/>
                <w:color w:val="000000"/>
                <w:sz w:val="24"/>
              </w:rPr>
            </w:pPr>
          </w:p>
        </w:tc>
      </w:tr>
    </w:tbl>
    <w:p>
      <w:r>
        <w:rPr>
          <w:rFonts w:hint="eastAsia" w:eastAsia="仿宋_GB2312" w:cs="仿宋_GB2312"/>
          <w:bCs/>
          <w:sz w:val="28"/>
          <w:szCs w:val="28"/>
        </w:rPr>
        <w:t>填报人（签名）：杨宁                     联系电话：13873005399</w:t>
      </w:r>
    </w:p>
    <w:p>
      <w:pPr>
        <w:ind w:firstLine="640" w:firstLineChars="200"/>
        <w:jc w:val="left"/>
        <w:rPr>
          <w:rFonts w:hint="eastAsia" w:cs="黑体" w:asciiTheme="minorEastAsia" w:hAnsiTheme="minorEastAsia"/>
          <w:b/>
          <w:color w:val="000000"/>
          <w:kern w:val="0"/>
          <w:sz w:val="32"/>
          <w:szCs w:val="32"/>
        </w:rPr>
      </w:pPr>
    </w:p>
    <w:p>
      <w:pPr>
        <w:ind w:firstLine="640" w:firstLineChars="200"/>
        <w:jc w:val="left"/>
        <w:rPr>
          <w:rFonts w:cs="黑体" w:asciiTheme="minorEastAsia" w:hAnsiTheme="minorEastAsia"/>
          <w:color w:val="000000"/>
          <w:kern w:val="0"/>
          <w:sz w:val="32"/>
          <w:szCs w:val="32"/>
        </w:rPr>
      </w:pPr>
    </w:p>
    <w:p>
      <w:pPr>
        <w:ind w:firstLine="640" w:firstLineChars="200"/>
        <w:jc w:val="left"/>
        <w:rPr>
          <w:rFonts w:cs="黑体" w:asciiTheme="minorEastAsia" w:hAnsiTheme="minorEastAsia"/>
          <w:color w:val="000000"/>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6A298D"/>
    <w:multiLevelType w:val="singleLevel"/>
    <w:tmpl w:val="B16A298D"/>
    <w:lvl w:ilvl="0" w:tentative="0">
      <w:start w:val="9"/>
      <w:numFmt w:val="chineseCounting"/>
      <w:suff w:val="nothing"/>
      <w:lvlText w:val="%1、"/>
      <w:lvlJc w:val="left"/>
      <w:rPr>
        <w:rFonts w:hint="eastAsia"/>
      </w:rPr>
    </w:lvl>
  </w:abstractNum>
  <w:abstractNum w:abstractNumId="1">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jAyY2NjYWY0NDFlNmY3YWVjMmFlMWExMWMzMDYzZTMifQ=="/>
  </w:docVars>
  <w:rsids>
    <w:rsidRoot w:val="00172A27"/>
    <w:rsid w:val="00017CE6"/>
    <w:rsid w:val="0002229B"/>
    <w:rsid w:val="000273BD"/>
    <w:rsid w:val="000415B7"/>
    <w:rsid w:val="00041E3F"/>
    <w:rsid w:val="00055DAA"/>
    <w:rsid w:val="00061F7B"/>
    <w:rsid w:val="000658A3"/>
    <w:rsid w:val="0006700C"/>
    <w:rsid w:val="00074155"/>
    <w:rsid w:val="000873EF"/>
    <w:rsid w:val="000A3F69"/>
    <w:rsid w:val="000B7201"/>
    <w:rsid w:val="000C1AAB"/>
    <w:rsid w:val="001025A0"/>
    <w:rsid w:val="00103957"/>
    <w:rsid w:val="00124A1F"/>
    <w:rsid w:val="00152C6D"/>
    <w:rsid w:val="00162D39"/>
    <w:rsid w:val="00166D68"/>
    <w:rsid w:val="001678BD"/>
    <w:rsid w:val="00172A27"/>
    <w:rsid w:val="00182373"/>
    <w:rsid w:val="001925DB"/>
    <w:rsid w:val="001A67DB"/>
    <w:rsid w:val="001B47DC"/>
    <w:rsid w:val="001C3C29"/>
    <w:rsid w:val="001D51E5"/>
    <w:rsid w:val="001E080D"/>
    <w:rsid w:val="001E53D0"/>
    <w:rsid w:val="001F0C3B"/>
    <w:rsid w:val="00202C14"/>
    <w:rsid w:val="00202C82"/>
    <w:rsid w:val="00214427"/>
    <w:rsid w:val="00226CB7"/>
    <w:rsid w:val="00232A9E"/>
    <w:rsid w:val="00264552"/>
    <w:rsid w:val="00264EF9"/>
    <w:rsid w:val="00265724"/>
    <w:rsid w:val="0027426B"/>
    <w:rsid w:val="002A3D8D"/>
    <w:rsid w:val="002B6B95"/>
    <w:rsid w:val="002E0A30"/>
    <w:rsid w:val="003130C4"/>
    <w:rsid w:val="00316C4B"/>
    <w:rsid w:val="0032192B"/>
    <w:rsid w:val="00322D64"/>
    <w:rsid w:val="003479BD"/>
    <w:rsid w:val="003674A8"/>
    <w:rsid w:val="0037197D"/>
    <w:rsid w:val="00373F02"/>
    <w:rsid w:val="003768D5"/>
    <w:rsid w:val="003C4197"/>
    <w:rsid w:val="003C47E6"/>
    <w:rsid w:val="003C4FC2"/>
    <w:rsid w:val="003E2331"/>
    <w:rsid w:val="00416E61"/>
    <w:rsid w:val="00420BEF"/>
    <w:rsid w:val="00423537"/>
    <w:rsid w:val="0042790C"/>
    <w:rsid w:val="00440696"/>
    <w:rsid w:val="004506F9"/>
    <w:rsid w:val="00462E6A"/>
    <w:rsid w:val="004717A2"/>
    <w:rsid w:val="00473DF3"/>
    <w:rsid w:val="00480D5E"/>
    <w:rsid w:val="00487911"/>
    <w:rsid w:val="00491741"/>
    <w:rsid w:val="004B0CEE"/>
    <w:rsid w:val="004C1F33"/>
    <w:rsid w:val="004D03C6"/>
    <w:rsid w:val="00500E5F"/>
    <w:rsid w:val="005122EF"/>
    <w:rsid w:val="0051441A"/>
    <w:rsid w:val="00517C33"/>
    <w:rsid w:val="00517D5F"/>
    <w:rsid w:val="00521AF2"/>
    <w:rsid w:val="00523644"/>
    <w:rsid w:val="0054069E"/>
    <w:rsid w:val="00543AE4"/>
    <w:rsid w:val="00544866"/>
    <w:rsid w:val="005767CC"/>
    <w:rsid w:val="00581C89"/>
    <w:rsid w:val="00590D9F"/>
    <w:rsid w:val="00595D26"/>
    <w:rsid w:val="005A74E6"/>
    <w:rsid w:val="005B404E"/>
    <w:rsid w:val="005C31BE"/>
    <w:rsid w:val="005D4D55"/>
    <w:rsid w:val="005E2CFB"/>
    <w:rsid w:val="005E70FE"/>
    <w:rsid w:val="005F2103"/>
    <w:rsid w:val="005F3D1C"/>
    <w:rsid w:val="0062378F"/>
    <w:rsid w:val="00641842"/>
    <w:rsid w:val="00651EEC"/>
    <w:rsid w:val="00686673"/>
    <w:rsid w:val="00691E8C"/>
    <w:rsid w:val="00692144"/>
    <w:rsid w:val="006A22C4"/>
    <w:rsid w:val="006A348B"/>
    <w:rsid w:val="006A351B"/>
    <w:rsid w:val="006A51F6"/>
    <w:rsid w:val="006B0422"/>
    <w:rsid w:val="006C1B53"/>
    <w:rsid w:val="006D7730"/>
    <w:rsid w:val="006E5284"/>
    <w:rsid w:val="006F3EB5"/>
    <w:rsid w:val="00702E34"/>
    <w:rsid w:val="00704395"/>
    <w:rsid w:val="00710FE7"/>
    <w:rsid w:val="00717621"/>
    <w:rsid w:val="00720FF1"/>
    <w:rsid w:val="00727A53"/>
    <w:rsid w:val="00766805"/>
    <w:rsid w:val="00787B42"/>
    <w:rsid w:val="007A1E36"/>
    <w:rsid w:val="007A4A5E"/>
    <w:rsid w:val="007B1144"/>
    <w:rsid w:val="007C4539"/>
    <w:rsid w:val="007D61F2"/>
    <w:rsid w:val="007D6768"/>
    <w:rsid w:val="007E226B"/>
    <w:rsid w:val="007F3657"/>
    <w:rsid w:val="00812ED5"/>
    <w:rsid w:val="008277D9"/>
    <w:rsid w:val="0084478C"/>
    <w:rsid w:val="0086638C"/>
    <w:rsid w:val="008761FD"/>
    <w:rsid w:val="008A3E8D"/>
    <w:rsid w:val="008A6171"/>
    <w:rsid w:val="008E3F57"/>
    <w:rsid w:val="009237C4"/>
    <w:rsid w:val="00944C48"/>
    <w:rsid w:val="00950252"/>
    <w:rsid w:val="00955B29"/>
    <w:rsid w:val="00967F5D"/>
    <w:rsid w:val="00976CA2"/>
    <w:rsid w:val="00984464"/>
    <w:rsid w:val="009A0F95"/>
    <w:rsid w:val="009A23D0"/>
    <w:rsid w:val="009A75B3"/>
    <w:rsid w:val="009B3ADF"/>
    <w:rsid w:val="009C3B52"/>
    <w:rsid w:val="009E6817"/>
    <w:rsid w:val="009E6E9A"/>
    <w:rsid w:val="00A01D2B"/>
    <w:rsid w:val="00A026B8"/>
    <w:rsid w:val="00A37498"/>
    <w:rsid w:val="00A42218"/>
    <w:rsid w:val="00A70249"/>
    <w:rsid w:val="00A70B02"/>
    <w:rsid w:val="00A71D9F"/>
    <w:rsid w:val="00A92E9F"/>
    <w:rsid w:val="00B2318B"/>
    <w:rsid w:val="00B25071"/>
    <w:rsid w:val="00B33BEA"/>
    <w:rsid w:val="00B57C9F"/>
    <w:rsid w:val="00B61F86"/>
    <w:rsid w:val="00B63572"/>
    <w:rsid w:val="00B71106"/>
    <w:rsid w:val="00B845B3"/>
    <w:rsid w:val="00B85D8B"/>
    <w:rsid w:val="00BB4A40"/>
    <w:rsid w:val="00BB7C4B"/>
    <w:rsid w:val="00BD6C3E"/>
    <w:rsid w:val="00BE3674"/>
    <w:rsid w:val="00C10681"/>
    <w:rsid w:val="00C156B1"/>
    <w:rsid w:val="00C3049A"/>
    <w:rsid w:val="00C31B1E"/>
    <w:rsid w:val="00C4244B"/>
    <w:rsid w:val="00C77645"/>
    <w:rsid w:val="00CB1B3F"/>
    <w:rsid w:val="00CD7C04"/>
    <w:rsid w:val="00CE04C3"/>
    <w:rsid w:val="00CE5C7F"/>
    <w:rsid w:val="00CE76A0"/>
    <w:rsid w:val="00CF187F"/>
    <w:rsid w:val="00D148C6"/>
    <w:rsid w:val="00D17A8A"/>
    <w:rsid w:val="00D415BA"/>
    <w:rsid w:val="00D4595C"/>
    <w:rsid w:val="00D63780"/>
    <w:rsid w:val="00D644EE"/>
    <w:rsid w:val="00D75489"/>
    <w:rsid w:val="00DA07A9"/>
    <w:rsid w:val="00DD06FF"/>
    <w:rsid w:val="00DD5FE9"/>
    <w:rsid w:val="00E00C7A"/>
    <w:rsid w:val="00E135DA"/>
    <w:rsid w:val="00E209CF"/>
    <w:rsid w:val="00E30A77"/>
    <w:rsid w:val="00E37D6C"/>
    <w:rsid w:val="00E55B68"/>
    <w:rsid w:val="00E67BE6"/>
    <w:rsid w:val="00E8683C"/>
    <w:rsid w:val="00EA2B72"/>
    <w:rsid w:val="00ED2BB0"/>
    <w:rsid w:val="00F67DDE"/>
    <w:rsid w:val="00F74360"/>
    <w:rsid w:val="00FA2727"/>
    <w:rsid w:val="00FB462F"/>
    <w:rsid w:val="00FE16FA"/>
    <w:rsid w:val="00FE328A"/>
    <w:rsid w:val="00FE6269"/>
    <w:rsid w:val="00FF10DC"/>
    <w:rsid w:val="00FF4570"/>
    <w:rsid w:val="00FF5CD6"/>
    <w:rsid w:val="04D1469F"/>
    <w:rsid w:val="05633A58"/>
    <w:rsid w:val="06B411F0"/>
    <w:rsid w:val="087403E0"/>
    <w:rsid w:val="0BE56081"/>
    <w:rsid w:val="13BE003E"/>
    <w:rsid w:val="17A87124"/>
    <w:rsid w:val="27DB542D"/>
    <w:rsid w:val="2BFB2B28"/>
    <w:rsid w:val="366364DD"/>
    <w:rsid w:val="370B6762"/>
    <w:rsid w:val="45F9639D"/>
    <w:rsid w:val="48ED43E7"/>
    <w:rsid w:val="5FDE7E9B"/>
    <w:rsid w:val="60A907EA"/>
    <w:rsid w:val="61134A05"/>
    <w:rsid w:val="6145544E"/>
    <w:rsid w:val="6DF327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paragraph" w:customStyle="1" w:styleId="9">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0">
    <w:name w:val="List Paragraph"/>
    <w:basedOn w:val="1"/>
    <w:qFormat/>
    <w:uiPriority w:val="34"/>
    <w:pPr>
      <w:ind w:firstLine="420" w:firstLineChars="200"/>
    </w:pPr>
  </w:style>
  <w:style w:type="character" w:customStyle="1" w:styleId="11">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832EC9-A031-41E7-8C42-12D3824934F4}">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19</Pages>
  <Words>926</Words>
  <Characters>5284</Characters>
  <Lines>44</Lines>
  <Paragraphs>12</Paragraphs>
  <TotalTime>0</TotalTime>
  <ScaleCrop>false</ScaleCrop>
  <LinksUpToDate>false</LinksUpToDate>
  <CharactersWithSpaces>6198</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2020-07-02T02:32:00Z</dcterms:created>
  <dc:creator>李航 null</dc:creator>
  <cp:lastModifiedBy>何蔚</cp:lastModifiedBy>
  <cp:lastPrinted>2022-07-27T12:55:00Z</cp:lastPrinted>
  <dcterms:modified xsi:type="dcterms:W3CDTF">2023-09-22T17:26:22Z</dcterms:modified>
  <cp:revision>104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C02081F76A1C414C807C3137DC2EA958</vt:lpwstr>
  </property>
</Properties>
</file>