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center"/>
        <w:rPr>
          <w:sz w:val="56"/>
          <w:szCs w:val="56"/>
        </w:rPr>
      </w:pPr>
    </w:p>
    <w:p>
      <w:pPr>
        <w:pStyle w:val="11"/>
        <w:jc w:val="center"/>
        <w:rPr>
          <w:sz w:val="56"/>
          <w:szCs w:val="56"/>
        </w:rPr>
      </w:pPr>
    </w:p>
    <w:p>
      <w:pPr>
        <w:pStyle w:val="11"/>
        <w:jc w:val="center"/>
        <w:rPr>
          <w:sz w:val="84"/>
          <w:szCs w:val="84"/>
        </w:rPr>
      </w:pPr>
    </w:p>
    <w:p>
      <w:pPr>
        <w:pStyle w:val="11"/>
        <w:jc w:val="center"/>
        <w:rPr>
          <w:sz w:val="84"/>
          <w:szCs w:val="84"/>
        </w:rPr>
      </w:pPr>
    </w:p>
    <w:p>
      <w:pPr>
        <w:pStyle w:val="11"/>
        <w:jc w:val="center"/>
        <w:rPr>
          <w:rFonts w:hint="eastAsia"/>
          <w:sz w:val="84"/>
          <w:szCs w:val="84"/>
        </w:rPr>
      </w:pPr>
      <w:r>
        <w:rPr>
          <w:rFonts w:hint="eastAsia"/>
          <w:sz w:val="84"/>
          <w:szCs w:val="84"/>
        </w:rPr>
        <w:t>202</w:t>
      </w:r>
      <w:r>
        <w:rPr>
          <w:rFonts w:hint="eastAsia"/>
          <w:sz w:val="84"/>
          <w:szCs w:val="84"/>
          <w:lang w:val="en-US" w:eastAsia="zh-CN"/>
        </w:rPr>
        <w:t>1</w:t>
      </w:r>
      <w:r>
        <w:rPr>
          <w:rFonts w:hint="eastAsia"/>
          <w:sz w:val="84"/>
          <w:szCs w:val="84"/>
        </w:rPr>
        <w:t>年度</w:t>
      </w:r>
    </w:p>
    <w:p>
      <w:pPr>
        <w:pStyle w:val="11"/>
        <w:jc w:val="center"/>
        <w:rPr>
          <w:rFonts w:hint="eastAsia"/>
          <w:sz w:val="84"/>
          <w:szCs w:val="84"/>
          <w:lang w:eastAsia="zh-CN"/>
        </w:rPr>
      </w:pPr>
      <w:r>
        <w:rPr>
          <w:rFonts w:hint="eastAsia"/>
          <w:sz w:val="84"/>
          <w:szCs w:val="84"/>
          <w:lang w:eastAsia="zh-CN"/>
        </w:rPr>
        <w:t>岳阳市</w:t>
      </w:r>
      <w:r>
        <w:rPr>
          <w:rFonts w:hint="eastAsia"/>
          <w:sz w:val="84"/>
          <w:szCs w:val="84"/>
          <w:lang w:val="en-US" w:eastAsia="zh-CN"/>
        </w:rPr>
        <w:t>城建项目管理</w:t>
      </w:r>
      <w:r>
        <w:rPr>
          <w:rFonts w:hint="eastAsia"/>
          <w:sz w:val="84"/>
          <w:szCs w:val="84"/>
          <w:lang w:eastAsia="zh-CN"/>
        </w:rPr>
        <w:t>中心</w:t>
      </w:r>
    </w:p>
    <w:p>
      <w:pPr>
        <w:pStyle w:val="11"/>
        <w:jc w:val="center"/>
        <w:rPr>
          <w:sz w:val="84"/>
          <w:szCs w:val="84"/>
        </w:rPr>
      </w:pPr>
      <w:r>
        <w:rPr>
          <w:rFonts w:hint="eastAsia"/>
          <w:sz w:val="84"/>
          <w:szCs w:val="84"/>
        </w:rPr>
        <w:t>部门决算</w:t>
      </w:r>
    </w:p>
    <w:p>
      <w:pPr>
        <w:pStyle w:val="11"/>
        <w:jc w:val="center"/>
        <w:rPr>
          <w:sz w:val="56"/>
          <w:szCs w:val="56"/>
        </w:rPr>
      </w:pPr>
    </w:p>
    <w:p>
      <w:pPr>
        <w:pStyle w:val="11"/>
        <w:jc w:val="center"/>
        <w:rPr>
          <w:sz w:val="56"/>
          <w:szCs w:val="56"/>
        </w:rPr>
      </w:pPr>
    </w:p>
    <w:p>
      <w:pPr>
        <w:pStyle w:val="11"/>
        <w:jc w:val="center"/>
        <w:rPr>
          <w:sz w:val="56"/>
          <w:szCs w:val="56"/>
        </w:rPr>
      </w:pPr>
    </w:p>
    <w:p>
      <w:pPr>
        <w:pStyle w:val="11"/>
        <w:jc w:val="center"/>
        <w:rPr>
          <w:sz w:val="56"/>
          <w:szCs w:val="56"/>
        </w:rPr>
      </w:pPr>
    </w:p>
    <w:p>
      <w:pPr>
        <w:pStyle w:val="11"/>
        <w:jc w:val="center"/>
        <w:rPr>
          <w:sz w:val="32"/>
          <w:szCs w:val="32"/>
        </w:rPr>
      </w:pPr>
    </w:p>
    <w:p>
      <w:pPr>
        <w:pStyle w:val="11"/>
        <w:jc w:val="center"/>
        <w:rPr>
          <w:sz w:val="32"/>
          <w:szCs w:val="32"/>
        </w:rPr>
      </w:pPr>
    </w:p>
    <w:p>
      <w:pPr>
        <w:pStyle w:val="11"/>
        <w:spacing w:line="540" w:lineRule="exact"/>
        <w:jc w:val="center"/>
        <w:rPr>
          <w:sz w:val="56"/>
          <w:szCs w:val="56"/>
        </w:rPr>
      </w:pPr>
    </w:p>
    <w:p>
      <w:pPr>
        <w:pStyle w:val="11"/>
        <w:spacing w:line="500" w:lineRule="exact"/>
        <w:jc w:val="center"/>
        <w:rPr>
          <w:b/>
          <w:sz w:val="36"/>
          <w:szCs w:val="28"/>
        </w:rPr>
      </w:pPr>
    </w:p>
    <w:p>
      <w:pPr>
        <w:pStyle w:val="11"/>
        <w:spacing w:line="500" w:lineRule="exact"/>
        <w:jc w:val="center"/>
        <w:rPr>
          <w:b/>
          <w:sz w:val="36"/>
          <w:szCs w:val="28"/>
        </w:rPr>
      </w:pPr>
    </w:p>
    <w:p>
      <w:pPr>
        <w:pStyle w:val="11"/>
        <w:spacing w:line="500" w:lineRule="exact"/>
        <w:jc w:val="center"/>
        <w:rPr>
          <w:rFonts w:hint="eastAsia"/>
          <w:b/>
          <w:sz w:val="36"/>
          <w:szCs w:val="28"/>
        </w:rPr>
      </w:pPr>
    </w:p>
    <w:p>
      <w:pPr>
        <w:pStyle w:val="11"/>
        <w:spacing w:line="500" w:lineRule="exact"/>
        <w:jc w:val="center"/>
        <w:rPr>
          <w:b/>
          <w:sz w:val="36"/>
          <w:szCs w:val="28"/>
        </w:rPr>
      </w:pPr>
      <w:r>
        <w:rPr>
          <w:rFonts w:hint="eastAsia"/>
          <w:b/>
          <w:sz w:val="36"/>
          <w:szCs w:val="28"/>
        </w:rPr>
        <w:t>目录</w:t>
      </w:r>
    </w:p>
    <w:p>
      <w:pPr>
        <w:pStyle w:val="11"/>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val="en-US" w:eastAsia="zh-CN"/>
        </w:rPr>
        <w:t xml:space="preserve"> 岳阳</w:t>
      </w:r>
      <w:r>
        <w:rPr>
          <w:rFonts w:hint="eastAsia"/>
          <w:b/>
          <w:sz w:val="28"/>
          <w:szCs w:val="28"/>
          <w:lang w:eastAsia="zh-CN"/>
        </w:rPr>
        <w:t>市</w:t>
      </w:r>
      <w:r>
        <w:rPr>
          <w:rFonts w:hint="eastAsia"/>
          <w:b/>
          <w:sz w:val="28"/>
          <w:szCs w:val="28"/>
          <w:lang w:val="en-US" w:eastAsia="zh-CN"/>
        </w:rPr>
        <w:t>城建项目管理</w:t>
      </w:r>
      <w:r>
        <w:rPr>
          <w:rFonts w:hint="eastAsia"/>
          <w:b/>
          <w:sz w:val="28"/>
          <w:szCs w:val="28"/>
          <w:lang w:eastAsia="zh-CN"/>
        </w:rPr>
        <w:t>中心</w:t>
      </w:r>
      <w:r>
        <w:rPr>
          <w:rFonts w:hint="eastAsia"/>
          <w:b/>
          <w:sz w:val="28"/>
          <w:szCs w:val="28"/>
        </w:rPr>
        <w:t>概况</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1"/>
        <w:spacing w:line="500" w:lineRule="exact"/>
        <w:ind w:firstLine="700" w:firstLineChars="250"/>
        <w:rPr>
          <w:rFonts w:hint="default" w:cs="仿宋_GB2312" w:asciiTheme="minorEastAsia" w:hAnsiTheme="minorEastAsia" w:eastAsiaTheme="minorEastAsia"/>
          <w:sz w:val="28"/>
          <w:szCs w:val="28"/>
          <w:lang w:val="en-US" w:eastAsia="zh-CN"/>
        </w:rPr>
      </w:pPr>
      <w:r>
        <w:rPr>
          <w:rFonts w:cs="仿宋_GB2312" w:asciiTheme="minorEastAsia" w:hAnsiTheme="minorEastAsia" w:eastAsiaTheme="minorEastAsia"/>
          <w:sz w:val="28"/>
          <w:szCs w:val="28"/>
        </w:rPr>
        <w:t>二、机构设置</w:t>
      </w:r>
      <w:r>
        <w:rPr>
          <w:rFonts w:hint="eastAsia" w:cs="仿宋_GB2312" w:asciiTheme="minorEastAsia" w:hAnsiTheme="minorEastAsia" w:eastAsiaTheme="minorEastAsia"/>
          <w:sz w:val="28"/>
          <w:szCs w:val="28"/>
          <w:lang w:val="en-US" w:eastAsia="zh-CN"/>
        </w:rPr>
        <w:t>及决算单位构成</w:t>
      </w:r>
    </w:p>
    <w:p>
      <w:pPr>
        <w:pStyle w:val="11"/>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w:t>
      </w:r>
      <w:r>
        <w:rPr>
          <w:rFonts w:hint="eastAsia" w:hAnsi="仿宋_GB2312"/>
          <w:b/>
          <w:sz w:val="28"/>
          <w:szCs w:val="28"/>
          <w:lang w:val="en-US" w:eastAsia="zh-CN"/>
        </w:rPr>
        <w:t>1</w:t>
      </w:r>
      <w:r>
        <w:rPr>
          <w:rFonts w:hint="eastAsia" w:hAnsi="仿宋_GB2312"/>
          <w:b/>
          <w:sz w:val="28"/>
          <w:szCs w:val="28"/>
        </w:rPr>
        <w:t>年度部门决算表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lang w:eastAsia="zh-CN"/>
        </w:rPr>
        <w:t>明细</w:t>
      </w:r>
      <w:r>
        <w:rPr>
          <w:rFonts w:cs="仿宋_GB2312" w:asciiTheme="minorEastAsia" w:hAnsiTheme="minorEastAsia" w:eastAsiaTheme="minorEastAsia"/>
          <w:sz w:val="28"/>
          <w:szCs w:val="28"/>
        </w:rPr>
        <w:t>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1"/>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1"/>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w:t>
      </w:r>
      <w:r>
        <w:rPr>
          <w:rFonts w:hint="eastAsia" w:hAnsi="仿宋_GB2312"/>
          <w:b/>
          <w:sz w:val="28"/>
          <w:szCs w:val="28"/>
          <w:lang w:val="en-US" w:eastAsia="zh-CN"/>
        </w:rPr>
        <w:t>1</w:t>
      </w:r>
      <w:r>
        <w:rPr>
          <w:rFonts w:hint="eastAsia" w:hAnsi="仿宋_GB2312"/>
          <w:b/>
          <w:sz w:val="28"/>
          <w:szCs w:val="28"/>
        </w:rPr>
        <w:t>年度部门决算情况说明</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 xml:space="preserve">     九、国有资本经营预算财政拨款支出决算情况</w:t>
      </w:r>
    </w:p>
    <w:p>
      <w:pPr>
        <w:autoSpaceDE w:val="0"/>
        <w:autoSpaceDN w:val="0"/>
        <w:adjustRightInd w:val="0"/>
        <w:spacing w:line="500" w:lineRule="exact"/>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 xml:space="preserve">     十、机关运行经费支出说明</w:t>
      </w:r>
    </w:p>
    <w:p>
      <w:pPr>
        <w:autoSpaceDE w:val="0"/>
        <w:autoSpaceDN w:val="0"/>
        <w:adjustRightInd w:val="0"/>
        <w:spacing w:line="500" w:lineRule="exact"/>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 xml:space="preserve">     十一、一般性支出情况</w:t>
      </w:r>
    </w:p>
    <w:p>
      <w:pPr>
        <w:autoSpaceDE w:val="0"/>
        <w:autoSpaceDN w:val="0"/>
        <w:adjustRightInd w:val="0"/>
        <w:spacing w:line="500" w:lineRule="exact"/>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 xml:space="preserve">     十二、政府采购支出说明</w:t>
      </w:r>
    </w:p>
    <w:p>
      <w:pPr>
        <w:autoSpaceDE w:val="0"/>
        <w:autoSpaceDN w:val="0"/>
        <w:adjustRightInd w:val="0"/>
        <w:spacing w:line="500" w:lineRule="exact"/>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 xml:space="preserve">     十三、国有资产占用情况说明</w:t>
      </w:r>
    </w:p>
    <w:p>
      <w:pPr>
        <w:autoSpaceDE w:val="0"/>
        <w:autoSpaceDN w:val="0"/>
        <w:adjustRightInd w:val="0"/>
        <w:spacing w:line="500" w:lineRule="exact"/>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 xml:space="preserve">     十四、202</w:t>
      </w:r>
      <w:r>
        <w:rPr>
          <w:rFonts w:hint="eastAsia" w:ascii="仿宋_GB2312" w:hAnsi="仿宋_GB2312" w:cs="仿宋_GB2312"/>
          <w:color w:val="000000"/>
          <w:kern w:val="0"/>
          <w:sz w:val="28"/>
          <w:szCs w:val="28"/>
          <w:lang w:val="en-US" w:eastAsia="zh-CN"/>
        </w:rPr>
        <w:t>1</w:t>
      </w:r>
      <w:r>
        <w:rPr>
          <w:rFonts w:hint="eastAsia" w:ascii="仿宋_GB2312" w:hAnsi="仿宋_GB2312" w:cs="仿宋_GB2312"/>
          <w:color w:val="000000"/>
          <w:kern w:val="0"/>
          <w:sz w:val="28"/>
          <w:szCs w:val="28"/>
        </w:rPr>
        <w:t>年度预算绩效情况的说明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1"/>
        <w:jc w:val="center"/>
        <w:rPr>
          <w:sz w:val="84"/>
          <w:szCs w:val="84"/>
        </w:rPr>
      </w:pPr>
      <w:r>
        <w:rPr>
          <w:rFonts w:hint="eastAsia"/>
          <w:sz w:val="84"/>
          <w:szCs w:val="84"/>
        </w:rPr>
        <w:t>第一部分</w:t>
      </w:r>
      <w:r>
        <w:rPr>
          <w:sz w:val="84"/>
          <w:szCs w:val="84"/>
        </w:rPr>
        <w:t xml:space="preserve"> </w:t>
      </w:r>
    </w:p>
    <w:p>
      <w:pPr>
        <w:pStyle w:val="11"/>
        <w:jc w:val="center"/>
        <w:rPr>
          <w:sz w:val="84"/>
          <w:szCs w:val="84"/>
        </w:rPr>
      </w:pPr>
    </w:p>
    <w:p>
      <w:pPr>
        <w:pStyle w:val="11"/>
        <w:jc w:val="center"/>
        <w:rPr>
          <w:sz w:val="72"/>
          <w:szCs w:val="72"/>
        </w:rPr>
      </w:pPr>
      <w:r>
        <w:rPr>
          <w:rFonts w:hint="eastAsia"/>
          <w:sz w:val="72"/>
          <w:szCs w:val="72"/>
          <w:lang w:val="en-US" w:eastAsia="zh-CN"/>
        </w:rPr>
        <w:t>岳阳市城建项目管理中心</w:t>
      </w:r>
      <w:r>
        <w:rPr>
          <w:rFonts w:hint="eastAsia"/>
          <w:sz w:val="72"/>
          <w:szCs w:val="72"/>
        </w:rPr>
        <w:t>单位概况</w:t>
      </w:r>
    </w:p>
    <w:p>
      <w:pPr>
        <w:pStyle w:val="12"/>
        <w:ind w:left="720" w:firstLine="0" w:firstLineChars="0"/>
        <w:jc w:val="left"/>
        <w:rPr>
          <w:rFonts w:ascii="黑体" w:hAnsi="黑体" w:eastAsia="黑体"/>
          <w:sz w:val="32"/>
          <w:szCs w:val="32"/>
        </w:rPr>
      </w:pPr>
    </w:p>
    <w:p>
      <w:pPr>
        <w:pStyle w:val="12"/>
        <w:ind w:left="720" w:firstLine="0" w:firstLineChars="0"/>
        <w:jc w:val="left"/>
        <w:rPr>
          <w:rFonts w:ascii="黑体" w:hAnsi="黑体" w:eastAsia="黑体"/>
          <w:sz w:val="32"/>
          <w:szCs w:val="32"/>
        </w:rPr>
      </w:pPr>
    </w:p>
    <w:p>
      <w:pPr>
        <w:rPr>
          <w:rFonts w:hint="eastAsia" w:cs="黑体" w:asciiTheme="minorEastAsia" w:hAnsiTheme="minorEastAsia" w:eastAsiaTheme="minorEastAsia"/>
          <w:b/>
          <w:bCs/>
          <w:color w:val="000000"/>
          <w:kern w:val="0"/>
          <w:sz w:val="32"/>
          <w:szCs w:val="32"/>
          <w:lang w:val="en-US" w:eastAsia="zh-CN" w:bidi="ar-SA"/>
        </w:rPr>
      </w:pPr>
      <w:r>
        <w:rPr>
          <w:rFonts w:hint="eastAsia" w:cs="黑体" w:asciiTheme="minorEastAsia" w:hAnsiTheme="minorEastAsia" w:eastAsiaTheme="minorEastAsia"/>
          <w:b/>
          <w:bCs/>
          <w:color w:val="000000"/>
          <w:kern w:val="0"/>
          <w:sz w:val="32"/>
          <w:szCs w:val="32"/>
          <w:lang w:val="en-US" w:eastAsia="zh-CN" w:bidi="ar-SA"/>
        </w:rPr>
        <w:t>一、部门职责</w:t>
      </w:r>
    </w:p>
    <w:p>
      <w:pPr>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我单位成立于2019年12月，是具有独立法人资格、岳阳市住房和城乡建设局下属二级机构，2021年起财务独立核算。依据《关于设立市城建项目管理中心的通知》（岳编办通发[2019]236号）精神，2019年12月6日我单位被批准为财政全额拨款正科级公益一类事业单位。</w:t>
      </w:r>
    </w:p>
    <w:p>
      <w:pPr>
        <w:pStyle w:val="11"/>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 xml:space="preserve">主要职责是：负责统筹推进市本级公益类城建项目的建设管理，项目前期审批事项的报批，项目资金的申报和管理，项目实施的具体组织    </w:t>
      </w:r>
    </w:p>
    <w:p>
      <w:pPr>
        <w:widowControl/>
        <w:spacing w:line="600" w:lineRule="exact"/>
        <w:rPr>
          <w:rFonts w:hint="eastAsia" w:cs="黑体" w:asciiTheme="minorEastAsia" w:hAnsiTheme="minorEastAsia" w:eastAsiaTheme="minorEastAsia"/>
          <w:b/>
          <w:bCs/>
          <w:color w:val="000000"/>
          <w:kern w:val="0"/>
          <w:sz w:val="32"/>
          <w:szCs w:val="32"/>
          <w:lang w:val="en-US" w:eastAsia="zh-CN" w:bidi="ar-SA"/>
        </w:rPr>
      </w:pPr>
      <w:r>
        <w:rPr>
          <w:rFonts w:hint="eastAsia" w:cs="黑体" w:asciiTheme="minorEastAsia" w:hAnsiTheme="minorEastAsia" w:eastAsiaTheme="minorEastAsia"/>
          <w:b/>
          <w:bCs/>
          <w:color w:val="000000"/>
          <w:kern w:val="0"/>
          <w:sz w:val="32"/>
          <w:szCs w:val="32"/>
          <w:lang w:val="en-US" w:eastAsia="zh-CN" w:bidi="ar-SA"/>
        </w:rPr>
        <w:t>二、机构设置及决算单位构成</w:t>
      </w:r>
    </w:p>
    <w:p>
      <w:pPr>
        <w:pStyle w:val="11"/>
        <w:ind w:firstLine="800" w:firstLineChars="25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一、内设机构设置： 内设：综合办公室、财务室、工程管理室三个部门。共有在编人员11人。无退休人员。</w:t>
      </w:r>
    </w:p>
    <w:p>
      <w:pPr>
        <w:pStyle w:val="11"/>
        <w:ind w:firstLine="800" w:firstLineChars="25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二、决算单位构成：市城建项目管理中心2021年部门决算公开单位是岳阳市城建项目管理中心本级</w:t>
      </w:r>
    </w:p>
    <w:p>
      <w:pPr>
        <w:pStyle w:val="11"/>
        <w:ind w:firstLine="800" w:firstLineChars="250"/>
        <w:rPr>
          <w:rFonts w:hint="eastAsia" w:asciiTheme="minorEastAsia" w:hAnsiTheme="minorEastAsia" w:eastAsiaTheme="minorEastAsia"/>
          <w:sz w:val="32"/>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rFonts w:hint="eastAsia"/>
          <w:sz w:val="72"/>
          <w:szCs w:val="72"/>
          <w:lang w:val="en-US" w:eastAsia="zh-CN"/>
        </w:rPr>
      </w:pPr>
      <w:r>
        <w:rPr>
          <w:rFonts w:hint="eastAsia"/>
          <w:sz w:val="72"/>
          <w:szCs w:val="72"/>
          <w:lang w:val="en-US" w:eastAsia="zh-CN"/>
        </w:rPr>
        <w:t>岳阳市城建项目管理中心</w:t>
      </w:r>
    </w:p>
    <w:p>
      <w:pPr>
        <w:jc w:val="center"/>
        <w:rPr>
          <w:sz w:val="72"/>
          <w:szCs w:val="72"/>
        </w:rPr>
      </w:pPr>
      <w:r>
        <w:rPr>
          <w:rFonts w:hint="eastAsia"/>
          <w:sz w:val="72"/>
          <w:szCs w:val="72"/>
          <w:lang w:val="en-US" w:eastAsia="zh-CN"/>
        </w:rPr>
        <w:t>2021年度</w:t>
      </w:r>
      <w:r>
        <w:rPr>
          <w:rFonts w:hint="eastAsia"/>
          <w:sz w:val="72"/>
          <w:szCs w:val="72"/>
        </w:rPr>
        <w:t>部门决算表</w:t>
      </w:r>
    </w:p>
    <w:p>
      <w:pPr>
        <w:jc w:val="center"/>
        <w:rPr>
          <w:rFonts w:hint="eastAsia" w:eastAsiaTheme="minorEastAsia"/>
          <w:sz w:val="72"/>
          <w:szCs w:val="72"/>
          <w:lang w:eastAsia="zh-CN"/>
        </w:rPr>
      </w:pPr>
      <w:r>
        <w:rPr>
          <w:rFonts w:hint="eastAsia"/>
          <w:sz w:val="72"/>
          <w:szCs w:val="72"/>
          <w:lang w:eastAsia="zh-CN"/>
        </w:rPr>
        <w:t>（</w:t>
      </w:r>
      <w:r>
        <w:rPr>
          <w:rFonts w:hint="eastAsia"/>
          <w:sz w:val="72"/>
          <w:szCs w:val="72"/>
          <w:lang w:val="en-US" w:eastAsia="zh-CN"/>
        </w:rPr>
        <w:t>见附件</w:t>
      </w:r>
      <w:r>
        <w:rPr>
          <w:rFonts w:hint="eastAsia"/>
          <w:sz w:val="72"/>
          <w:szCs w:val="72"/>
          <w:lang w:eastAsia="zh-CN"/>
        </w:rPr>
        <w:t>）</w:t>
      </w:r>
    </w:p>
    <w:p>
      <w:pPr>
        <w:jc w:val="both"/>
        <w:rPr>
          <w:rFonts w:ascii="黑体" w:hAnsi="黑体" w:eastAsia="黑体"/>
          <w:sz w:val="28"/>
          <w:szCs w:val="28"/>
        </w:rPr>
        <w:sectPr>
          <w:pgSz w:w="16838" w:h="11906" w:orient="landscape"/>
          <w:pgMar w:top="1797" w:right="1440" w:bottom="1797" w:left="1440" w:header="851" w:footer="992" w:gutter="0"/>
          <w:cols w:space="425" w:num="1"/>
          <w:docGrid w:type="linesAndChars" w:linePitch="312" w:charSpace="0"/>
        </w:sectPr>
      </w:pPr>
    </w:p>
    <w:p>
      <w:pPr>
        <w:widowControl/>
        <w:jc w:val="left"/>
        <w:rPr>
          <w:rFonts w:ascii="Times New Roman" w:hAnsi="Times New Roman" w:eastAsia="黑体" w:cs="Times New Roman"/>
          <w:bCs/>
          <w:kern w:val="0"/>
          <w:sz w:val="32"/>
          <w:szCs w:val="32"/>
        </w:rPr>
      </w:pPr>
    </w:p>
    <w:p>
      <w:pPr>
        <w:widowControl/>
        <w:jc w:val="both"/>
        <w:rPr>
          <w:rFonts w:ascii="Times New Roman" w:hAnsi="Times New Roman" w:eastAsia="方正小标宋_GBK" w:cs="Times New Roman"/>
          <w:kern w:val="0"/>
          <w:sz w:val="36"/>
          <w:szCs w:val="36"/>
        </w:rPr>
      </w:pPr>
      <w:bookmarkStart w:id="0" w:name="RANGE!A1:I22"/>
      <w:bookmarkEnd w:id="0"/>
      <w:bookmarkStart w:id="1" w:name="RANGE!A1:F16"/>
    </w:p>
    <w:bookmarkEnd w:id="1"/>
    <w:p>
      <w:pPr>
        <w:pStyle w:val="11"/>
        <w:rPr>
          <w:sz w:val="72"/>
          <w:szCs w:val="72"/>
        </w:rPr>
        <w:sectPr>
          <w:pgSz w:w="16838" w:h="11906" w:orient="landscape"/>
          <w:pgMar w:top="720" w:right="720" w:bottom="720" w:left="720" w:header="851" w:footer="992" w:gutter="0"/>
          <w:cols w:space="425" w:num="1"/>
          <w:docGrid w:type="lines" w:linePitch="312" w:charSpace="0"/>
        </w:sectPr>
      </w:pPr>
    </w:p>
    <w:p>
      <w:pPr>
        <w:pStyle w:val="11"/>
        <w:jc w:val="center"/>
        <w:rPr>
          <w:sz w:val="72"/>
          <w:szCs w:val="72"/>
        </w:rPr>
      </w:pPr>
    </w:p>
    <w:p>
      <w:pPr>
        <w:pStyle w:val="11"/>
        <w:jc w:val="center"/>
        <w:rPr>
          <w:sz w:val="72"/>
          <w:szCs w:val="72"/>
        </w:rPr>
      </w:pPr>
      <w:r>
        <w:rPr>
          <w:rFonts w:hint="eastAsia"/>
          <w:sz w:val="72"/>
          <w:szCs w:val="72"/>
        </w:rPr>
        <w:t>第三部分</w:t>
      </w:r>
    </w:p>
    <w:p>
      <w:pPr>
        <w:pStyle w:val="11"/>
        <w:jc w:val="center"/>
        <w:rPr>
          <w:sz w:val="70"/>
          <w:szCs w:val="70"/>
        </w:rPr>
      </w:pPr>
    </w:p>
    <w:p>
      <w:pPr>
        <w:pStyle w:val="11"/>
        <w:jc w:val="center"/>
        <w:rPr>
          <w:rFonts w:hint="eastAsia"/>
          <w:sz w:val="52"/>
          <w:szCs w:val="52"/>
          <w:lang w:val="en-US" w:eastAsia="zh-CN"/>
        </w:rPr>
      </w:pPr>
      <w:r>
        <w:rPr>
          <w:rFonts w:hint="eastAsia"/>
          <w:sz w:val="52"/>
          <w:szCs w:val="52"/>
          <w:lang w:val="en-US" w:eastAsia="zh-CN"/>
        </w:rPr>
        <w:t>岳阳市城建项目管理中心</w:t>
      </w:r>
    </w:p>
    <w:p>
      <w:pPr>
        <w:pStyle w:val="11"/>
        <w:jc w:val="center"/>
        <w:rPr>
          <w:sz w:val="52"/>
          <w:szCs w:val="52"/>
        </w:rPr>
      </w:pPr>
      <w:r>
        <w:rPr>
          <w:sz w:val="52"/>
          <w:szCs w:val="52"/>
        </w:rPr>
        <w:t>20</w:t>
      </w:r>
      <w:r>
        <w:rPr>
          <w:rFonts w:hint="eastAsia"/>
          <w:sz w:val="52"/>
          <w:szCs w:val="52"/>
        </w:rPr>
        <w:t>2</w:t>
      </w:r>
      <w:r>
        <w:rPr>
          <w:rFonts w:hint="eastAsia"/>
          <w:sz w:val="52"/>
          <w:szCs w:val="52"/>
          <w:lang w:val="en-US" w:eastAsia="zh-CN"/>
        </w:rPr>
        <w:t>1</w:t>
      </w:r>
      <w:r>
        <w:rPr>
          <w:rFonts w:hint="eastAsia"/>
          <w:sz w:val="52"/>
          <w:szCs w:val="52"/>
        </w:rPr>
        <w:t>年度部门决算情况说明</w:t>
      </w:r>
    </w:p>
    <w:p>
      <w:pPr>
        <w:widowControl/>
        <w:jc w:val="left"/>
        <w:rPr>
          <w:rFonts w:ascii="黑体" w:eastAsia="黑体" w:cs="黑体"/>
          <w:color w:val="000000"/>
          <w:kern w:val="0"/>
          <w:sz w:val="52"/>
          <w:szCs w:val="52"/>
        </w:rPr>
      </w:pPr>
      <w:r>
        <w:rPr>
          <w:sz w:val="52"/>
          <w:szCs w:val="52"/>
        </w:rPr>
        <w:br w:type="page"/>
      </w:r>
    </w:p>
    <w:p>
      <w:pPr>
        <w:pStyle w:val="11"/>
        <w:rPr>
          <w:rFonts w:hAnsi="黑体"/>
          <w:b/>
          <w:sz w:val="32"/>
          <w:szCs w:val="32"/>
        </w:rPr>
      </w:pPr>
      <w:r>
        <w:rPr>
          <w:rFonts w:hint="eastAsia" w:hAnsi="黑体"/>
          <w:b/>
          <w:sz w:val="32"/>
          <w:szCs w:val="32"/>
        </w:rPr>
        <w:t>一、收入支出决算总体情况说明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年度收、支总计</w:t>
      </w:r>
      <w:r>
        <w:rPr>
          <w:rFonts w:hint="eastAsia" w:asciiTheme="minorEastAsia" w:hAnsiTheme="minorEastAsia" w:eastAsiaTheme="minorEastAsia"/>
          <w:sz w:val="32"/>
          <w:szCs w:val="32"/>
          <w:lang w:val="en-US" w:eastAsia="zh-CN"/>
        </w:rPr>
        <w:t>178.29</w:t>
      </w:r>
      <w:r>
        <w:rPr>
          <w:rFonts w:hint="eastAsia" w:asciiTheme="minorEastAsia" w:hAnsiTheme="minorEastAsia" w:eastAsiaTheme="minorEastAsia"/>
          <w:sz w:val="32"/>
          <w:szCs w:val="32"/>
        </w:rPr>
        <w:t>万元。与上年</w:t>
      </w:r>
      <w:r>
        <w:rPr>
          <w:rFonts w:hint="eastAsia" w:asciiTheme="minorEastAsia" w:hAnsiTheme="minorEastAsia" w:eastAsiaTheme="minorEastAsia"/>
          <w:sz w:val="32"/>
          <w:szCs w:val="32"/>
          <w:lang w:eastAsia="zh-CN"/>
        </w:rPr>
        <w:t>无可比数据</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我单位为</w:t>
      </w:r>
      <w:r>
        <w:rPr>
          <w:rFonts w:hint="eastAsia" w:asciiTheme="minorEastAsia" w:hAnsiTheme="minorEastAsia" w:eastAsiaTheme="minorEastAsia"/>
          <w:sz w:val="32"/>
          <w:szCs w:val="32"/>
          <w:lang w:val="en-US" w:eastAsia="zh-CN"/>
        </w:rPr>
        <w:t>2021年纳入财政决算新增单位，上年没有数据。</w:t>
      </w:r>
    </w:p>
    <w:p>
      <w:pPr>
        <w:pStyle w:val="11"/>
        <w:rPr>
          <w:rFonts w:hAnsi="黑体"/>
          <w:b/>
          <w:sz w:val="32"/>
          <w:szCs w:val="32"/>
        </w:rPr>
      </w:pPr>
      <w:r>
        <w:rPr>
          <w:rFonts w:hint="eastAsia" w:hAnsi="黑体"/>
          <w:b/>
          <w:sz w:val="32"/>
          <w:szCs w:val="32"/>
        </w:rPr>
        <w:t>二、收入决算情况说明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w:t>
      </w:r>
      <w:r>
        <w:rPr>
          <w:rFonts w:hint="eastAsia" w:asciiTheme="minorEastAsia" w:hAnsiTheme="minorEastAsia" w:eastAsiaTheme="minorEastAsia"/>
          <w:sz w:val="32"/>
          <w:szCs w:val="32"/>
          <w:lang w:val="en-US" w:eastAsia="zh-CN"/>
        </w:rPr>
        <w:t>178.29</w:t>
      </w:r>
      <w:r>
        <w:rPr>
          <w:rFonts w:hint="eastAsia" w:asciiTheme="minorEastAsia" w:hAnsiTheme="minorEastAsia" w:eastAsiaTheme="minorEastAsia"/>
          <w:sz w:val="32"/>
          <w:szCs w:val="32"/>
        </w:rPr>
        <w:t>万元，其中：财政拨款收入</w:t>
      </w:r>
      <w:r>
        <w:rPr>
          <w:rFonts w:hint="eastAsia" w:asciiTheme="minorEastAsia" w:hAnsiTheme="minorEastAsia" w:eastAsiaTheme="minorEastAsia"/>
          <w:sz w:val="32"/>
          <w:szCs w:val="32"/>
          <w:lang w:val="en-US" w:eastAsia="zh-CN"/>
        </w:rPr>
        <w:t>150.29</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84.30</w:t>
      </w:r>
      <w:r>
        <w:rPr>
          <w:rFonts w:hint="eastAsia" w:asciiTheme="minorEastAsia" w:hAnsiTheme="minorEastAsia" w:eastAsiaTheme="minorEastAsia"/>
          <w:sz w:val="32"/>
          <w:szCs w:val="32"/>
        </w:rPr>
        <w:t>%；上级补助收入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万元；事业收入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万元；经营收入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万元；附属单位上缴收入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万元；其他收入</w:t>
      </w:r>
      <w:r>
        <w:rPr>
          <w:rFonts w:hint="eastAsia" w:asciiTheme="minorEastAsia" w:hAnsiTheme="minorEastAsia" w:eastAsiaTheme="minorEastAsia"/>
          <w:sz w:val="32"/>
          <w:szCs w:val="32"/>
          <w:lang w:val="en-US" w:eastAsia="zh-CN"/>
        </w:rPr>
        <w:t>28</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15.70</w:t>
      </w:r>
      <w:r>
        <w:rPr>
          <w:rFonts w:hint="eastAsia" w:asciiTheme="minorEastAsia" w:hAnsiTheme="minorEastAsia" w:eastAsiaTheme="minorEastAsia"/>
          <w:sz w:val="32"/>
          <w:szCs w:val="32"/>
        </w:rPr>
        <w:t>%。</w:t>
      </w:r>
    </w:p>
    <w:p>
      <w:pPr>
        <w:pStyle w:val="11"/>
        <w:rPr>
          <w:rFonts w:hAnsi="黑体"/>
          <w:b/>
          <w:sz w:val="32"/>
          <w:szCs w:val="32"/>
        </w:rPr>
      </w:pPr>
      <w:r>
        <w:rPr>
          <w:rFonts w:hint="eastAsia" w:hAnsi="黑体"/>
          <w:b/>
          <w:sz w:val="32"/>
          <w:szCs w:val="32"/>
        </w:rPr>
        <w:t>三、支出决算情况说明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w:t>
      </w:r>
      <w:r>
        <w:rPr>
          <w:rFonts w:hint="eastAsia" w:asciiTheme="minorEastAsia" w:hAnsiTheme="minorEastAsia" w:eastAsiaTheme="minorEastAsia"/>
          <w:sz w:val="32"/>
          <w:szCs w:val="32"/>
          <w:lang w:val="en-US" w:eastAsia="zh-CN"/>
        </w:rPr>
        <w:t>178.30</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138.15</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77.48</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40.15</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22.52</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11"/>
        <w:rPr>
          <w:rFonts w:hAnsi="黑体"/>
          <w:b/>
          <w:sz w:val="32"/>
          <w:szCs w:val="32"/>
        </w:rPr>
      </w:pPr>
      <w:r>
        <w:rPr>
          <w:rFonts w:hint="eastAsia" w:hAnsi="黑体"/>
          <w:b/>
          <w:sz w:val="32"/>
          <w:szCs w:val="32"/>
        </w:rPr>
        <w:t>四、财政拨款收入支出决算总体情况说明</w:t>
      </w:r>
    </w:p>
    <w:p>
      <w:pPr>
        <w:pStyle w:val="11"/>
        <w:ind w:firstLine="64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年度财政拨款收、支总计</w:t>
      </w:r>
      <w:r>
        <w:rPr>
          <w:rFonts w:hint="eastAsia" w:asciiTheme="minorEastAsia" w:hAnsiTheme="minorEastAsia" w:eastAsiaTheme="minorEastAsia"/>
          <w:sz w:val="32"/>
          <w:szCs w:val="32"/>
          <w:lang w:val="en-US" w:eastAsia="zh-CN"/>
        </w:rPr>
        <w:t>150.29</w:t>
      </w:r>
      <w:r>
        <w:rPr>
          <w:rFonts w:hint="eastAsia" w:asciiTheme="minorEastAsia" w:hAnsiTheme="minorEastAsia" w:eastAsiaTheme="minorEastAsia"/>
          <w:sz w:val="32"/>
          <w:szCs w:val="32"/>
        </w:rPr>
        <w:t>万元，与上年</w:t>
      </w:r>
      <w:r>
        <w:rPr>
          <w:rFonts w:hint="eastAsia" w:asciiTheme="minorEastAsia" w:hAnsiTheme="minorEastAsia" w:eastAsiaTheme="minorEastAsia"/>
          <w:sz w:val="32"/>
          <w:szCs w:val="32"/>
          <w:lang w:eastAsia="zh-CN"/>
        </w:rPr>
        <w:t>无可比数据</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我单位为</w:t>
      </w:r>
      <w:r>
        <w:rPr>
          <w:rFonts w:hint="eastAsia" w:asciiTheme="minorEastAsia" w:hAnsiTheme="minorEastAsia" w:eastAsiaTheme="minorEastAsia"/>
          <w:sz w:val="32"/>
          <w:szCs w:val="32"/>
          <w:lang w:val="en-US" w:eastAsia="zh-CN"/>
        </w:rPr>
        <w:t>2021年纳入财政决算新增单位，上年没有数据。</w:t>
      </w:r>
    </w:p>
    <w:p>
      <w:pPr>
        <w:pStyle w:val="11"/>
        <w:ind w:firstLine="640"/>
        <w:rPr>
          <w:rFonts w:hAnsi="黑体"/>
          <w:b/>
          <w:sz w:val="32"/>
          <w:szCs w:val="32"/>
        </w:rPr>
      </w:pPr>
      <w:r>
        <w:rPr>
          <w:rFonts w:hint="eastAsia" w:hAnsi="黑体"/>
          <w:b/>
          <w:sz w:val="32"/>
          <w:szCs w:val="32"/>
        </w:rPr>
        <w:t>五、一般公共预算财政拨款支出决算情况说明</w:t>
      </w:r>
    </w:p>
    <w:p>
      <w:pPr>
        <w:pStyle w:val="11"/>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年度财政拨款支出</w:t>
      </w:r>
      <w:r>
        <w:rPr>
          <w:rFonts w:hint="eastAsia" w:asciiTheme="minorEastAsia" w:hAnsiTheme="minorEastAsia" w:eastAsiaTheme="minorEastAsia"/>
          <w:sz w:val="32"/>
          <w:szCs w:val="32"/>
          <w:lang w:val="en-US" w:eastAsia="zh-CN"/>
        </w:rPr>
        <w:t>150.29</w:t>
      </w:r>
      <w:r>
        <w:rPr>
          <w:rFonts w:hint="eastAsia" w:asciiTheme="minorEastAsia" w:hAnsiTheme="minorEastAsia" w:eastAsiaTheme="minorEastAsia"/>
          <w:sz w:val="32"/>
          <w:szCs w:val="32"/>
        </w:rPr>
        <w:t>万元，占本年支出合计的</w:t>
      </w:r>
      <w:r>
        <w:rPr>
          <w:rFonts w:hint="eastAsia" w:asciiTheme="minorEastAsia" w:hAnsiTheme="minorEastAsia" w:eastAsiaTheme="minorEastAsia"/>
          <w:sz w:val="32"/>
          <w:szCs w:val="32"/>
          <w:lang w:val="en-US" w:eastAsia="zh-CN"/>
        </w:rPr>
        <w:t>84.30</w:t>
      </w:r>
      <w:r>
        <w:rPr>
          <w:rFonts w:hint="eastAsia" w:asciiTheme="minorEastAsia" w:hAnsiTheme="minorEastAsia" w:eastAsiaTheme="minorEastAsia"/>
          <w:sz w:val="32"/>
          <w:szCs w:val="32"/>
        </w:rPr>
        <w:t>%，与上年</w:t>
      </w:r>
      <w:r>
        <w:rPr>
          <w:rFonts w:hint="eastAsia" w:asciiTheme="minorEastAsia" w:hAnsiTheme="minorEastAsia" w:eastAsiaTheme="minorEastAsia"/>
          <w:sz w:val="32"/>
          <w:szCs w:val="32"/>
          <w:lang w:eastAsia="zh-CN"/>
        </w:rPr>
        <w:t>无可比数据</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我单位为</w:t>
      </w:r>
      <w:r>
        <w:rPr>
          <w:rFonts w:hint="eastAsia" w:asciiTheme="minorEastAsia" w:hAnsiTheme="minorEastAsia" w:eastAsiaTheme="minorEastAsia"/>
          <w:sz w:val="32"/>
          <w:szCs w:val="32"/>
          <w:lang w:val="en-US" w:eastAsia="zh-CN"/>
        </w:rPr>
        <w:t>2021年纳入财政决算新增单位，上年没有数据。</w:t>
      </w:r>
    </w:p>
    <w:p>
      <w:pPr>
        <w:pStyle w:val="11"/>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11"/>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年度财政拨款支出</w:t>
      </w:r>
      <w:r>
        <w:rPr>
          <w:rFonts w:hint="eastAsia" w:asciiTheme="minorEastAsia" w:hAnsiTheme="minorEastAsia" w:eastAsiaTheme="minorEastAsia"/>
          <w:sz w:val="32"/>
          <w:szCs w:val="32"/>
          <w:lang w:val="en-US" w:eastAsia="zh-CN"/>
        </w:rPr>
        <w:t>150.29</w:t>
      </w:r>
      <w:r>
        <w:rPr>
          <w:rFonts w:hint="eastAsia" w:asciiTheme="minorEastAsia" w:hAnsiTheme="minorEastAsia" w:eastAsiaTheme="minorEastAsia"/>
          <w:sz w:val="32"/>
          <w:szCs w:val="32"/>
        </w:rPr>
        <w:t>万元，主要用于以下方面：</w:t>
      </w:r>
      <w:r>
        <w:rPr>
          <w:rFonts w:hint="eastAsia" w:asciiTheme="minorEastAsia" w:hAnsiTheme="minorEastAsia" w:eastAsiaTheme="minorEastAsia"/>
          <w:sz w:val="32"/>
          <w:szCs w:val="32"/>
          <w:lang w:val="en-US" w:eastAsia="zh-CN"/>
        </w:rPr>
        <w:t>社会保障和就业支出12.77万元，占全年支出8.5%；卫生健康支出5.41万元，占全年支出3.6%；城乡社区支出47.95万元，占全年支出31.90%；</w:t>
      </w:r>
      <w:r>
        <w:rPr>
          <w:rFonts w:hint="eastAsia" w:asciiTheme="minorEastAsia" w:hAnsiTheme="minorEastAsia" w:eastAsiaTheme="minorEastAsia"/>
          <w:sz w:val="32"/>
          <w:szCs w:val="32"/>
          <w:lang w:eastAsia="zh-CN"/>
        </w:rPr>
        <w:t>资源勘探工业信息等支出</w:t>
      </w:r>
      <w:r>
        <w:rPr>
          <w:rFonts w:hint="eastAsia" w:asciiTheme="minorEastAsia" w:hAnsiTheme="minorEastAsia" w:eastAsiaTheme="minorEastAsia"/>
          <w:sz w:val="32"/>
          <w:szCs w:val="32"/>
          <w:lang w:val="en-US" w:eastAsia="zh-CN"/>
        </w:rPr>
        <w:t>84.17万元，占全年支出56.0%；。</w:t>
      </w:r>
    </w:p>
    <w:p>
      <w:pPr>
        <w:pStyle w:val="11"/>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keepNext/>
        <w:keepLines/>
        <w:pageBreakBefore w:val="0"/>
        <w:widowControl/>
        <w:suppressLineNumbers/>
        <w:kinsoku/>
        <w:wordWrap/>
        <w:overflowPunct/>
        <w:topLinePunct w:val="0"/>
        <w:autoSpaceDE/>
        <w:autoSpaceDN/>
        <w:bidi w:val="0"/>
        <w:adjustRightInd/>
        <w:snapToGrid/>
        <w:spacing w:beforeLines="0" w:afterLines="0" w:line="560" w:lineRule="exact"/>
        <w:ind w:firstLine="640" w:firstLineChars="200"/>
        <w:jc w:val="left"/>
        <w:textAlignment w:val="auto"/>
        <w:rPr>
          <w:rFonts w:hint="default" w:ascii="Times New Roman" w:hAnsi="Times New Roman" w:cs="Times New Roman"/>
          <w:sz w:val="32"/>
        </w:rPr>
      </w:pPr>
      <w:r>
        <w:rPr>
          <w:rFonts w:hint="default" w:ascii="Times New Roman" w:hAnsi="Times New Roman" w:cs="Times New Roman"/>
          <w:color w:val="000000"/>
          <w:sz w:val="32"/>
          <w:highlight w:val="white"/>
          <w:lang w:val="zh-CN"/>
        </w:rPr>
        <w:t>2021年度财政拨款支出年初预算为</w:t>
      </w:r>
      <w:r>
        <w:rPr>
          <w:rFonts w:hint="eastAsia" w:ascii="Times New Roman" w:hAnsi="Times New Roman" w:cs="Times New Roman"/>
          <w:color w:val="000000"/>
          <w:sz w:val="32"/>
          <w:highlight w:val="white"/>
          <w:lang w:val="en-US" w:eastAsia="zh-CN"/>
        </w:rPr>
        <w:t>141.76</w:t>
      </w:r>
      <w:r>
        <w:rPr>
          <w:rFonts w:hint="default" w:ascii="Times New Roman" w:hAnsi="Times New Roman" w:cs="Times New Roman"/>
          <w:color w:val="000000"/>
          <w:sz w:val="32"/>
          <w:highlight w:val="white"/>
          <w:lang w:val="zh-CN"/>
        </w:rPr>
        <w:t>万元，支出决算为</w:t>
      </w:r>
      <w:r>
        <w:rPr>
          <w:rFonts w:hint="eastAsia" w:ascii="Times New Roman" w:hAnsi="Times New Roman" w:cs="Times New Roman"/>
          <w:color w:val="000000"/>
          <w:sz w:val="32"/>
          <w:highlight w:val="white"/>
          <w:lang w:val="en-US" w:eastAsia="zh-CN"/>
        </w:rPr>
        <w:t>150.29</w:t>
      </w:r>
      <w:r>
        <w:rPr>
          <w:rFonts w:hint="default" w:ascii="Times New Roman" w:hAnsi="Times New Roman" w:cs="Times New Roman"/>
          <w:color w:val="000000"/>
          <w:sz w:val="32"/>
          <w:highlight w:val="white"/>
          <w:lang w:val="zh-CN"/>
        </w:rPr>
        <w:t>万元，完成年初预算的</w:t>
      </w:r>
      <w:r>
        <w:rPr>
          <w:rFonts w:hint="eastAsia" w:ascii="Times New Roman" w:hAnsi="Times New Roman" w:cs="Times New Roman"/>
          <w:color w:val="000000"/>
          <w:sz w:val="32"/>
          <w:highlight w:val="white"/>
          <w:lang w:val="en-US" w:eastAsia="zh-CN"/>
        </w:rPr>
        <w:t>106.02</w:t>
      </w:r>
      <w:r>
        <w:rPr>
          <w:rFonts w:hint="default" w:ascii="Times New Roman" w:hAnsi="Times New Roman" w:cs="Times New Roman"/>
          <w:color w:val="000000"/>
          <w:sz w:val="32"/>
          <w:highlight w:val="white"/>
          <w:lang w:val="zh-CN"/>
        </w:rPr>
        <w:t>%。其中</w:t>
      </w:r>
      <w:r>
        <w:rPr>
          <w:rFonts w:hint="default" w:ascii="Times New Roman" w:hAnsi="Times New Roman" w:cs="Times New Roman"/>
          <w:color w:val="000000"/>
          <w:sz w:val="32"/>
          <w:lang w:val="zh-CN"/>
        </w:rPr>
        <w:t>：</w:t>
      </w:r>
      <w:r>
        <w:rPr>
          <w:rFonts w:hint="default" w:ascii="Times New Roman" w:hAnsi="Times New Roman" w:cs="Times New Roman"/>
          <w:sz w:val="32"/>
        </w:rPr>
        <w:t xml:space="preserve">         </w:t>
      </w:r>
    </w:p>
    <w:p>
      <w:pPr>
        <w:pageBreakBefore w:val="0"/>
        <w:widowControl/>
        <w:numPr>
          <w:ilvl w:val="0"/>
          <w:numId w:val="1"/>
        </w:numPr>
        <w:kinsoku/>
        <w:wordWrap/>
        <w:overflowPunct/>
        <w:topLinePunct w:val="0"/>
        <w:autoSpaceDE/>
        <w:autoSpaceDN/>
        <w:bidi w:val="0"/>
        <w:adjustRightInd/>
        <w:snapToGrid/>
        <w:spacing w:beforeLines="0" w:afterLines="0" w:line="560" w:lineRule="exact"/>
        <w:ind w:left="-10" w:leftChars="0" w:firstLine="640" w:firstLineChars="0"/>
        <w:textAlignment w:val="auto"/>
        <w:rPr>
          <w:rFonts w:hint="default" w:ascii="Times New Roman" w:hAnsi="Times New Roman" w:cs="Times New Roman"/>
          <w:sz w:val="32"/>
        </w:rPr>
      </w:pPr>
      <w:r>
        <w:rPr>
          <w:rFonts w:hint="default" w:ascii="Times New Roman" w:hAnsi="Times New Roman" w:cs="Times New Roman"/>
          <w:sz w:val="32"/>
        </w:rPr>
        <w:t>社会保障和就业支出（类）行政事业单位养老支出（款）机关事业单位基本养老保险缴费支出（项）。</w:t>
      </w:r>
    </w:p>
    <w:p>
      <w:pPr>
        <w:pageBreakBefore w:val="0"/>
        <w:widowControl/>
        <w:numPr>
          <w:ilvl w:val="0"/>
          <w:numId w:val="0"/>
        </w:numPr>
        <w:kinsoku/>
        <w:wordWrap/>
        <w:overflowPunct/>
        <w:topLinePunct w:val="0"/>
        <w:autoSpaceDE/>
        <w:autoSpaceDN/>
        <w:bidi w:val="0"/>
        <w:adjustRightInd/>
        <w:snapToGrid/>
        <w:spacing w:beforeLines="0" w:afterLines="0" w:line="560" w:lineRule="exact"/>
        <w:ind w:firstLine="640" w:firstLineChars="200"/>
        <w:textAlignment w:val="auto"/>
        <w:rPr>
          <w:rFonts w:hint="default" w:ascii="Times New Roman" w:hAnsi="Times New Roman" w:cs="Times New Roman"/>
          <w:sz w:val="32"/>
        </w:rPr>
      </w:pPr>
      <w:r>
        <w:rPr>
          <w:rFonts w:hint="default" w:ascii="Times New Roman" w:hAnsi="Times New Roman" w:cs="Times New Roman"/>
          <w:sz w:val="32"/>
        </w:rPr>
        <w:t>年初预算为</w:t>
      </w:r>
      <w:r>
        <w:rPr>
          <w:rFonts w:hint="eastAsia" w:ascii="Times New Roman" w:hAnsi="Times New Roman" w:cs="Times New Roman"/>
          <w:sz w:val="32"/>
          <w:lang w:val="en-US" w:eastAsia="zh-CN"/>
        </w:rPr>
        <w:t>11.70</w:t>
      </w:r>
      <w:r>
        <w:rPr>
          <w:rFonts w:hint="default" w:ascii="Times New Roman" w:hAnsi="Times New Roman" w:cs="Times New Roman"/>
          <w:sz w:val="32"/>
        </w:rPr>
        <w:t>万元，支出决算为</w:t>
      </w:r>
      <w:r>
        <w:rPr>
          <w:rFonts w:hint="eastAsia" w:ascii="Times New Roman" w:hAnsi="Times New Roman" w:cs="Times New Roman"/>
          <w:sz w:val="32"/>
          <w:lang w:val="en-US" w:eastAsia="zh-CN"/>
        </w:rPr>
        <w:t>11.70</w:t>
      </w:r>
      <w:r>
        <w:rPr>
          <w:rFonts w:hint="default" w:ascii="Times New Roman" w:hAnsi="Times New Roman" w:cs="Times New Roman"/>
          <w:sz w:val="32"/>
        </w:rPr>
        <w:t>万元，</w:t>
      </w:r>
      <w:r>
        <w:rPr>
          <w:rFonts w:hint="default" w:ascii="Times New Roman" w:hAnsi="Times New Roman" w:cs="Times New Roman"/>
          <w:sz w:val="32"/>
          <w:lang w:val="en-US" w:eastAsia="zh-CN"/>
        </w:rPr>
        <w:t>完成年初预算的100%，决算数与预算数无差异。</w:t>
      </w:r>
      <w:r>
        <w:rPr>
          <w:rFonts w:hint="default" w:ascii="Times New Roman" w:hAnsi="Times New Roman" w:cs="Times New Roman"/>
          <w:sz w:val="32"/>
        </w:rPr>
        <w:t xml:space="preserve">    </w:t>
      </w:r>
    </w:p>
    <w:p>
      <w:pPr>
        <w:pageBreakBefore w:val="0"/>
        <w:widowControl/>
        <w:numPr>
          <w:ilvl w:val="0"/>
          <w:numId w:val="1"/>
        </w:numPr>
        <w:kinsoku/>
        <w:wordWrap/>
        <w:overflowPunct/>
        <w:topLinePunct w:val="0"/>
        <w:autoSpaceDE/>
        <w:autoSpaceDN/>
        <w:bidi w:val="0"/>
        <w:adjustRightInd/>
        <w:snapToGrid/>
        <w:spacing w:beforeLines="0" w:afterLines="0" w:line="560" w:lineRule="exact"/>
        <w:ind w:left="-10" w:leftChars="0" w:firstLine="640" w:firstLineChars="0"/>
        <w:textAlignment w:val="auto"/>
        <w:rPr>
          <w:rFonts w:hint="default" w:ascii="Times New Roman" w:hAnsi="Times New Roman" w:cs="Times New Roman"/>
          <w:sz w:val="32"/>
        </w:rPr>
      </w:pPr>
      <w:r>
        <w:rPr>
          <w:rFonts w:hint="default" w:ascii="Times New Roman" w:hAnsi="Times New Roman" w:cs="Times New Roman"/>
          <w:sz w:val="32"/>
        </w:rPr>
        <w:t>社会保障和就业支出（类）残疾人事业（款）其他残疾人事业支出（项）。</w:t>
      </w:r>
    </w:p>
    <w:p>
      <w:pPr>
        <w:pageBreakBefore w:val="0"/>
        <w:widowControl/>
        <w:numPr>
          <w:ilvl w:val="0"/>
          <w:numId w:val="0"/>
        </w:numPr>
        <w:kinsoku/>
        <w:wordWrap/>
        <w:overflowPunct/>
        <w:topLinePunct w:val="0"/>
        <w:autoSpaceDE/>
        <w:autoSpaceDN/>
        <w:bidi w:val="0"/>
        <w:adjustRightInd/>
        <w:snapToGrid/>
        <w:spacing w:beforeLines="0" w:afterLines="0" w:line="560" w:lineRule="exact"/>
        <w:ind w:firstLine="640" w:firstLineChars="200"/>
        <w:textAlignment w:val="auto"/>
        <w:rPr>
          <w:rFonts w:hint="default" w:ascii="Times New Roman" w:hAnsi="Times New Roman" w:cs="Times New Roman"/>
          <w:sz w:val="32"/>
        </w:rPr>
      </w:pPr>
      <w:r>
        <w:rPr>
          <w:rFonts w:hint="default" w:ascii="Times New Roman" w:hAnsi="Times New Roman" w:cs="Times New Roman"/>
          <w:sz w:val="32"/>
        </w:rPr>
        <w:t>年初预算为</w:t>
      </w:r>
      <w:r>
        <w:rPr>
          <w:rFonts w:hint="eastAsia" w:ascii="Times New Roman" w:hAnsi="Times New Roman" w:cs="Times New Roman"/>
          <w:sz w:val="32"/>
          <w:lang w:val="en-US" w:eastAsia="zh-CN"/>
        </w:rPr>
        <w:t>1.07</w:t>
      </w:r>
      <w:r>
        <w:rPr>
          <w:rFonts w:hint="default" w:ascii="Times New Roman" w:hAnsi="Times New Roman" w:cs="Times New Roman"/>
          <w:sz w:val="32"/>
        </w:rPr>
        <w:t>万元，支出决算为</w:t>
      </w:r>
      <w:r>
        <w:rPr>
          <w:rFonts w:hint="eastAsia" w:ascii="Times New Roman" w:hAnsi="Times New Roman" w:cs="Times New Roman"/>
          <w:sz w:val="32"/>
          <w:lang w:val="en-US" w:eastAsia="zh-CN"/>
        </w:rPr>
        <w:t>1.07</w:t>
      </w:r>
      <w:r>
        <w:rPr>
          <w:rFonts w:hint="default" w:ascii="Times New Roman" w:hAnsi="Times New Roman" w:cs="Times New Roman"/>
          <w:sz w:val="32"/>
        </w:rPr>
        <w:t>万元，</w:t>
      </w:r>
      <w:r>
        <w:rPr>
          <w:rFonts w:hint="default" w:ascii="Times New Roman" w:hAnsi="Times New Roman" w:cs="Times New Roman"/>
          <w:sz w:val="32"/>
          <w:lang w:val="en-US" w:eastAsia="zh-CN"/>
        </w:rPr>
        <w:t>完成年初预算的100%，决算数与预算数无差异。</w:t>
      </w:r>
      <w:r>
        <w:rPr>
          <w:rFonts w:hint="default" w:ascii="Times New Roman" w:hAnsi="Times New Roman" w:cs="Times New Roman"/>
          <w:sz w:val="32"/>
        </w:rPr>
        <w:t xml:space="preserve">    </w:t>
      </w:r>
    </w:p>
    <w:p>
      <w:pPr>
        <w:pageBreakBefore w:val="0"/>
        <w:widowControl/>
        <w:numPr>
          <w:ilvl w:val="0"/>
          <w:numId w:val="1"/>
        </w:numPr>
        <w:kinsoku/>
        <w:wordWrap/>
        <w:overflowPunct/>
        <w:topLinePunct w:val="0"/>
        <w:autoSpaceDE/>
        <w:autoSpaceDN/>
        <w:bidi w:val="0"/>
        <w:adjustRightInd/>
        <w:snapToGrid/>
        <w:spacing w:beforeLines="0" w:afterLines="0" w:line="560" w:lineRule="exact"/>
        <w:ind w:left="-10" w:leftChars="0" w:firstLine="640" w:firstLineChars="0"/>
        <w:textAlignment w:val="auto"/>
        <w:rPr>
          <w:rFonts w:hint="default" w:ascii="Times New Roman" w:hAnsi="Times New Roman" w:cs="Times New Roman"/>
          <w:sz w:val="32"/>
        </w:rPr>
      </w:pPr>
      <w:r>
        <w:rPr>
          <w:rFonts w:hint="default" w:ascii="Times New Roman" w:hAnsi="Times New Roman" w:cs="Times New Roman"/>
          <w:sz w:val="32"/>
        </w:rPr>
        <w:t>卫生健康支出（类）行政事业单位医疗（款）事业单位医疗（项）。</w:t>
      </w:r>
    </w:p>
    <w:p>
      <w:pPr>
        <w:pageBreakBefore w:val="0"/>
        <w:widowControl/>
        <w:numPr>
          <w:ilvl w:val="0"/>
          <w:numId w:val="0"/>
        </w:numPr>
        <w:kinsoku/>
        <w:wordWrap/>
        <w:overflowPunct/>
        <w:topLinePunct w:val="0"/>
        <w:autoSpaceDE/>
        <w:autoSpaceDN/>
        <w:bidi w:val="0"/>
        <w:adjustRightInd/>
        <w:snapToGrid/>
        <w:spacing w:beforeLines="0" w:afterLines="0" w:line="560" w:lineRule="exact"/>
        <w:ind w:firstLine="640" w:firstLineChars="200"/>
        <w:textAlignment w:val="auto"/>
        <w:rPr>
          <w:rFonts w:hint="default" w:ascii="Times New Roman" w:hAnsi="Times New Roman" w:cs="Times New Roman"/>
          <w:sz w:val="32"/>
        </w:rPr>
      </w:pPr>
      <w:r>
        <w:rPr>
          <w:rFonts w:hint="default" w:ascii="Times New Roman" w:hAnsi="Times New Roman" w:cs="Times New Roman"/>
          <w:sz w:val="32"/>
        </w:rPr>
        <w:t>年初预算为</w:t>
      </w:r>
      <w:r>
        <w:rPr>
          <w:rFonts w:hint="eastAsia" w:ascii="Times New Roman" w:hAnsi="Times New Roman" w:cs="Times New Roman"/>
          <w:sz w:val="32"/>
          <w:lang w:val="en-US" w:eastAsia="zh-CN"/>
        </w:rPr>
        <w:t>5.41</w:t>
      </w:r>
      <w:r>
        <w:rPr>
          <w:rFonts w:hint="default" w:ascii="Times New Roman" w:hAnsi="Times New Roman" w:cs="Times New Roman"/>
          <w:sz w:val="32"/>
        </w:rPr>
        <w:t>万元，支出决算为</w:t>
      </w:r>
      <w:r>
        <w:rPr>
          <w:rFonts w:hint="eastAsia" w:ascii="Times New Roman" w:hAnsi="Times New Roman" w:cs="Times New Roman"/>
          <w:sz w:val="32"/>
          <w:lang w:val="en-US" w:eastAsia="zh-CN"/>
        </w:rPr>
        <w:t>5.41</w:t>
      </w:r>
      <w:r>
        <w:rPr>
          <w:rFonts w:hint="default" w:ascii="Times New Roman" w:hAnsi="Times New Roman" w:cs="Times New Roman"/>
          <w:sz w:val="32"/>
        </w:rPr>
        <w:t>万元，</w:t>
      </w:r>
      <w:r>
        <w:rPr>
          <w:rFonts w:hint="default" w:ascii="Times New Roman" w:hAnsi="Times New Roman" w:cs="Times New Roman"/>
          <w:sz w:val="32"/>
          <w:lang w:val="en-US" w:eastAsia="zh-CN"/>
        </w:rPr>
        <w:t>完成年初预算的100%，决算数与预算数无差异。</w:t>
      </w:r>
      <w:r>
        <w:rPr>
          <w:rFonts w:hint="default" w:ascii="Times New Roman" w:hAnsi="Times New Roman" w:cs="Times New Roman"/>
          <w:sz w:val="32"/>
        </w:rPr>
        <w:t xml:space="preserve">    </w:t>
      </w:r>
    </w:p>
    <w:p>
      <w:pPr>
        <w:pageBreakBefore w:val="0"/>
        <w:widowControl/>
        <w:numPr>
          <w:ilvl w:val="0"/>
          <w:numId w:val="1"/>
        </w:numPr>
        <w:kinsoku/>
        <w:wordWrap/>
        <w:overflowPunct/>
        <w:topLinePunct w:val="0"/>
        <w:autoSpaceDE/>
        <w:autoSpaceDN/>
        <w:bidi w:val="0"/>
        <w:adjustRightInd/>
        <w:snapToGrid/>
        <w:spacing w:beforeLines="0" w:afterLines="0" w:line="560" w:lineRule="exact"/>
        <w:ind w:left="-10" w:leftChars="0" w:firstLine="640" w:firstLineChars="0"/>
        <w:textAlignment w:val="auto"/>
        <w:rPr>
          <w:rFonts w:hint="default" w:ascii="Times New Roman" w:hAnsi="Times New Roman" w:cs="Times New Roman"/>
          <w:sz w:val="32"/>
        </w:rPr>
      </w:pPr>
      <w:r>
        <w:rPr>
          <w:rFonts w:hint="default" w:ascii="Times New Roman" w:hAnsi="Times New Roman" w:cs="Times New Roman"/>
          <w:sz w:val="32"/>
        </w:rPr>
        <w:t>城乡社区支出（类）</w:t>
      </w:r>
      <w:r>
        <w:rPr>
          <w:rFonts w:hint="eastAsia" w:ascii="Times New Roman" w:hAnsi="Times New Roman" w:cs="Times New Roman"/>
          <w:sz w:val="32"/>
          <w:lang w:val="en-US" w:eastAsia="zh-CN"/>
        </w:rPr>
        <w:t>城乡社区规划与管理</w:t>
      </w:r>
      <w:r>
        <w:rPr>
          <w:rFonts w:hint="default" w:ascii="Times New Roman" w:hAnsi="Times New Roman" w:cs="Times New Roman"/>
          <w:sz w:val="32"/>
        </w:rPr>
        <w:t>（款）</w:t>
      </w:r>
      <w:r>
        <w:rPr>
          <w:rFonts w:hint="eastAsia" w:ascii="Times New Roman" w:hAnsi="Times New Roman" w:cs="Times New Roman"/>
          <w:sz w:val="32"/>
          <w:lang w:val="en-US" w:eastAsia="zh-CN"/>
        </w:rPr>
        <w:t>城乡社区规划与管理</w:t>
      </w:r>
      <w:r>
        <w:rPr>
          <w:rFonts w:hint="default" w:ascii="Times New Roman" w:hAnsi="Times New Roman" w:cs="Times New Roman"/>
          <w:sz w:val="32"/>
        </w:rPr>
        <w:t>（项）。</w:t>
      </w:r>
    </w:p>
    <w:p>
      <w:pPr>
        <w:pageBreakBefore w:val="0"/>
        <w:widowControl/>
        <w:numPr>
          <w:ilvl w:val="0"/>
          <w:numId w:val="0"/>
        </w:numPr>
        <w:kinsoku/>
        <w:wordWrap/>
        <w:overflowPunct/>
        <w:topLinePunct w:val="0"/>
        <w:autoSpaceDE/>
        <w:autoSpaceDN/>
        <w:bidi w:val="0"/>
        <w:adjustRightInd/>
        <w:snapToGrid/>
        <w:spacing w:beforeLines="0" w:afterLines="0" w:line="560" w:lineRule="exact"/>
        <w:ind w:left="630" w:leftChars="0"/>
        <w:textAlignment w:val="auto"/>
        <w:rPr>
          <w:rFonts w:hint="default" w:ascii="Times New Roman" w:hAnsi="Times New Roman" w:cs="Times New Roman"/>
          <w:sz w:val="32"/>
        </w:rPr>
      </w:pPr>
      <w:r>
        <w:rPr>
          <w:rFonts w:hint="default" w:ascii="Times New Roman" w:hAnsi="Times New Roman" w:cs="Times New Roman"/>
          <w:sz w:val="32"/>
        </w:rPr>
        <w:t>年初预算为30万元，支出决算为</w:t>
      </w:r>
      <w:r>
        <w:rPr>
          <w:rFonts w:hint="eastAsia" w:ascii="Times New Roman" w:hAnsi="Times New Roman" w:cs="Times New Roman"/>
          <w:sz w:val="32"/>
          <w:lang w:val="en-US" w:eastAsia="zh-CN"/>
        </w:rPr>
        <w:t>36.28</w:t>
      </w:r>
      <w:r>
        <w:rPr>
          <w:rFonts w:hint="default" w:ascii="Times New Roman" w:hAnsi="Times New Roman" w:cs="Times New Roman"/>
          <w:sz w:val="32"/>
        </w:rPr>
        <w:t>万元，</w:t>
      </w:r>
      <w:r>
        <w:rPr>
          <w:rFonts w:hint="default" w:ascii="Times New Roman" w:hAnsi="Times New Roman" w:cs="Times New Roman"/>
          <w:sz w:val="32"/>
          <w:lang w:val="en-US" w:eastAsia="zh-CN"/>
        </w:rPr>
        <w:t>完成年初预算的</w:t>
      </w:r>
      <w:r>
        <w:rPr>
          <w:rFonts w:hint="eastAsia" w:ascii="Times New Roman" w:hAnsi="Times New Roman" w:cs="Times New Roman"/>
          <w:sz w:val="32"/>
          <w:lang w:val="en-US" w:eastAsia="zh-CN"/>
        </w:rPr>
        <w:t>120.93</w:t>
      </w:r>
      <w:r>
        <w:rPr>
          <w:rFonts w:hint="default" w:ascii="Times New Roman" w:hAnsi="Times New Roman" w:cs="Times New Roman"/>
          <w:sz w:val="32"/>
          <w:lang w:val="en-US" w:eastAsia="zh-CN"/>
        </w:rPr>
        <w:t>%</w:t>
      </w:r>
      <w:r>
        <w:rPr>
          <w:rFonts w:hint="default" w:ascii="Times New Roman" w:hAnsi="Times New Roman" w:cs="Times New Roman"/>
          <w:sz w:val="32"/>
          <w:lang w:eastAsia="zh-CN"/>
        </w:rPr>
        <w:t>，</w:t>
      </w:r>
      <w:r>
        <w:rPr>
          <w:rFonts w:hint="default" w:ascii="Times New Roman" w:hAnsi="Times New Roman" w:cs="Times New Roman"/>
          <w:sz w:val="32"/>
        </w:rPr>
        <w:t>决算数</w:t>
      </w:r>
      <w:r>
        <w:rPr>
          <w:rFonts w:hint="eastAsia" w:cs="Times New Roman"/>
          <w:sz w:val="32"/>
          <w:lang w:val="en-US" w:eastAsia="zh-CN"/>
        </w:rPr>
        <w:t>大</w:t>
      </w:r>
      <w:r>
        <w:rPr>
          <w:rFonts w:hint="default" w:ascii="Times New Roman" w:hAnsi="Times New Roman" w:cs="Times New Roman"/>
          <w:sz w:val="32"/>
        </w:rPr>
        <w:t>于预算数</w:t>
      </w:r>
      <w:r>
        <w:rPr>
          <w:rFonts w:hint="default" w:ascii="Times New Roman" w:hAnsi="Times New Roman" w:cs="Times New Roman"/>
          <w:sz w:val="32"/>
          <w:highlight w:val="none"/>
        </w:rPr>
        <w:t>的主要原因是</w:t>
      </w:r>
      <w:r>
        <w:rPr>
          <w:rFonts w:hint="eastAsia" w:cs="Times New Roman"/>
          <w:sz w:val="32"/>
          <w:highlight w:val="none"/>
          <w:lang w:eastAsia="zh-CN"/>
        </w:rPr>
        <w:t>财政追加安排年终绩效考评奖励、平安建设奖励。</w:t>
      </w:r>
    </w:p>
    <w:p>
      <w:pPr>
        <w:pageBreakBefore w:val="0"/>
        <w:widowControl/>
        <w:numPr>
          <w:ilvl w:val="0"/>
          <w:numId w:val="1"/>
        </w:numPr>
        <w:kinsoku/>
        <w:wordWrap/>
        <w:overflowPunct/>
        <w:topLinePunct w:val="0"/>
        <w:autoSpaceDE/>
        <w:autoSpaceDN/>
        <w:bidi w:val="0"/>
        <w:adjustRightInd/>
        <w:snapToGrid/>
        <w:spacing w:beforeLines="0" w:afterLines="0" w:line="560" w:lineRule="exact"/>
        <w:ind w:left="-10" w:leftChars="0" w:firstLine="640" w:firstLineChars="0"/>
        <w:textAlignment w:val="auto"/>
        <w:rPr>
          <w:rFonts w:hint="default" w:ascii="Times New Roman" w:hAnsi="Times New Roman" w:cs="Times New Roman"/>
          <w:sz w:val="32"/>
        </w:rPr>
      </w:pPr>
      <w:r>
        <w:rPr>
          <w:rFonts w:hint="default" w:ascii="Times New Roman" w:hAnsi="Times New Roman" w:cs="Times New Roman"/>
          <w:sz w:val="32"/>
        </w:rPr>
        <w:t>城乡社区支出（类）</w:t>
      </w:r>
      <w:r>
        <w:rPr>
          <w:rFonts w:hint="eastAsia" w:ascii="Times New Roman" w:hAnsi="Times New Roman" w:cs="Times New Roman"/>
          <w:sz w:val="32"/>
          <w:lang w:val="en-US" w:eastAsia="zh-CN"/>
        </w:rPr>
        <w:t>城乡社区规划与管理</w:t>
      </w:r>
      <w:r>
        <w:rPr>
          <w:rFonts w:hint="default" w:ascii="Times New Roman" w:hAnsi="Times New Roman" w:cs="Times New Roman"/>
          <w:sz w:val="32"/>
        </w:rPr>
        <w:t>（款）其他城乡社区支出（项）。</w:t>
      </w:r>
    </w:p>
    <w:p>
      <w:pPr>
        <w:pageBreakBefore w:val="0"/>
        <w:widowControl/>
        <w:numPr>
          <w:ilvl w:val="0"/>
          <w:numId w:val="0"/>
        </w:numPr>
        <w:kinsoku/>
        <w:wordWrap/>
        <w:overflowPunct/>
        <w:topLinePunct w:val="0"/>
        <w:autoSpaceDE/>
        <w:autoSpaceDN/>
        <w:bidi w:val="0"/>
        <w:adjustRightInd/>
        <w:snapToGrid/>
        <w:spacing w:beforeLines="0" w:afterLines="0" w:line="560" w:lineRule="exact"/>
        <w:ind w:firstLine="640" w:firstLineChars="200"/>
        <w:textAlignment w:val="auto"/>
        <w:rPr>
          <w:rFonts w:hint="eastAsia" w:ascii="Times New Roman" w:hAnsi="Times New Roman" w:eastAsia="宋体" w:cs="Times New Roman"/>
          <w:sz w:val="32"/>
          <w:highlight w:val="none"/>
          <w:lang w:eastAsia="zh-CN"/>
        </w:rPr>
      </w:pPr>
      <w:r>
        <w:rPr>
          <w:rFonts w:hint="default" w:ascii="Times New Roman" w:hAnsi="Times New Roman" w:cs="Times New Roman"/>
          <w:sz w:val="32"/>
        </w:rPr>
        <w:t>年初预算为</w:t>
      </w:r>
      <w:r>
        <w:rPr>
          <w:rFonts w:hint="eastAsia" w:ascii="Times New Roman" w:hAnsi="Times New Roman" w:cs="Times New Roman"/>
          <w:sz w:val="32"/>
          <w:lang w:val="en-US" w:eastAsia="zh-CN"/>
        </w:rPr>
        <w:t>8.78</w:t>
      </w:r>
      <w:r>
        <w:rPr>
          <w:rFonts w:hint="default" w:ascii="Times New Roman" w:hAnsi="Times New Roman" w:cs="Times New Roman"/>
          <w:sz w:val="32"/>
        </w:rPr>
        <w:t>万元，支出决算为</w:t>
      </w:r>
      <w:r>
        <w:rPr>
          <w:rFonts w:hint="eastAsia" w:ascii="Times New Roman" w:hAnsi="Times New Roman" w:cs="Times New Roman"/>
          <w:sz w:val="32"/>
          <w:lang w:val="en-US" w:eastAsia="zh-CN"/>
        </w:rPr>
        <w:t>11.66</w:t>
      </w:r>
      <w:r>
        <w:rPr>
          <w:rFonts w:hint="default" w:ascii="Times New Roman" w:hAnsi="Times New Roman" w:cs="Times New Roman"/>
          <w:sz w:val="32"/>
        </w:rPr>
        <w:t>万元，</w:t>
      </w:r>
      <w:r>
        <w:rPr>
          <w:rFonts w:hint="default" w:ascii="Times New Roman" w:hAnsi="Times New Roman" w:cs="Times New Roman"/>
          <w:sz w:val="32"/>
          <w:lang w:val="en-US" w:eastAsia="zh-CN"/>
        </w:rPr>
        <w:t>完成年初预算的</w:t>
      </w:r>
      <w:r>
        <w:rPr>
          <w:rFonts w:hint="eastAsia" w:ascii="Times New Roman" w:hAnsi="Times New Roman" w:cs="Times New Roman"/>
          <w:sz w:val="32"/>
          <w:lang w:val="en-US" w:eastAsia="zh-CN"/>
        </w:rPr>
        <w:t>132.80</w:t>
      </w:r>
      <w:r>
        <w:rPr>
          <w:rFonts w:hint="default" w:ascii="Times New Roman" w:hAnsi="Times New Roman" w:cs="Times New Roman"/>
          <w:sz w:val="32"/>
          <w:lang w:val="en-US" w:eastAsia="zh-CN"/>
        </w:rPr>
        <w:t>%</w:t>
      </w:r>
      <w:r>
        <w:rPr>
          <w:rFonts w:hint="default" w:ascii="Times New Roman" w:hAnsi="Times New Roman" w:cs="Times New Roman"/>
          <w:sz w:val="32"/>
          <w:lang w:eastAsia="zh-CN"/>
        </w:rPr>
        <w:t>，</w:t>
      </w:r>
      <w:r>
        <w:rPr>
          <w:rFonts w:hint="default" w:ascii="Times New Roman" w:hAnsi="Times New Roman" w:cs="Times New Roman"/>
          <w:sz w:val="32"/>
        </w:rPr>
        <w:t>决算数</w:t>
      </w:r>
      <w:r>
        <w:rPr>
          <w:rFonts w:hint="eastAsia" w:cs="Times New Roman"/>
          <w:sz w:val="32"/>
          <w:lang w:val="en-US" w:eastAsia="zh-CN"/>
        </w:rPr>
        <w:t>大</w:t>
      </w:r>
      <w:r>
        <w:rPr>
          <w:rFonts w:hint="default" w:ascii="Times New Roman" w:hAnsi="Times New Roman" w:cs="Times New Roman"/>
          <w:sz w:val="32"/>
        </w:rPr>
        <w:t>于预算数</w:t>
      </w:r>
      <w:r>
        <w:rPr>
          <w:rFonts w:hint="default" w:ascii="Times New Roman" w:hAnsi="Times New Roman" w:cs="Times New Roman"/>
          <w:sz w:val="32"/>
          <w:highlight w:val="none"/>
        </w:rPr>
        <w:t>的主要原因是</w:t>
      </w:r>
      <w:r>
        <w:rPr>
          <w:rFonts w:hint="eastAsia" w:cs="Times New Roman"/>
          <w:sz w:val="32"/>
          <w:highlight w:val="none"/>
          <w:lang w:eastAsia="zh-CN"/>
        </w:rPr>
        <w:t>财政追加安排年终绩效考评奖励、平安建设奖励。</w:t>
      </w:r>
    </w:p>
    <w:p>
      <w:pPr>
        <w:pageBreakBefore w:val="0"/>
        <w:widowControl/>
        <w:numPr>
          <w:ilvl w:val="0"/>
          <w:numId w:val="0"/>
        </w:numPr>
        <w:kinsoku/>
        <w:wordWrap/>
        <w:overflowPunct/>
        <w:topLinePunct w:val="0"/>
        <w:autoSpaceDE/>
        <w:autoSpaceDN/>
        <w:bidi w:val="0"/>
        <w:adjustRightInd/>
        <w:snapToGrid/>
        <w:spacing w:beforeLines="0" w:afterLines="0" w:line="560" w:lineRule="exact"/>
        <w:ind w:firstLine="640" w:firstLineChars="200"/>
        <w:textAlignment w:val="auto"/>
        <w:rPr>
          <w:rFonts w:hint="eastAsia" w:ascii="Times New Roman" w:hAnsi="Times New Roman" w:eastAsia="宋体" w:cs="Times New Roman"/>
          <w:sz w:val="32"/>
          <w:highlight w:val="none"/>
          <w:lang w:eastAsia="zh-CN"/>
        </w:rPr>
      </w:pPr>
    </w:p>
    <w:p>
      <w:pPr>
        <w:pageBreakBefore w:val="0"/>
        <w:widowControl/>
        <w:numPr>
          <w:ilvl w:val="0"/>
          <w:numId w:val="1"/>
        </w:numPr>
        <w:kinsoku/>
        <w:wordWrap/>
        <w:overflowPunct/>
        <w:topLinePunct w:val="0"/>
        <w:autoSpaceDE/>
        <w:autoSpaceDN/>
        <w:bidi w:val="0"/>
        <w:adjustRightInd/>
        <w:snapToGrid/>
        <w:spacing w:beforeLines="0" w:afterLines="0" w:line="560" w:lineRule="exact"/>
        <w:ind w:left="-10" w:leftChars="0" w:firstLine="640" w:firstLineChars="0"/>
        <w:textAlignment w:val="auto"/>
        <w:rPr>
          <w:rFonts w:hint="default" w:ascii="Times New Roman" w:hAnsi="Times New Roman" w:cs="Times New Roman"/>
          <w:sz w:val="32"/>
        </w:rPr>
      </w:pPr>
      <w:r>
        <w:rPr>
          <w:rFonts w:hint="default" w:ascii="Times New Roman" w:hAnsi="Times New Roman" w:cs="Times New Roman"/>
          <w:sz w:val="32"/>
        </w:rPr>
        <w:t>资源勘探工业信息等支出（类）建筑业（款）行政运行（项）。</w:t>
      </w:r>
    </w:p>
    <w:p>
      <w:pPr>
        <w:pageBreakBefore w:val="0"/>
        <w:widowControl/>
        <w:numPr>
          <w:ilvl w:val="0"/>
          <w:numId w:val="0"/>
        </w:numPr>
        <w:kinsoku/>
        <w:wordWrap/>
        <w:overflowPunct/>
        <w:topLinePunct w:val="0"/>
        <w:autoSpaceDE/>
        <w:autoSpaceDN/>
        <w:bidi w:val="0"/>
        <w:adjustRightInd/>
        <w:snapToGrid/>
        <w:spacing w:beforeLines="0" w:afterLines="0" w:line="560" w:lineRule="exact"/>
        <w:ind w:firstLine="640" w:firstLineChars="200"/>
        <w:textAlignment w:val="auto"/>
        <w:rPr>
          <w:rFonts w:hint="default" w:ascii="Times New Roman" w:hAnsi="Times New Roman" w:cs="Times New Roman" w:eastAsiaTheme="minorEastAsia"/>
          <w:sz w:val="32"/>
          <w:highlight w:val="none"/>
          <w:lang w:val="en-US" w:eastAsia="zh-CN"/>
        </w:rPr>
      </w:pPr>
      <w:r>
        <w:rPr>
          <w:rFonts w:hint="default" w:ascii="Times New Roman" w:hAnsi="Times New Roman" w:cs="Times New Roman"/>
          <w:sz w:val="32"/>
        </w:rPr>
        <w:t>年初预算为</w:t>
      </w:r>
      <w:r>
        <w:rPr>
          <w:rFonts w:hint="eastAsia" w:ascii="Times New Roman" w:hAnsi="Times New Roman" w:cs="Times New Roman"/>
          <w:sz w:val="32"/>
          <w:lang w:val="en-US" w:eastAsia="zh-CN"/>
        </w:rPr>
        <w:t>84.80</w:t>
      </w:r>
      <w:r>
        <w:rPr>
          <w:rFonts w:hint="default" w:ascii="Times New Roman" w:hAnsi="Times New Roman" w:cs="Times New Roman"/>
          <w:sz w:val="32"/>
        </w:rPr>
        <w:t>万元，支出决算为</w:t>
      </w:r>
      <w:r>
        <w:rPr>
          <w:rFonts w:hint="eastAsia" w:ascii="Times New Roman" w:hAnsi="Times New Roman" w:cs="Times New Roman"/>
          <w:sz w:val="32"/>
          <w:lang w:val="en-US" w:eastAsia="zh-CN"/>
        </w:rPr>
        <w:t>84.17</w:t>
      </w:r>
      <w:r>
        <w:rPr>
          <w:rFonts w:hint="default" w:ascii="Times New Roman" w:hAnsi="Times New Roman" w:cs="Times New Roman"/>
          <w:sz w:val="32"/>
        </w:rPr>
        <w:t>万元，</w:t>
      </w:r>
      <w:r>
        <w:rPr>
          <w:rFonts w:hint="default" w:ascii="Times New Roman" w:hAnsi="Times New Roman" w:cs="Times New Roman"/>
          <w:sz w:val="32"/>
          <w:lang w:val="en-US" w:eastAsia="zh-CN"/>
        </w:rPr>
        <w:t>完成年初预算的</w:t>
      </w:r>
      <w:r>
        <w:rPr>
          <w:rFonts w:hint="eastAsia" w:ascii="Times New Roman" w:hAnsi="Times New Roman" w:cs="Times New Roman"/>
          <w:sz w:val="32"/>
          <w:lang w:val="en-US" w:eastAsia="zh-CN"/>
        </w:rPr>
        <w:t>99.26</w:t>
      </w:r>
      <w:r>
        <w:rPr>
          <w:rFonts w:hint="default" w:ascii="Times New Roman" w:hAnsi="Times New Roman" w:cs="Times New Roman"/>
          <w:sz w:val="32"/>
          <w:lang w:val="en-US" w:eastAsia="zh-CN"/>
        </w:rPr>
        <w:t>%，</w:t>
      </w:r>
      <w:r>
        <w:rPr>
          <w:rFonts w:hint="default" w:ascii="Times New Roman" w:hAnsi="Times New Roman" w:cs="Times New Roman"/>
          <w:sz w:val="32"/>
        </w:rPr>
        <w:t>决算数</w:t>
      </w:r>
      <w:r>
        <w:rPr>
          <w:rFonts w:hint="eastAsia" w:ascii="Times New Roman" w:hAnsi="Times New Roman" w:cs="Times New Roman"/>
          <w:sz w:val="32"/>
          <w:lang w:val="en-US" w:eastAsia="zh-CN"/>
        </w:rPr>
        <w:t>小</w:t>
      </w:r>
      <w:r>
        <w:rPr>
          <w:rFonts w:hint="default" w:ascii="Times New Roman" w:hAnsi="Times New Roman" w:cs="Times New Roman"/>
          <w:sz w:val="32"/>
        </w:rPr>
        <w:t>于预算数</w:t>
      </w:r>
      <w:r>
        <w:rPr>
          <w:rFonts w:hint="default" w:ascii="Times New Roman" w:hAnsi="Times New Roman" w:cs="Times New Roman"/>
          <w:sz w:val="32"/>
          <w:highlight w:val="none"/>
        </w:rPr>
        <w:t>的主要原因</w:t>
      </w:r>
      <w:r>
        <w:rPr>
          <w:rFonts w:hint="eastAsia" w:ascii="Times New Roman" w:hAnsi="Times New Roman" w:cs="Times New Roman"/>
          <w:sz w:val="32"/>
          <w:highlight w:val="none"/>
          <w:lang w:val="en-US" w:eastAsia="zh-CN"/>
        </w:rPr>
        <w:t>是厉行节约，减少开支。</w:t>
      </w:r>
    </w:p>
    <w:p>
      <w:pPr>
        <w:pageBreakBefore w:val="0"/>
        <w:widowControl/>
        <w:numPr>
          <w:ilvl w:val="0"/>
          <w:numId w:val="0"/>
        </w:numPr>
        <w:kinsoku/>
        <w:wordWrap/>
        <w:overflowPunct/>
        <w:topLinePunct w:val="0"/>
        <w:autoSpaceDE/>
        <w:autoSpaceDN/>
        <w:bidi w:val="0"/>
        <w:adjustRightInd/>
        <w:snapToGrid/>
        <w:spacing w:beforeLines="0" w:afterLines="0" w:line="560" w:lineRule="exact"/>
        <w:ind w:firstLine="640" w:firstLineChars="200"/>
        <w:textAlignment w:val="auto"/>
        <w:rPr>
          <w:rFonts w:hint="default" w:ascii="Times New Roman" w:hAnsi="Times New Roman" w:cs="Times New Roman"/>
          <w:sz w:val="32"/>
        </w:rPr>
      </w:pPr>
      <w:r>
        <w:rPr>
          <w:rFonts w:hint="default" w:ascii="Times New Roman" w:hAnsi="Times New Roman" w:cs="Times New Roman"/>
          <w:sz w:val="32"/>
          <w:lang w:val="en-US" w:eastAsia="zh-CN"/>
        </w:rPr>
        <w:t>。</w:t>
      </w:r>
      <w:r>
        <w:rPr>
          <w:rFonts w:hint="default" w:ascii="Times New Roman" w:hAnsi="Times New Roman" w:cs="Times New Roman"/>
          <w:sz w:val="32"/>
        </w:rPr>
        <w:t xml:space="preserve">    </w:t>
      </w:r>
    </w:p>
    <w:p>
      <w:pPr>
        <w:spacing w:beforeLines="0" w:afterLines="0"/>
        <w:rPr>
          <w:rFonts w:hint="default" w:ascii="Times New Roman" w:hAnsi="Times New Roman" w:cs="Times New Roman"/>
          <w:sz w:val="32"/>
        </w:rPr>
      </w:pPr>
      <w:r>
        <w:rPr>
          <w:rFonts w:hint="default" w:ascii="Times New Roman" w:hAnsi="Times New Roman" w:cs="Times New Roman"/>
          <w:sz w:val="32"/>
        </w:rPr>
        <w:t xml:space="preserve">       </w:t>
      </w:r>
    </w:p>
    <w:p>
      <w:pPr>
        <w:pStyle w:val="11"/>
        <w:ind w:firstLine="800" w:firstLineChars="250"/>
        <w:rPr>
          <w:rFonts w:asciiTheme="minorEastAsia" w:hAnsiTheme="minorEastAsia" w:eastAsiaTheme="minorEastAsia"/>
          <w:sz w:val="32"/>
          <w:szCs w:val="32"/>
          <w:highlight w:val="green"/>
        </w:rPr>
      </w:pPr>
    </w:p>
    <w:p>
      <w:pPr>
        <w:pStyle w:val="11"/>
        <w:rPr>
          <w:rFonts w:hAnsi="黑体"/>
          <w:b w:val="0"/>
          <w:bCs/>
          <w:color w:val="000000" w:themeColor="text1"/>
          <w:sz w:val="32"/>
          <w:szCs w:val="32"/>
          <w:highlight w:val="none"/>
          <w:shd w:val="clear" w:color="auto" w:fill="auto"/>
        </w:rPr>
      </w:pPr>
      <w:r>
        <w:rPr>
          <w:rFonts w:hint="eastAsia" w:hAnsi="黑体"/>
          <w:b w:val="0"/>
          <w:bCs/>
          <w:color w:val="000000" w:themeColor="text1"/>
          <w:sz w:val="32"/>
          <w:szCs w:val="32"/>
          <w:highlight w:val="none"/>
          <w:shd w:val="clear" w:color="auto" w:fill="auto"/>
        </w:rPr>
        <w:t>六、一般公共预算财政拨款基本支出决算情况说明</w:t>
      </w:r>
    </w:p>
    <w:p>
      <w:pPr>
        <w:keepNext/>
        <w:keepLines/>
        <w:pageBreakBefore w:val="0"/>
        <w:widowControl/>
        <w:kinsoku/>
        <w:wordWrap/>
        <w:overflowPunct/>
        <w:topLinePunct w:val="0"/>
        <w:autoSpaceDE/>
        <w:autoSpaceDN/>
        <w:bidi w:val="0"/>
        <w:adjustRightInd/>
        <w:snapToGrid/>
        <w:spacing w:beforeLines="0" w:afterLines="0" w:line="560" w:lineRule="exact"/>
        <w:ind w:firstLine="640"/>
        <w:jc w:val="left"/>
        <w:textAlignment w:val="auto"/>
        <w:rPr>
          <w:rFonts w:hint="default" w:ascii="Times New Roman" w:hAnsi="Times New Roman" w:cs="Times New Roman"/>
          <w:kern w:val="0"/>
          <w:sz w:val="32"/>
          <w:highlight w:val="none"/>
        </w:rPr>
      </w:pPr>
      <w:r>
        <w:rPr>
          <w:rFonts w:hint="default" w:ascii="Times New Roman" w:hAnsi="Times New Roman" w:cs="Times New Roman"/>
          <w:sz w:val="32"/>
          <w:highlight w:val="none"/>
          <w:lang w:val="zh-CN"/>
        </w:rPr>
        <w:t>2021年度</w:t>
      </w:r>
      <w:r>
        <w:rPr>
          <w:rFonts w:hint="default" w:ascii="Times New Roman" w:hAnsi="Times New Roman" w:cs="Times New Roman"/>
          <w:kern w:val="0"/>
          <w:sz w:val="32"/>
          <w:highlight w:val="none"/>
        </w:rPr>
        <w:t>财政拨款基本支出</w:t>
      </w:r>
      <w:r>
        <w:rPr>
          <w:rFonts w:hint="eastAsia" w:ascii="Times New Roman" w:hAnsi="Times New Roman" w:cs="Times New Roman"/>
          <w:kern w:val="0"/>
          <w:sz w:val="32"/>
          <w:highlight w:val="none"/>
          <w:lang w:val="en-US" w:eastAsia="zh-CN"/>
        </w:rPr>
        <w:t>138.15</w:t>
      </w:r>
      <w:r>
        <w:rPr>
          <w:rFonts w:hint="default" w:ascii="Times New Roman" w:hAnsi="Times New Roman" w:cs="Times New Roman"/>
          <w:kern w:val="0"/>
          <w:sz w:val="32"/>
          <w:highlight w:val="none"/>
        </w:rPr>
        <w:t>万元，其中:</w:t>
      </w:r>
    </w:p>
    <w:p>
      <w:pPr>
        <w:keepNext/>
        <w:keepLines/>
        <w:pageBreakBefore w:val="0"/>
        <w:widowControl/>
        <w:kinsoku/>
        <w:wordWrap/>
        <w:overflowPunct/>
        <w:topLinePunct w:val="0"/>
        <w:autoSpaceDE/>
        <w:autoSpaceDN/>
        <w:bidi w:val="0"/>
        <w:adjustRightInd/>
        <w:snapToGrid/>
        <w:spacing w:beforeLines="0" w:afterLines="0" w:line="560" w:lineRule="exact"/>
        <w:ind w:firstLine="643"/>
        <w:jc w:val="left"/>
        <w:textAlignment w:val="auto"/>
        <w:rPr>
          <w:rFonts w:hint="default" w:ascii="Times New Roman" w:hAnsi="Times New Roman" w:eastAsia="Times New Roman" w:cs="Times New Roman"/>
          <w:kern w:val="0"/>
          <w:sz w:val="32"/>
          <w:highlight w:val="none"/>
          <w:lang w:val="zh-CN"/>
        </w:rPr>
      </w:pPr>
      <w:r>
        <w:rPr>
          <w:rFonts w:hint="default" w:ascii="Times New Roman" w:hAnsi="Times New Roman" w:cs="Times New Roman"/>
          <w:b/>
          <w:kern w:val="0"/>
          <w:sz w:val="32"/>
          <w:highlight w:val="none"/>
        </w:rPr>
        <w:t>人员经费</w:t>
      </w:r>
      <w:r>
        <w:rPr>
          <w:rFonts w:hint="eastAsia" w:ascii="Times New Roman" w:hAnsi="Times New Roman" w:cs="Times New Roman"/>
          <w:kern w:val="0"/>
          <w:sz w:val="32"/>
          <w:highlight w:val="none"/>
          <w:lang w:val="en-US" w:eastAsia="zh-CN"/>
        </w:rPr>
        <w:t>108.17</w:t>
      </w:r>
      <w:r>
        <w:rPr>
          <w:rFonts w:hint="default" w:ascii="Times New Roman" w:hAnsi="Times New Roman" w:cs="Times New Roman"/>
          <w:kern w:val="0"/>
          <w:sz w:val="32"/>
          <w:highlight w:val="none"/>
        </w:rPr>
        <w:t>万元，</w:t>
      </w:r>
      <w:r>
        <w:rPr>
          <w:rFonts w:hint="default" w:ascii="Times New Roman" w:hAnsi="Times New Roman" w:cs="Times New Roman"/>
          <w:sz w:val="32"/>
          <w:highlight w:val="none"/>
          <w:lang w:val="zh-CN"/>
        </w:rPr>
        <w:t>占基本支出的</w:t>
      </w:r>
      <w:r>
        <w:rPr>
          <w:rFonts w:hint="eastAsia" w:ascii="Times New Roman" w:hAnsi="Times New Roman" w:cs="Times New Roman"/>
          <w:kern w:val="0"/>
          <w:sz w:val="32"/>
          <w:highlight w:val="none"/>
          <w:lang w:val="en-US" w:eastAsia="zh-CN"/>
        </w:rPr>
        <w:t>78.30</w:t>
      </w:r>
      <w:r>
        <w:rPr>
          <w:rFonts w:hint="default" w:ascii="Times New Roman" w:hAnsi="Times New Roman" w:cs="Times New Roman"/>
          <w:kern w:val="0"/>
          <w:sz w:val="32"/>
          <w:highlight w:val="none"/>
        </w:rPr>
        <w:t>%，主要包括基本工资、津贴补贴、</w:t>
      </w:r>
      <w:r>
        <w:rPr>
          <w:rFonts w:hint="default" w:ascii="Times New Roman" w:hAnsi="Times New Roman" w:cs="Times New Roman"/>
          <w:kern w:val="0"/>
          <w:sz w:val="32"/>
          <w:highlight w:val="none"/>
          <w:lang w:val="zh-CN"/>
        </w:rPr>
        <w:t>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keepNext/>
        <w:keepLines/>
        <w:pageBreakBefore w:val="0"/>
        <w:widowControl/>
        <w:kinsoku/>
        <w:wordWrap/>
        <w:overflowPunct/>
        <w:topLinePunct w:val="0"/>
        <w:autoSpaceDE/>
        <w:autoSpaceDN/>
        <w:bidi w:val="0"/>
        <w:adjustRightInd/>
        <w:snapToGrid/>
        <w:spacing w:beforeLines="0" w:afterLines="0" w:line="560" w:lineRule="exact"/>
        <w:ind w:firstLine="643"/>
        <w:jc w:val="left"/>
        <w:textAlignment w:val="auto"/>
        <w:rPr>
          <w:rFonts w:hint="default" w:ascii="Times New Roman" w:hAnsi="Times New Roman" w:eastAsia="Times New Roman" w:cs="Times New Roman"/>
          <w:kern w:val="0"/>
          <w:sz w:val="32"/>
          <w:highlight w:val="none"/>
        </w:rPr>
      </w:pPr>
      <w:r>
        <w:rPr>
          <w:rFonts w:hint="default" w:ascii="Times New Roman" w:hAnsi="Times New Roman" w:cs="Times New Roman"/>
          <w:b/>
          <w:kern w:val="0"/>
          <w:sz w:val="32"/>
          <w:highlight w:val="none"/>
        </w:rPr>
        <w:t>公用经费</w:t>
      </w:r>
      <w:r>
        <w:rPr>
          <w:rFonts w:hint="eastAsia" w:ascii="Times New Roman" w:hAnsi="Times New Roman" w:cs="Times New Roman"/>
          <w:kern w:val="0"/>
          <w:sz w:val="32"/>
          <w:highlight w:val="none"/>
          <w:lang w:val="en-US" w:eastAsia="zh-CN"/>
        </w:rPr>
        <w:t>29.98</w:t>
      </w:r>
      <w:r>
        <w:rPr>
          <w:rFonts w:hint="default" w:ascii="Times New Roman" w:hAnsi="Times New Roman" w:cs="Times New Roman"/>
          <w:kern w:val="0"/>
          <w:sz w:val="32"/>
          <w:highlight w:val="none"/>
        </w:rPr>
        <w:t>万元，</w:t>
      </w:r>
      <w:r>
        <w:rPr>
          <w:rFonts w:hint="default" w:ascii="Times New Roman" w:hAnsi="Times New Roman" w:cs="Times New Roman"/>
          <w:sz w:val="32"/>
          <w:highlight w:val="none"/>
          <w:lang w:val="zh-CN"/>
        </w:rPr>
        <w:t>占基本支出的</w:t>
      </w:r>
      <w:r>
        <w:rPr>
          <w:rFonts w:hint="eastAsia" w:ascii="Times New Roman" w:hAnsi="Times New Roman" w:cs="Times New Roman"/>
          <w:kern w:val="0"/>
          <w:sz w:val="32"/>
          <w:highlight w:val="none"/>
          <w:lang w:val="en-US" w:eastAsia="zh-CN"/>
        </w:rPr>
        <w:t>21.70</w:t>
      </w:r>
      <w:r>
        <w:rPr>
          <w:rFonts w:hint="default" w:ascii="Times New Roman" w:hAnsi="Times New Roman" w:cs="Times New Roman"/>
          <w:kern w:val="0"/>
          <w:sz w:val="32"/>
          <w:highlight w:val="none"/>
        </w:rPr>
        <w:t>%，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11"/>
        <w:rPr>
          <w:rFonts w:hAnsi="黑体"/>
          <w:b/>
          <w:sz w:val="32"/>
          <w:szCs w:val="32"/>
        </w:rPr>
      </w:pPr>
      <w:r>
        <w:rPr>
          <w:rFonts w:hint="eastAsia" w:hAnsi="黑体"/>
          <w:b/>
          <w:sz w:val="32"/>
          <w:szCs w:val="32"/>
        </w:rPr>
        <w:t>七、一般公共预算财政拨款三公经费支出决算情况说明</w:t>
      </w:r>
    </w:p>
    <w:p>
      <w:pPr>
        <w:pStyle w:val="11"/>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w:t>
      </w:r>
      <w:r>
        <w:rPr>
          <w:rFonts w:hint="eastAsia" w:asciiTheme="minorEastAsia" w:hAnsiTheme="minorEastAsia" w:eastAsiaTheme="minorEastAsia"/>
          <w:sz w:val="32"/>
          <w:szCs w:val="32"/>
          <w:lang w:val="en-US" w:eastAsia="zh-CN"/>
        </w:rPr>
        <w:t>0.3</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0.3</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%，其中：</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预决算一致无差异，</w:t>
      </w:r>
      <w:r>
        <w:rPr>
          <w:rFonts w:hint="eastAsia" w:ascii="宋体" w:hAnsi="宋体" w:eastAsia="宋体"/>
          <w:bCs/>
          <w:sz w:val="32"/>
          <w:szCs w:val="32"/>
        </w:rPr>
        <w:t>主要原因是单位无因公出国（境）预算安排和支出</w:t>
      </w:r>
      <w:r>
        <w:rPr>
          <w:rFonts w:hint="eastAsia" w:ascii="宋体" w:hAnsi="宋体" w:eastAsia="宋体"/>
          <w:bCs/>
          <w:sz w:val="32"/>
          <w:szCs w:val="32"/>
          <w:lang w:eastAsia="zh-CN"/>
        </w:rPr>
        <w:t>。</w:t>
      </w:r>
      <w:r>
        <w:rPr>
          <w:rFonts w:hint="eastAsia" w:asciiTheme="minorEastAsia" w:hAnsiTheme="minorEastAsia" w:eastAsiaTheme="minorEastAsia"/>
          <w:sz w:val="32"/>
          <w:szCs w:val="32"/>
        </w:rPr>
        <w:t>与上年</w:t>
      </w:r>
      <w:r>
        <w:rPr>
          <w:rFonts w:hint="eastAsia" w:asciiTheme="minorEastAsia" w:hAnsiTheme="minorEastAsia" w:eastAsiaTheme="minorEastAsia"/>
          <w:sz w:val="32"/>
          <w:szCs w:val="32"/>
          <w:lang w:eastAsia="zh-CN"/>
        </w:rPr>
        <w:t>无可比数据</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我单位为</w:t>
      </w:r>
      <w:r>
        <w:rPr>
          <w:rFonts w:hint="eastAsia" w:asciiTheme="minorEastAsia" w:hAnsiTheme="minorEastAsia" w:eastAsiaTheme="minorEastAsia"/>
          <w:sz w:val="32"/>
          <w:szCs w:val="32"/>
          <w:lang w:val="en-US" w:eastAsia="zh-CN"/>
        </w:rPr>
        <w:t>2021年纳入财政决算新增单位，上年没有数据。</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0.3</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0.3</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预决算一致无差异，</w:t>
      </w:r>
      <w:r>
        <w:rPr>
          <w:rFonts w:hint="eastAsia" w:ascii="宋体" w:hAnsi="宋体" w:eastAsia="宋体"/>
          <w:bCs/>
          <w:sz w:val="32"/>
          <w:szCs w:val="32"/>
        </w:rPr>
        <w:t>主要原因是单位厉行节约，严控公务接待</w:t>
      </w:r>
      <w:r>
        <w:rPr>
          <w:rFonts w:hint="eastAsia" w:ascii="宋体" w:hAnsi="宋体" w:eastAsia="宋体"/>
          <w:bCs/>
          <w:sz w:val="32"/>
          <w:szCs w:val="32"/>
          <w:lang w:eastAsia="zh-CN"/>
        </w:rPr>
        <w:t>，</w:t>
      </w:r>
      <w:r>
        <w:rPr>
          <w:rFonts w:hint="eastAsia" w:asciiTheme="minorEastAsia" w:hAnsiTheme="minorEastAsia" w:eastAsiaTheme="minorEastAsia"/>
          <w:sz w:val="32"/>
          <w:szCs w:val="32"/>
        </w:rPr>
        <w:t>与上年</w:t>
      </w:r>
      <w:r>
        <w:rPr>
          <w:rFonts w:hint="eastAsia" w:asciiTheme="minorEastAsia" w:hAnsiTheme="minorEastAsia" w:eastAsiaTheme="minorEastAsia"/>
          <w:sz w:val="32"/>
          <w:szCs w:val="32"/>
          <w:lang w:eastAsia="zh-CN"/>
        </w:rPr>
        <w:t>无可比数据</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我单位为</w:t>
      </w:r>
      <w:r>
        <w:rPr>
          <w:rFonts w:hint="eastAsia" w:asciiTheme="minorEastAsia" w:hAnsiTheme="minorEastAsia" w:eastAsiaTheme="minorEastAsia"/>
          <w:sz w:val="32"/>
          <w:szCs w:val="32"/>
          <w:lang w:val="en-US" w:eastAsia="zh-CN"/>
        </w:rPr>
        <w:t>2021年纳入财政决算新增单位，上年没有数据。</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预决算一致无差异，</w:t>
      </w:r>
      <w:r>
        <w:rPr>
          <w:rFonts w:hint="eastAsia" w:ascii="宋体" w:hAnsi="宋体" w:eastAsia="宋体"/>
          <w:bCs/>
          <w:sz w:val="32"/>
          <w:szCs w:val="32"/>
        </w:rPr>
        <w:t>主要原因是单位厉行节约</w:t>
      </w:r>
      <w:r>
        <w:rPr>
          <w:rFonts w:hint="eastAsia" w:ascii="宋体" w:hAnsi="宋体" w:eastAsia="宋体"/>
          <w:bCs/>
          <w:sz w:val="32"/>
          <w:szCs w:val="32"/>
          <w:lang w:eastAsia="zh-CN"/>
        </w:rPr>
        <w:t>。</w:t>
      </w:r>
      <w:r>
        <w:rPr>
          <w:rFonts w:hint="eastAsia" w:asciiTheme="minorEastAsia" w:hAnsiTheme="minorEastAsia" w:eastAsiaTheme="minorEastAsia"/>
          <w:sz w:val="32"/>
          <w:szCs w:val="32"/>
        </w:rPr>
        <w:t>与上年</w:t>
      </w:r>
      <w:r>
        <w:rPr>
          <w:rFonts w:hint="eastAsia" w:asciiTheme="minorEastAsia" w:hAnsiTheme="minorEastAsia" w:eastAsiaTheme="minorEastAsia"/>
          <w:sz w:val="32"/>
          <w:szCs w:val="32"/>
          <w:lang w:eastAsia="zh-CN"/>
        </w:rPr>
        <w:t>无可比数据</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我单位为</w:t>
      </w:r>
      <w:r>
        <w:rPr>
          <w:rFonts w:hint="eastAsia" w:asciiTheme="minorEastAsia" w:hAnsiTheme="minorEastAsia" w:eastAsiaTheme="minorEastAsia"/>
          <w:sz w:val="32"/>
          <w:szCs w:val="32"/>
          <w:lang w:val="en-US" w:eastAsia="zh-CN"/>
        </w:rPr>
        <w:t>2021年纳入财政决算新增单位，上年没有数据。</w:t>
      </w:r>
    </w:p>
    <w:p>
      <w:pPr>
        <w:pStyle w:val="11"/>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年度“三公”经费财政拨款支出决算中，公务接待费支出决算</w:t>
      </w:r>
      <w:r>
        <w:rPr>
          <w:rFonts w:hint="eastAsia" w:asciiTheme="minorEastAsia" w:hAnsiTheme="minorEastAsia" w:eastAsiaTheme="minorEastAsia"/>
          <w:sz w:val="32"/>
          <w:szCs w:val="32"/>
          <w:lang w:val="en-US" w:eastAsia="zh-CN"/>
        </w:rPr>
        <w:t>0.3</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万元，全年安排因公出国（境）团组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个，累计</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w:t>
      </w:r>
    </w:p>
    <w:p>
      <w:pPr>
        <w:pStyle w:val="11"/>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     2、公务接待费支出决算为</w:t>
      </w:r>
      <w:r>
        <w:rPr>
          <w:rFonts w:hint="eastAsia" w:asciiTheme="minorEastAsia" w:hAnsiTheme="minorEastAsia" w:eastAsiaTheme="minorEastAsia"/>
          <w:sz w:val="32"/>
          <w:szCs w:val="32"/>
          <w:lang w:val="en-US" w:eastAsia="zh-CN"/>
        </w:rPr>
        <w:t>0.3</w:t>
      </w:r>
      <w:r>
        <w:rPr>
          <w:rFonts w:hint="eastAsia" w:asciiTheme="minorEastAsia" w:hAnsiTheme="minorEastAsia" w:eastAsiaTheme="minorEastAsia"/>
          <w:sz w:val="32"/>
          <w:szCs w:val="32"/>
        </w:rPr>
        <w:t>万元，全年共接待来访团组</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个、来宾</w:t>
      </w: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人次。</w:t>
      </w:r>
    </w:p>
    <w:p>
      <w:pPr>
        <w:ind w:firstLine="800" w:firstLineChars="250"/>
        <w:rPr>
          <w:rFonts w:hint="eastAsia" w:cs="黑体" w:asciiTheme="minorEastAsia" w:hAnsiTheme="minorEastAsia" w:eastAsiaTheme="minorEastAsia"/>
          <w:color w:val="000000"/>
          <w:kern w:val="0"/>
          <w:sz w:val="32"/>
          <w:szCs w:val="32"/>
          <w:lang w:eastAsia="zh-CN"/>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0</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0</w:t>
      </w:r>
      <w:r>
        <w:rPr>
          <w:rFonts w:hint="eastAsia" w:asciiTheme="minorEastAsia" w:hAnsiTheme="minorEastAsia"/>
          <w:sz w:val="32"/>
          <w:szCs w:val="32"/>
        </w:rPr>
        <w:t>万元，更新公务用车</w:t>
      </w:r>
      <w:r>
        <w:rPr>
          <w:rFonts w:hint="eastAsia" w:asciiTheme="minorEastAsia" w:hAnsiTheme="minorEastAsia"/>
          <w:sz w:val="32"/>
          <w:szCs w:val="32"/>
          <w:lang w:val="en-US" w:eastAsia="zh-CN"/>
        </w:rPr>
        <w:t>0</w:t>
      </w:r>
      <w:r>
        <w:rPr>
          <w:rFonts w:hint="eastAsia" w:asciiTheme="minorEastAsia" w:hAnsiTheme="minorEastAsia"/>
          <w:sz w:val="32"/>
          <w:szCs w:val="32"/>
        </w:rPr>
        <w:t>辆</w:t>
      </w:r>
      <w:r>
        <w:rPr>
          <w:rFonts w:hint="eastAsia" w:asciiTheme="minorEastAsia" w:hAnsiTheme="minorEastAsia"/>
          <w:color w:val="000000" w:themeColor="text1"/>
          <w:sz w:val="32"/>
          <w:szCs w:val="32"/>
        </w:rPr>
        <w:t>。</w:t>
      </w:r>
      <w:r>
        <w:rPr>
          <w:rFonts w:hint="eastAsia" w:asciiTheme="minorEastAsia" w:hAnsiTheme="minorEastAsia"/>
          <w:sz w:val="32"/>
          <w:szCs w:val="32"/>
        </w:rPr>
        <w:t>公务用车运行维护费</w:t>
      </w:r>
      <w:r>
        <w:rPr>
          <w:rFonts w:hint="eastAsia" w:asciiTheme="minorEastAsia" w:hAnsiTheme="minorEastAsia"/>
          <w:sz w:val="32"/>
          <w:szCs w:val="32"/>
          <w:lang w:val="en-US" w:eastAsia="zh-CN"/>
        </w:rPr>
        <w:t>0</w:t>
      </w:r>
      <w:r>
        <w:rPr>
          <w:rFonts w:hint="eastAsia" w:asciiTheme="minorEastAsia" w:hAnsiTheme="minorEastAsia"/>
          <w:sz w:val="32"/>
          <w:szCs w:val="32"/>
        </w:rPr>
        <w:t>万元，截止202</w:t>
      </w:r>
      <w:r>
        <w:rPr>
          <w:rFonts w:hint="eastAsia" w:asciiTheme="minorEastAsia" w:hAnsiTheme="minorEastAsia"/>
          <w:sz w:val="32"/>
          <w:szCs w:val="32"/>
          <w:lang w:val="en-US" w:eastAsia="zh-CN"/>
        </w:rPr>
        <w:t>1</w:t>
      </w:r>
      <w:r>
        <w:rPr>
          <w:rFonts w:hint="eastAsia" w:asciiTheme="minorEastAsia" w:hAnsiTheme="minorEastAsia"/>
          <w:sz w:val="32"/>
          <w:szCs w:val="32"/>
        </w:rPr>
        <w:t>年12月31日，我单位开支财政拨款的公务用车保有量为</w:t>
      </w:r>
      <w:r>
        <w:rPr>
          <w:rFonts w:hint="eastAsia" w:asciiTheme="minorEastAsia" w:hAnsiTheme="minorEastAsia"/>
          <w:sz w:val="32"/>
          <w:szCs w:val="32"/>
          <w:lang w:val="en-US" w:eastAsia="zh-CN"/>
        </w:rPr>
        <w:t>0</w:t>
      </w:r>
      <w:r>
        <w:rPr>
          <w:rFonts w:hint="eastAsia" w:asciiTheme="minorEastAsia" w:hAnsiTheme="minorEastAsia"/>
          <w:sz w:val="32"/>
          <w:szCs w:val="32"/>
        </w:rPr>
        <w:t>辆。</w:t>
      </w:r>
      <w:r>
        <w:rPr>
          <w:rFonts w:hint="eastAsia" w:asciiTheme="minorEastAsia" w:hAnsiTheme="minorEastAsia"/>
          <w:sz w:val="32"/>
          <w:szCs w:val="32"/>
          <w:lang w:eastAsia="zh-CN"/>
        </w:rPr>
        <w:t>当年没有购置公务用车。</w:t>
      </w:r>
    </w:p>
    <w:p>
      <w:pPr>
        <w:pStyle w:val="11"/>
        <w:rPr>
          <w:rFonts w:hAnsi="黑体"/>
          <w:b/>
          <w:sz w:val="32"/>
          <w:szCs w:val="32"/>
        </w:rPr>
      </w:pPr>
      <w:r>
        <w:rPr>
          <w:rFonts w:hint="eastAsia" w:hAnsi="黑体"/>
          <w:b/>
          <w:sz w:val="32"/>
          <w:szCs w:val="32"/>
        </w:rPr>
        <w:t>八、政府性基金预算收入支出决算情况</w:t>
      </w:r>
    </w:p>
    <w:p>
      <w:pPr>
        <w:pStyle w:val="11"/>
        <w:rPr>
          <w:rFonts w:hint="eastAsia" w:asciiTheme="minorEastAsia" w:hAnsiTheme="minorEastAsia" w:eastAsiaTheme="minorEastAsia"/>
          <w:sz w:val="32"/>
          <w:szCs w:val="32"/>
        </w:rPr>
      </w:pPr>
      <w:r>
        <w:rPr>
          <w:rFonts w:hint="eastAsia" w:asciiTheme="minorEastAsia" w:hAnsiTheme="minorEastAsia" w:eastAsiaTheme="minorEastAsia"/>
          <w:sz w:val="32"/>
          <w:szCs w:val="32"/>
        </w:rPr>
        <w:t xml:space="preserve">     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年度本单位无政府性基金收支</w:t>
      </w:r>
      <w:r>
        <w:rPr>
          <w:rFonts w:hint="eastAsia" w:asciiTheme="minorEastAsia" w:hAnsiTheme="minorEastAsia" w:eastAsiaTheme="minorEastAsia"/>
          <w:sz w:val="32"/>
          <w:szCs w:val="32"/>
          <w:lang w:val="en-US" w:eastAsia="zh-CN"/>
        </w:rPr>
        <w:t>.</w:t>
      </w:r>
      <w:r>
        <w:rPr>
          <w:rFonts w:hint="eastAsia" w:asciiTheme="minorEastAsia" w:hAnsiTheme="minorEastAsia" w:eastAsiaTheme="minorEastAsia"/>
          <w:sz w:val="32"/>
          <w:szCs w:val="32"/>
        </w:rPr>
        <w:t>政府性基金预算财政拨款收入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万元；年初结转和结余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万元，项目支出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万元；年末结转和结余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11"/>
        <w:rPr>
          <w:rFonts w:hAnsi="黑体"/>
          <w:b/>
          <w:sz w:val="32"/>
          <w:szCs w:val="32"/>
        </w:rPr>
      </w:pPr>
      <w:r>
        <w:rPr>
          <w:rFonts w:hint="eastAsia" w:hAnsi="黑体"/>
          <w:b/>
          <w:sz w:val="32"/>
          <w:szCs w:val="32"/>
        </w:rPr>
        <w:t>九、国有资本经营预算财政拨款支出决算情况</w:t>
      </w:r>
    </w:p>
    <w:p>
      <w:pPr>
        <w:pStyle w:val="11"/>
        <w:rPr>
          <w:rFonts w:hAnsi="黑体"/>
          <w:b/>
          <w:sz w:val="32"/>
          <w:szCs w:val="32"/>
        </w:rPr>
      </w:pPr>
      <w:r>
        <w:rPr>
          <w:rFonts w:hint="eastAsia" w:asciiTheme="minorEastAsia" w:hAnsiTheme="minorEastAsia" w:eastAsiaTheme="minorEastAsia"/>
          <w:sz w:val="32"/>
          <w:szCs w:val="32"/>
        </w:rPr>
        <w:t xml:space="preserve">    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年度</w:t>
      </w:r>
      <w:r>
        <w:rPr>
          <w:rFonts w:hint="eastAsia" w:asciiTheme="minorEastAsia" w:hAnsiTheme="minorEastAsia" w:eastAsiaTheme="minorEastAsia"/>
          <w:sz w:val="32"/>
          <w:szCs w:val="32"/>
          <w:lang w:eastAsia="zh-CN"/>
        </w:rPr>
        <w:t>本</w:t>
      </w:r>
      <w:r>
        <w:rPr>
          <w:rFonts w:hint="eastAsia" w:asciiTheme="minorEastAsia" w:hAnsiTheme="minorEastAsia" w:eastAsiaTheme="minorEastAsia"/>
          <w:sz w:val="32"/>
          <w:szCs w:val="32"/>
        </w:rPr>
        <w:t>单位无国有资本经营预算财政拨款支出</w:t>
      </w:r>
      <w:r>
        <w:rPr>
          <w:rFonts w:asciiTheme="minorEastAsia" w:hAnsiTheme="minorEastAsia" w:eastAsiaTheme="minorEastAsia"/>
          <w:sz w:val="32"/>
          <w:szCs w:val="32"/>
        </w:rPr>
        <w:t>。</w:t>
      </w:r>
    </w:p>
    <w:p>
      <w:pPr>
        <w:pStyle w:val="11"/>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国有资本经营预算财政拨款支出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万元，项目支出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11"/>
        <w:rPr>
          <w:rFonts w:hAnsi="黑体"/>
          <w:b/>
          <w:sz w:val="32"/>
          <w:szCs w:val="32"/>
        </w:rPr>
      </w:pPr>
      <w:r>
        <w:rPr>
          <w:rFonts w:hint="eastAsia" w:hAnsi="黑体"/>
          <w:b/>
          <w:sz w:val="32"/>
          <w:szCs w:val="32"/>
        </w:rPr>
        <w:t>十、关于机关运行经费支出说明</w:t>
      </w:r>
    </w:p>
    <w:p>
      <w:pPr>
        <w:pStyle w:val="11"/>
        <w:ind w:firstLine="640" w:firstLineChars="200"/>
        <w:rPr>
          <w:rFonts w:ascii="宋体" w:hAnsi="宋体" w:eastAsia="宋体" w:cs="Times New Roman"/>
          <w:color w:val="auto"/>
          <w:sz w:val="32"/>
          <w:szCs w:val="32"/>
        </w:rPr>
      </w:pPr>
      <w:r>
        <w:rPr>
          <w:rFonts w:hint="eastAsia" w:asciiTheme="minorEastAsia" w:hAnsiTheme="minorEastAsia" w:eastAsiaTheme="minorEastAsia"/>
          <w:sz w:val="32"/>
          <w:szCs w:val="32"/>
        </w:rPr>
        <w:t>本部门2021年度机关运行经费支出0万元，</w:t>
      </w:r>
      <w:r>
        <w:rPr>
          <w:rFonts w:hint="eastAsia" w:ascii="宋体" w:hAnsi="宋体" w:eastAsia="宋体" w:cs="Times New Roman"/>
          <w:color w:val="auto"/>
          <w:sz w:val="32"/>
          <w:szCs w:val="32"/>
        </w:rPr>
        <w:t>与年初预算数一致，主要原因是：本单位</w:t>
      </w:r>
      <w:r>
        <w:rPr>
          <w:rFonts w:hint="eastAsia" w:asciiTheme="minorEastAsia" w:hAnsiTheme="minorEastAsia" w:eastAsiaTheme="minorEastAsia"/>
          <w:sz w:val="32"/>
          <w:szCs w:val="32"/>
          <w:lang w:eastAsia="zh-CN"/>
        </w:rPr>
        <w:t>非行政单位和参照公务员法管理事业单位</w:t>
      </w:r>
      <w:r>
        <w:rPr>
          <w:rFonts w:hint="eastAsia" w:ascii="宋体" w:hAnsi="宋体" w:eastAsia="宋体" w:cs="Times New Roman"/>
          <w:color w:val="auto"/>
          <w:sz w:val="32"/>
          <w:szCs w:val="32"/>
        </w:rPr>
        <w:t>。</w:t>
      </w:r>
    </w:p>
    <w:p>
      <w:pPr>
        <w:pStyle w:val="11"/>
        <w:ind w:firstLine="640" w:firstLineChars="200"/>
        <w:rPr>
          <w:rFonts w:asciiTheme="minorEastAsia" w:hAnsiTheme="minorEastAsia" w:eastAsiaTheme="minorEastAsia"/>
          <w:sz w:val="32"/>
          <w:szCs w:val="32"/>
        </w:rPr>
      </w:pPr>
    </w:p>
    <w:p>
      <w:pPr>
        <w:pStyle w:val="11"/>
        <w:rPr>
          <w:rFonts w:hAnsi="黑体"/>
          <w:b/>
          <w:sz w:val="32"/>
          <w:szCs w:val="32"/>
        </w:rPr>
      </w:pPr>
      <w:r>
        <w:rPr>
          <w:rFonts w:hint="eastAsia" w:hAnsi="黑体"/>
          <w:b/>
          <w:sz w:val="32"/>
          <w:szCs w:val="32"/>
        </w:rPr>
        <w:t>十一、一般性支出情况</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年本部门开支会议费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未</w:t>
      </w:r>
      <w:r>
        <w:rPr>
          <w:rFonts w:hint="eastAsia" w:asciiTheme="minorEastAsia" w:hAnsiTheme="minorEastAsia" w:eastAsiaTheme="minorEastAsia"/>
          <w:sz w:val="32"/>
          <w:szCs w:val="32"/>
        </w:rPr>
        <w:t>召开议，人数</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人；开支培训费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末</w:t>
      </w:r>
      <w:r>
        <w:rPr>
          <w:rFonts w:hint="eastAsia" w:asciiTheme="minorEastAsia" w:hAnsiTheme="minorEastAsia" w:eastAsiaTheme="minorEastAsia"/>
          <w:sz w:val="32"/>
          <w:szCs w:val="32"/>
        </w:rPr>
        <w:t>开展培训，人数</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w:t>
      </w:r>
      <w:r>
        <w:rPr>
          <w:rFonts w:hint="eastAsia" w:asciiTheme="minorEastAsia" w:hAnsiTheme="minorEastAsia" w:eastAsiaTheme="minorEastAsia"/>
          <w:sz w:val="32"/>
          <w:szCs w:val="32"/>
          <w:lang w:eastAsia="zh-CN"/>
        </w:rPr>
        <w:t>末</w:t>
      </w:r>
      <w:r>
        <w:rPr>
          <w:rFonts w:hint="eastAsia" w:asciiTheme="minorEastAsia" w:hAnsiTheme="minorEastAsia" w:eastAsiaTheme="minorEastAsia"/>
          <w:sz w:val="32"/>
          <w:szCs w:val="32"/>
        </w:rPr>
        <w:t>举办节庆、晚会、论坛、赛事活动，开支</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11"/>
        <w:rPr>
          <w:rFonts w:hAnsi="黑体"/>
          <w:b/>
          <w:sz w:val="32"/>
          <w:szCs w:val="32"/>
        </w:rPr>
      </w:pPr>
      <w:r>
        <w:rPr>
          <w:rFonts w:hint="eastAsia" w:hAnsi="黑体"/>
          <w:b/>
          <w:sz w:val="32"/>
          <w:szCs w:val="32"/>
        </w:rPr>
        <w:t>十二、关于政府采购支出说明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2021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0%，工程采购授予中小企业合同金额占工程支出金额的0%，服务采购授予中小企业合同金额占服务支出金额的0%。</w:t>
      </w:r>
    </w:p>
    <w:p>
      <w:pPr>
        <w:pStyle w:val="11"/>
        <w:rPr>
          <w:rFonts w:hAnsi="黑体"/>
          <w:b/>
          <w:sz w:val="32"/>
          <w:szCs w:val="32"/>
        </w:rPr>
      </w:pPr>
      <w:r>
        <w:rPr>
          <w:rFonts w:hint="eastAsia" w:hAnsi="黑体"/>
          <w:b/>
          <w:sz w:val="32"/>
          <w:szCs w:val="32"/>
        </w:rPr>
        <w:t>十三、关于国有资产占用情况说明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2021年12月31日，部门（单位）共有车辆0辆，其中，主要领导干部用车0辆，机要通信用车0辆、应急保障用车0辆、执法执勤用车0辆、特种专业技术用车0辆、其他用车0辆，单位价值50万元以上通用设备0台（套）；单位价值100万元以上专用设备0台（套）。</w:t>
      </w:r>
    </w:p>
    <w:p>
      <w:pPr>
        <w:autoSpaceDE w:val="0"/>
        <w:autoSpaceDN w:val="0"/>
        <w:adjustRightInd w:val="0"/>
        <w:jc w:val="left"/>
        <w:rPr>
          <w:rFonts w:hint="eastAsia" w:ascii="黑体" w:hAnsi="黑体" w:eastAsia="黑体" w:cs="黑体"/>
          <w:b/>
          <w:color w:val="000000"/>
          <w:kern w:val="0"/>
          <w:sz w:val="32"/>
          <w:szCs w:val="32"/>
          <w:lang w:val="en-US" w:eastAsia="zh-CN" w:bidi="ar-SA"/>
        </w:rPr>
      </w:pPr>
      <w:r>
        <w:rPr>
          <w:rFonts w:hint="eastAsia" w:ascii="黑体" w:hAnsi="黑体" w:eastAsia="黑体" w:cs="黑体"/>
          <w:b/>
          <w:color w:val="000000"/>
          <w:kern w:val="0"/>
          <w:sz w:val="32"/>
          <w:szCs w:val="32"/>
          <w:lang w:val="en-US" w:eastAsia="zh-CN" w:bidi="ar-SA"/>
        </w:rPr>
        <w:t>十四、关于2021年度预算绩效情况的说明。</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根据预算绩效管理要求，我部门组织对2021 年度一般公共预算项目支出全面开展绩效自评，其中二级项目3个，共涉及资金30万元，占一般公共预算项目支出总额的16.83%。组织对1、西环线项目建设；2、电力管廊建设；3城市道路建设项目开展了部门评价，从评价情况来看：</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1、西环线项目，按照市委、市政府要求10月1日全面竣工的既定目标，全面计划，倒排时间，压实责任，挂图作战，仅用16个月零8天的时间完成了12.4877万平方米的房屋征拆和全线3223米的建设任务，并在征收包干、厉行节约、集中管线迁改、督查督办等方面探索出了许多新的方法和途径。10月25日市委、市政府发文通报表扬了我局和指挥部办公室。</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eastAsia="zh-CN"/>
        </w:rPr>
      </w:pP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2、电力管廊建设项目，一是前期工作方面。已完成了可研报告评审和初步设计、概算编制等工作，投资估算为22.50亿元；分部完成了施工图设计、审查工作并办理了施工许可证。二是工程进度方面。电力管廊东西两端始发井于2月28日动工，截止12月8日，已盾构掘进340.50m(盾构段全长4579m)。目前东端王家河公园始发井已基本完工，具备盾构设备进场条件，预计本月中旬可实现东西两端相向盾构掘进；采用明挖或顶管施工的雨污水、给水管工程已优化设计完毕，即将报施工图审查；岳阳大道与洞庭大道下穿通道已完成初步设计审查。</w:t>
      </w:r>
    </w:p>
    <w:p>
      <w:pPr>
        <w:autoSpaceDE w:val="0"/>
        <w:autoSpaceDN w:val="0"/>
        <w:adjustRightInd w:val="0"/>
        <w:ind w:firstLine="640" w:firstLineChars="200"/>
        <w:jc w:val="left"/>
        <w:rPr>
          <w:rFonts w:hint="eastAsia" w:cs="黑体" w:asciiTheme="minorEastAsia" w:hAnsiTheme="minorEastAsia"/>
          <w:color w:val="000000"/>
          <w:kern w:val="0"/>
          <w:sz w:val="32"/>
          <w:szCs w:val="32"/>
          <w:lang w:val="en-US" w:eastAsia="zh-CN"/>
        </w:rPr>
      </w:pPr>
    </w:p>
    <w:p>
      <w:pPr>
        <w:autoSpaceDE w:val="0"/>
        <w:autoSpaceDN w:val="0"/>
        <w:adjustRightInd w:val="0"/>
        <w:ind w:firstLine="640" w:firstLineChars="200"/>
        <w:jc w:val="left"/>
        <w:rPr>
          <w:rFonts w:hint="default"/>
          <w:b w:val="0"/>
          <w:bCs w:val="0"/>
          <w:lang w:val="en-US" w:eastAsia="zh-CN"/>
        </w:rPr>
      </w:pPr>
      <w:r>
        <w:rPr>
          <w:rFonts w:hint="eastAsia" w:cs="黑体" w:asciiTheme="minorEastAsia" w:hAnsiTheme="minorEastAsia"/>
          <w:color w:val="000000"/>
          <w:kern w:val="0"/>
          <w:sz w:val="32"/>
          <w:szCs w:val="32"/>
          <w:lang w:val="en-US" w:eastAsia="zh-CN"/>
        </w:rPr>
        <w:t>3、城市道路建设。按照市政府的年度目标任务，城市道路建设分指挥部今年应督促相关业主单位建成投运西环线和枫树山路，加快洞庭大道高架、洛王路大桥、分水垅路等九条城市道路建设。都有相应的进展。</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项目绩效均达到了预期水平，完成率100%。</w:t>
      </w:r>
    </w:p>
    <w:p>
      <w:pPr>
        <w:pStyle w:val="11"/>
        <w:ind w:firstLine="640" w:firstLineChars="2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本单位无重点项目，故未开展重点项目自评，无重点项目自评结果。</w:t>
      </w:r>
    </w:p>
    <w:p>
      <w:pPr>
        <w:spacing w:beforeLines="0" w:afterLines="0" w:line="600" w:lineRule="exact"/>
        <w:ind w:firstLine="640" w:firstLineChars="200"/>
        <w:rPr>
          <w:rFonts w:hint="eastAsia" w:ascii="宋体" w:hAnsi="Times New Roman" w:eastAsia="宋体"/>
          <w:sz w:val="32"/>
          <w:szCs w:val="24"/>
          <w:highlight w:val="white"/>
        </w:rPr>
      </w:pPr>
      <w:r>
        <w:rPr>
          <w:rFonts w:hint="eastAsia" w:asciiTheme="minorEastAsia" w:hAnsiTheme="minorEastAsia" w:eastAsiaTheme="minorEastAsia"/>
          <w:sz w:val="32"/>
          <w:szCs w:val="32"/>
        </w:rPr>
        <w:t>本部门所有支出实行绩效目标管理。纳入202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年部门整体预算支出绩效目标的金额为</w:t>
      </w:r>
      <w:r>
        <w:rPr>
          <w:rFonts w:hint="eastAsia" w:asciiTheme="minorEastAsia" w:hAnsiTheme="minorEastAsia" w:eastAsiaTheme="minorEastAsia"/>
          <w:sz w:val="32"/>
          <w:szCs w:val="32"/>
          <w:lang w:val="en-US" w:eastAsia="zh-CN"/>
        </w:rPr>
        <w:t>178.29</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138.15</w:t>
      </w:r>
      <w:r>
        <w:rPr>
          <w:rFonts w:hint="eastAsia" w:asciiTheme="minorEastAsia" w:hAnsiTheme="minorEastAsia" w:eastAsiaTheme="minorEastAsia"/>
          <w:sz w:val="32"/>
          <w:szCs w:val="32"/>
        </w:rPr>
        <w:t>万元，项目支出</w:t>
      </w:r>
      <w:r>
        <w:rPr>
          <w:rFonts w:hint="eastAsia" w:asciiTheme="minorEastAsia" w:hAnsiTheme="minorEastAsia" w:eastAsiaTheme="minorEastAsia"/>
          <w:sz w:val="32"/>
          <w:szCs w:val="32"/>
          <w:lang w:val="en-US" w:eastAsia="zh-CN"/>
        </w:rPr>
        <w:t>40.14</w:t>
      </w:r>
      <w:r>
        <w:rPr>
          <w:rFonts w:hint="eastAsia" w:asciiTheme="minorEastAsia" w:hAnsiTheme="minorEastAsia" w:eastAsiaTheme="minorEastAsia"/>
          <w:sz w:val="32"/>
          <w:szCs w:val="32"/>
        </w:rPr>
        <w:t>万元，</w:t>
      </w:r>
      <w:r>
        <w:rPr>
          <w:rFonts w:hint="eastAsia" w:ascii="宋体" w:hAnsi="Times New Roman" w:eastAsia="宋体"/>
          <w:sz w:val="32"/>
          <w:szCs w:val="24"/>
          <w:highlight w:val="white"/>
        </w:rPr>
        <w:t>单位紧扣目标任务对部门整体支出全面开展绩效自评</w:t>
      </w:r>
      <w:r>
        <w:rPr>
          <w:rFonts w:hint="eastAsia" w:ascii="宋体" w:hAnsi="Times New Roman" w:eastAsia="宋体"/>
          <w:sz w:val="32"/>
          <w:szCs w:val="24"/>
          <w:highlight w:val="white"/>
          <w:lang w:eastAsia="zh-CN"/>
        </w:rPr>
        <w:t>，</w:t>
      </w:r>
      <w:r>
        <w:rPr>
          <w:rFonts w:hint="eastAsia" w:ascii="宋体" w:hAnsi="Times New Roman" w:eastAsia="宋体"/>
          <w:sz w:val="32"/>
          <w:szCs w:val="24"/>
          <w:highlight w:val="white"/>
        </w:rPr>
        <w:t>评价等次为优秀。</w:t>
      </w:r>
    </w:p>
    <w:p>
      <w:pPr>
        <w:pStyle w:val="11"/>
        <w:ind w:firstLine="640" w:firstLineChars="200"/>
        <w:jc w:val="both"/>
        <w:rPr>
          <w:rFonts w:hint="eastAsia" w:eastAsiaTheme="minorEastAsia"/>
          <w:sz w:val="72"/>
          <w:szCs w:val="72"/>
          <w:lang w:eastAsia="zh-CN"/>
        </w:rPr>
      </w:pPr>
      <w:r>
        <w:rPr>
          <w:rFonts w:hint="eastAsia" w:ascii="宋体" w:hAnsi="Times New Roman" w:eastAsia="宋体"/>
          <w:sz w:val="32"/>
          <w:szCs w:val="24"/>
          <w:highlight w:val="white"/>
          <w:lang w:val="en-US" w:eastAsia="zh-CN"/>
        </w:rPr>
        <w:t>单位整体支出绩效情况表</w:t>
      </w:r>
      <w:r>
        <w:rPr>
          <w:rFonts w:hint="eastAsia" w:ascii="宋体" w:hAnsi="Times New Roman" w:eastAsia="宋体"/>
          <w:sz w:val="32"/>
          <w:szCs w:val="24"/>
          <w:highlight w:val="white"/>
          <w:lang w:eastAsia="zh-CN"/>
        </w:rPr>
        <w:t>一并作为附件公开。</w:t>
      </w:r>
    </w:p>
    <w:p>
      <w:pPr>
        <w:pStyle w:val="11"/>
        <w:jc w:val="center"/>
        <w:rPr>
          <w:sz w:val="72"/>
          <w:szCs w:val="72"/>
        </w:rPr>
      </w:pPr>
      <w:bookmarkStart w:id="2" w:name="_GoBack"/>
      <w:bookmarkEnd w:id="2"/>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ind w:firstLine="3600" w:firstLineChars="500"/>
        <w:jc w:val="both"/>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二、机关运行经费，是指各部门的公用经费，包括办公及印刷费、邮电费、差旅费、会议费、福利费、日常维修费、专用材料及一般设备购置费、办公用房水电费、办公用房取暖费、办公用房物业管理费、公务用车运行维护费以及其他费用。</w:t>
      </w:r>
    </w:p>
    <w:p>
      <w:pPr>
        <w:keepNext/>
        <w:keepLines/>
        <w:autoSpaceDE w:val="0"/>
        <w:autoSpaceDN w:val="0"/>
        <w:adjustRightInd w:val="0"/>
        <w:spacing w:line="560" w:lineRule="exact"/>
        <w:ind w:firstLine="640"/>
        <w:rPr>
          <w:rFonts w:ascii="宋体" w:hAnsi="Times New Roman" w:eastAsia="宋体"/>
          <w:color w:val="000000"/>
          <w:kern w:val="0"/>
          <w:sz w:val="32"/>
        </w:rPr>
      </w:pPr>
      <w:r>
        <w:rPr>
          <w:rFonts w:hint="eastAsia" w:cs="黑体" w:asciiTheme="minorEastAsia" w:hAnsiTheme="minorEastAsia"/>
          <w:color w:val="000000"/>
          <w:kern w:val="0"/>
          <w:sz w:val="32"/>
          <w:szCs w:val="32"/>
        </w:rPr>
        <w:t>三、</w:t>
      </w:r>
      <w:r>
        <w:rPr>
          <w:rFonts w:hint="eastAsia" w:ascii="宋体" w:hAnsi="Times New Roman" w:eastAsia="宋体"/>
          <w:color w:val="000000"/>
          <w:kern w:val="0"/>
          <w:sz w:val="32"/>
        </w:rPr>
        <w:t>财政拨款收入，指本级财政当年拨付的资金。</w:t>
      </w:r>
    </w:p>
    <w:p>
      <w:pPr>
        <w:keepNext/>
        <w:keepLines/>
        <w:autoSpaceDE w:val="0"/>
        <w:autoSpaceDN w:val="0"/>
        <w:adjustRightInd w:val="0"/>
        <w:spacing w:line="560" w:lineRule="exact"/>
        <w:ind w:firstLine="640"/>
        <w:rPr>
          <w:rFonts w:ascii="宋体" w:hAnsi="Times New Roman" w:eastAsia="宋体"/>
          <w:color w:val="000000"/>
          <w:kern w:val="0"/>
          <w:sz w:val="32"/>
        </w:rPr>
      </w:pPr>
      <w:r>
        <w:rPr>
          <w:rFonts w:hint="eastAsia" w:ascii="宋体" w:hAnsi="Times New Roman" w:eastAsia="宋体"/>
          <w:color w:val="000000"/>
          <w:kern w:val="0"/>
          <w:sz w:val="32"/>
        </w:rPr>
        <w:t>四、基本支出，指保障机构正常运转、完成支日常工作任务而发生的人员支出和公用支出。</w:t>
      </w:r>
    </w:p>
    <w:p>
      <w:pPr>
        <w:keepNext/>
        <w:keepLines/>
        <w:autoSpaceDE w:val="0"/>
        <w:autoSpaceDN w:val="0"/>
        <w:adjustRightInd w:val="0"/>
        <w:spacing w:line="560" w:lineRule="exact"/>
        <w:ind w:firstLine="640"/>
        <w:rPr>
          <w:rFonts w:ascii="宋体" w:hAnsi="Times New Roman" w:eastAsia="宋体"/>
          <w:color w:val="000000"/>
          <w:kern w:val="0"/>
          <w:sz w:val="32"/>
        </w:rPr>
      </w:pPr>
      <w:r>
        <w:rPr>
          <w:rFonts w:hint="eastAsia" w:ascii="宋体" w:hAnsi="Times New Roman" w:eastAsia="宋体"/>
          <w:color w:val="000000"/>
          <w:kern w:val="0"/>
          <w:sz w:val="32"/>
        </w:rPr>
        <w:t>五、项目支出，指在基本支出之外为完成特定行政任务和事业发展目标所发生的支出。</w:t>
      </w:r>
    </w:p>
    <w:p>
      <w:pPr>
        <w:ind w:firstLine="640" w:firstLineChars="200"/>
        <w:jc w:val="left"/>
        <w:rPr>
          <w:rFonts w:cs="黑体" w:asciiTheme="minorEastAsia" w:hAnsiTheme="minorEastAsia"/>
          <w:color w:val="000000"/>
          <w:kern w:val="0"/>
          <w:sz w:val="32"/>
          <w:szCs w:val="32"/>
        </w:rPr>
      </w:pPr>
    </w:p>
    <w:p>
      <w:pPr>
        <w:ind w:firstLine="640" w:firstLineChars="200"/>
        <w:jc w:val="left"/>
        <w:rPr>
          <w:rFonts w:hint="eastAsia" w:cs="黑体" w:asciiTheme="minorEastAsia" w:hAnsiTheme="minorEastAsia" w:eastAsiaTheme="minorEastAsia"/>
          <w:color w:val="000000"/>
          <w:kern w:val="0"/>
          <w:sz w:val="32"/>
          <w:szCs w:val="32"/>
          <w:lang w:val="en-US" w:eastAsia="zh-CN" w:bidi="ar-SA"/>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spacing w:line="800" w:lineRule="exact"/>
        <w:jc w:val="center"/>
        <w:rPr>
          <w:rFonts w:hint="eastAsia" w:eastAsia="方正小标宋简体"/>
          <w:bCs/>
          <w:sz w:val="46"/>
          <w:szCs w:val="46"/>
        </w:rPr>
      </w:pPr>
      <w:r>
        <w:rPr>
          <w:rFonts w:hint="eastAsia" w:eastAsia="方正小标宋简体"/>
          <w:bCs/>
          <w:sz w:val="46"/>
          <w:szCs w:val="46"/>
        </w:rPr>
        <w:t>岳阳市</w:t>
      </w:r>
      <w:r>
        <w:rPr>
          <w:rFonts w:hint="eastAsia" w:eastAsia="方正小标宋简体"/>
          <w:bCs/>
          <w:sz w:val="46"/>
          <w:szCs w:val="46"/>
          <w:lang w:val="en-US" w:eastAsia="zh-CN"/>
        </w:rPr>
        <w:t>城建项目管理中心</w:t>
      </w:r>
      <w:r>
        <w:rPr>
          <w:rFonts w:hint="eastAsia" w:eastAsia="方正小标宋简体"/>
          <w:bCs/>
          <w:sz w:val="46"/>
          <w:szCs w:val="46"/>
          <w:u w:val="single"/>
        </w:rPr>
        <w:t>20</w:t>
      </w:r>
      <w:r>
        <w:rPr>
          <w:rFonts w:hint="eastAsia" w:eastAsia="方正小标宋简体"/>
          <w:bCs/>
          <w:sz w:val="46"/>
          <w:szCs w:val="46"/>
          <w:u w:val="single"/>
          <w:lang w:val="en-US" w:eastAsia="zh-CN"/>
        </w:rPr>
        <w:t>21</w:t>
      </w:r>
      <w:r>
        <w:rPr>
          <w:rFonts w:hint="eastAsia" w:eastAsia="方正小标宋简体"/>
          <w:bCs/>
          <w:sz w:val="46"/>
          <w:szCs w:val="46"/>
        </w:rPr>
        <w:t>年度</w:t>
      </w:r>
    </w:p>
    <w:p>
      <w:pPr>
        <w:spacing w:line="800" w:lineRule="exact"/>
        <w:jc w:val="center"/>
        <w:rPr>
          <w:rFonts w:hint="eastAsia" w:eastAsia="方正小标宋简体"/>
          <w:bCs/>
          <w:sz w:val="46"/>
          <w:szCs w:val="46"/>
        </w:rPr>
      </w:pPr>
      <w:r>
        <w:rPr>
          <w:rFonts w:hint="eastAsia" w:eastAsia="方正小标宋简体"/>
          <w:bCs/>
          <w:sz w:val="46"/>
          <w:szCs w:val="46"/>
          <w:lang w:eastAsia="zh-CN"/>
        </w:rPr>
        <w:t>单位</w:t>
      </w:r>
      <w:r>
        <w:rPr>
          <w:rFonts w:hint="eastAsia" w:eastAsia="方正小标宋简体"/>
          <w:bCs/>
          <w:sz w:val="46"/>
          <w:szCs w:val="46"/>
        </w:rPr>
        <w:t>整体支出绩效</w:t>
      </w:r>
      <w:r>
        <w:rPr>
          <w:rFonts w:hint="eastAsia" w:eastAsia="方正小标宋简体"/>
          <w:bCs/>
          <w:sz w:val="46"/>
          <w:szCs w:val="46"/>
          <w:lang w:eastAsia="zh-CN"/>
        </w:rPr>
        <w:t>情况表</w:t>
      </w:r>
    </w:p>
    <w:tbl>
      <w:tblPr>
        <w:tblStyle w:val="6"/>
        <w:tblpPr w:leftFromText="180" w:rightFromText="180" w:vertAnchor="text" w:horzAnchor="page" w:tblpX="1324" w:tblpY="778"/>
        <w:tblOverlap w:val="never"/>
        <w:tblW w:w="93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
      <w:tblGrid>
        <w:gridCol w:w="1654"/>
        <w:gridCol w:w="46"/>
        <w:gridCol w:w="1502"/>
        <w:gridCol w:w="421"/>
        <w:gridCol w:w="742"/>
        <w:gridCol w:w="315"/>
        <w:gridCol w:w="70"/>
        <w:gridCol w:w="465"/>
        <w:gridCol w:w="331"/>
        <w:gridCol w:w="384"/>
        <w:gridCol w:w="368"/>
        <w:gridCol w:w="733"/>
        <w:gridCol w:w="312"/>
        <w:gridCol w:w="126"/>
        <w:gridCol w:w="377"/>
        <w:gridCol w:w="558"/>
        <w:gridCol w:w="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trPr>
        <w:tc>
          <w:tcPr>
            <w:tcW w:w="9394" w:type="dxa"/>
            <w:gridSpan w:val="1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一、单位基本概况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trPr>
        <w:tc>
          <w:tcPr>
            <w:tcW w:w="1654"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人员编制</w:t>
            </w:r>
          </w:p>
        </w:tc>
        <w:tc>
          <w:tcPr>
            <w:tcW w:w="3561" w:type="dxa"/>
            <w:gridSpan w:val="7"/>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13</w:t>
            </w:r>
          </w:p>
        </w:tc>
        <w:tc>
          <w:tcPr>
            <w:tcW w:w="715"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实有人数</w:t>
            </w:r>
          </w:p>
        </w:tc>
        <w:tc>
          <w:tcPr>
            <w:tcW w:w="3464" w:type="dxa"/>
            <w:gridSpan w:val="7"/>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760" w:hRule="atLeast"/>
        </w:trPr>
        <w:tc>
          <w:tcPr>
            <w:tcW w:w="1654"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职能职责概述</w:t>
            </w:r>
          </w:p>
        </w:tc>
        <w:tc>
          <w:tcPr>
            <w:tcW w:w="7740" w:type="dxa"/>
            <w:gridSpan w:val="16"/>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Calibri" w:hAnsi="Calibri" w:eastAsia="仿宋_GB2312" w:cs="Times New Roman"/>
                <w:kern w:val="0"/>
                <w:sz w:val="24"/>
                <w:lang w:val="en-US" w:eastAsia="zh-CN"/>
              </w:rPr>
              <w:t>负责统筹推进市本级公益类城建项目的建设管理，项目前期审批事项的报批，项目资金的申报和管理，项目实施的具体组织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90" w:hRule="atLeast"/>
        </w:trPr>
        <w:tc>
          <w:tcPr>
            <w:tcW w:w="1654"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年度主要</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工作内容</w:t>
            </w:r>
          </w:p>
        </w:tc>
        <w:tc>
          <w:tcPr>
            <w:tcW w:w="7740" w:type="dxa"/>
            <w:gridSpan w:val="16"/>
            <w:noWrap w:val="0"/>
            <w:vAlign w:val="center"/>
          </w:tcPr>
          <w:p>
            <w:pPr>
              <w:numPr>
                <w:ilvl w:val="0"/>
                <w:numId w:val="2"/>
              </w:numPr>
              <w:autoSpaceDN w:val="0"/>
              <w:spacing w:line="320" w:lineRule="exact"/>
              <w:jc w:val="left"/>
              <w:textAlignment w:val="center"/>
              <w:rPr>
                <w:rFonts w:hint="eastAsia" w:ascii="Calibri" w:hAnsi="Calibri" w:eastAsia="仿宋_GB2312" w:cs="Times New Roman"/>
                <w:kern w:val="0"/>
                <w:sz w:val="24"/>
                <w:lang w:val="en-US" w:eastAsia="zh-CN"/>
              </w:rPr>
            </w:pPr>
            <w:r>
              <w:rPr>
                <w:rFonts w:hint="eastAsia" w:ascii="Calibri" w:hAnsi="Calibri" w:eastAsia="仿宋_GB2312" w:cs="Times New Roman"/>
                <w:kern w:val="0"/>
                <w:sz w:val="24"/>
                <w:lang w:val="en-US" w:eastAsia="zh-CN"/>
              </w:rPr>
              <w:t>西环线项目建设。</w:t>
            </w:r>
          </w:p>
          <w:p>
            <w:pPr>
              <w:numPr>
                <w:ilvl w:val="0"/>
                <w:numId w:val="2"/>
              </w:numPr>
              <w:autoSpaceDN w:val="0"/>
              <w:spacing w:line="320" w:lineRule="exact"/>
              <w:jc w:val="left"/>
              <w:textAlignment w:val="center"/>
              <w:rPr>
                <w:rFonts w:hint="eastAsia" w:ascii="Calibri" w:hAnsi="Calibri" w:eastAsia="仿宋_GB2312" w:cs="Times New Roman"/>
                <w:kern w:val="0"/>
                <w:sz w:val="24"/>
                <w:lang w:val="en-US" w:eastAsia="zh-CN"/>
              </w:rPr>
            </w:pPr>
            <w:r>
              <w:rPr>
                <w:rFonts w:hint="eastAsia" w:ascii="Calibri" w:hAnsi="Calibri" w:eastAsia="仿宋_GB2312" w:cs="Times New Roman"/>
                <w:kern w:val="0"/>
                <w:sz w:val="24"/>
                <w:lang w:val="en-US" w:eastAsia="zh-CN"/>
              </w:rPr>
              <w:t>电力管廊建设。</w:t>
            </w:r>
          </w:p>
          <w:p>
            <w:pPr>
              <w:numPr>
                <w:ilvl w:val="0"/>
                <w:numId w:val="2"/>
              </w:numPr>
              <w:autoSpaceDN w:val="0"/>
              <w:spacing w:line="320" w:lineRule="exact"/>
              <w:jc w:val="left"/>
              <w:textAlignment w:val="center"/>
              <w:rPr>
                <w:rFonts w:hint="eastAsia" w:ascii="Calibri" w:hAnsi="Calibri" w:eastAsia="仿宋_GB2312" w:cs="Times New Roman"/>
                <w:kern w:val="0"/>
                <w:sz w:val="24"/>
                <w:lang w:val="en-US" w:eastAsia="zh-CN"/>
              </w:rPr>
            </w:pPr>
            <w:r>
              <w:rPr>
                <w:rFonts w:hint="eastAsia" w:ascii="Calibri" w:hAnsi="Calibri" w:eastAsia="仿宋_GB2312" w:cs="Times New Roman"/>
                <w:kern w:val="0"/>
                <w:sz w:val="24"/>
                <w:lang w:val="en-US" w:eastAsia="zh-CN"/>
              </w:rPr>
              <w:t>城市道路建设。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460" w:hRule="atLeast"/>
        </w:trPr>
        <w:tc>
          <w:tcPr>
            <w:tcW w:w="1654" w:type="dxa"/>
            <w:noWrap w:val="0"/>
            <w:vAlign w:val="center"/>
          </w:tcPr>
          <w:p>
            <w:pPr>
              <w:autoSpaceDN w:val="0"/>
              <w:spacing w:line="320" w:lineRule="exact"/>
              <w:jc w:val="center"/>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总体运行情况及取得的成绩</w:t>
            </w:r>
          </w:p>
        </w:tc>
        <w:tc>
          <w:tcPr>
            <w:tcW w:w="7740" w:type="dxa"/>
            <w:gridSpan w:val="16"/>
            <w:noWrap w:val="0"/>
            <w:vAlign w:val="center"/>
          </w:tcPr>
          <w:p>
            <w:pPr>
              <w:numPr>
                <w:ilvl w:val="0"/>
                <w:numId w:val="0"/>
              </w:numPr>
              <w:autoSpaceDN w:val="0"/>
              <w:spacing w:line="320" w:lineRule="exact"/>
              <w:jc w:val="left"/>
              <w:textAlignment w:val="center"/>
              <w:rPr>
                <w:rFonts w:hint="eastAsia"/>
                <w:lang w:val="en-US" w:eastAsia="zh-CN"/>
              </w:rPr>
            </w:pPr>
          </w:p>
          <w:p>
            <w:pPr>
              <w:numPr>
                <w:ilvl w:val="0"/>
                <w:numId w:val="3"/>
              </w:numPr>
              <w:autoSpaceDN w:val="0"/>
              <w:spacing w:line="320" w:lineRule="exact"/>
              <w:ind w:left="210" w:leftChars="0" w:firstLineChars="0"/>
              <w:jc w:val="left"/>
              <w:textAlignment w:val="center"/>
              <w:rPr>
                <w:rFonts w:hint="eastAsia"/>
                <w:lang w:val="en-US" w:eastAsia="zh-CN"/>
              </w:rPr>
            </w:pPr>
            <w:r>
              <w:rPr>
                <w:rFonts w:hint="eastAsia"/>
                <w:lang w:val="en-US" w:eastAsia="zh-CN"/>
              </w:rPr>
              <w:t>西环线项目，按照市委、市政府要求10月1日全面竣工的既定目标，全面计划，倒排时间，压实责任，挂图作战，仅用16个月零8天的时间完成了12.4877万平方米的房屋征拆和全线3223米的建设任务，并在征收包干、厉行节约、集中管线迁改、督查督办等方面探索出了许多新的方法和途径。10月25日市委、市政府发文通报表扬了我局和指挥部办公室。</w:t>
            </w:r>
          </w:p>
          <w:p>
            <w:pPr>
              <w:pStyle w:val="8"/>
              <w:numPr>
                <w:ilvl w:val="0"/>
                <w:numId w:val="0"/>
              </w:numPr>
              <w:rPr>
                <w:rFonts w:hint="eastAsia"/>
                <w:lang w:val="en-US" w:eastAsia="zh-CN"/>
              </w:rPr>
            </w:pPr>
          </w:p>
          <w:p>
            <w:pPr>
              <w:numPr>
                <w:ilvl w:val="0"/>
                <w:numId w:val="3"/>
              </w:numPr>
              <w:autoSpaceDN w:val="0"/>
              <w:spacing w:line="320" w:lineRule="exact"/>
              <w:ind w:left="210" w:leftChars="0" w:firstLine="0" w:firstLineChars="0"/>
              <w:jc w:val="left"/>
              <w:textAlignment w:val="center"/>
              <w:rPr>
                <w:rFonts w:hint="eastAsia"/>
                <w:lang w:val="en-US" w:eastAsia="zh-CN"/>
              </w:rPr>
            </w:pPr>
            <w:r>
              <w:rPr>
                <w:rFonts w:hint="eastAsia"/>
                <w:lang w:val="en-US" w:eastAsia="zh-CN"/>
              </w:rPr>
              <w:t>电力管廊建设项目，一是前期工作方面。已完成了可研报告评审和初步设计、概算编制等工作，投资估算为22.50亿元；分部完成了施工图设计、审查工作并办理了施工许可证。二是工程进度方面。电力管廊东西两端始发井于2月28日动工，截止12月8日，已盾构掘进340.50m(盾构段全长4579m)。目前东端王家河公园始发井已基本完工，具备盾构设备进场条件，预计本月中旬可实现东西两端相向盾构掘进；采用明挖或顶管施工的雨污水、给水管工程已优化设计完毕，即将报施工图审查；岳阳大道与洞庭大道下穿通道已完成初步设计审查。</w:t>
            </w:r>
          </w:p>
          <w:p>
            <w:pPr>
              <w:pStyle w:val="8"/>
              <w:numPr>
                <w:ilvl w:val="0"/>
                <w:numId w:val="0"/>
              </w:numPr>
              <w:ind w:left="210" w:leftChars="0"/>
              <w:rPr>
                <w:rFonts w:hint="eastAsia"/>
                <w:lang w:val="en-US" w:eastAsia="zh-CN"/>
              </w:rPr>
            </w:pPr>
          </w:p>
          <w:p>
            <w:pPr>
              <w:numPr>
                <w:ilvl w:val="0"/>
                <w:numId w:val="3"/>
              </w:numPr>
              <w:autoSpaceDN w:val="0"/>
              <w:spacing w:line="320" w:lineRule="exact"/>
              <w:ind w:left="210" w:leftChars="0" w:firstLine="0" w:firstLineChars="0"/>
              <w:jc w:val="left"/>
              <w:textAlignment w:val="center"/>
              <w:rPr>
                <w:rFonts w:hint="eastAsia"/>
                <w:lang w:val="en-US" w:eastAsia="zh-CN"/>
              </w:rPr>
            </w:pPr>
            <w:r>
              <w:rPr>
                <w:rFonts w:hint="eastAsia"/>
                <w:lang w:val="en-US" w:eastAsia="zh-CN"/>
              </w:rPr>
              <w:t>城市道路建设。按照市政府的年度目标任务，城市道路建设分指挥部今年应督促相关业主单位建成投运西环线和枫树山路，加快洞庭大道高架、洛王路大桥、分水垅路等九条城市道路建设。都有相应的进展。</w:t>
            </w:r>
          </w:p>
          <w:p>
            <w:pPr>
              <w:pStyle w:val="8"/>
              <w:keepNext/>
              <w:widowControl w:val="0"/>
              <w:numPr>
                <w:ilvl w:val="0"/>
                <w:numId w:val="0"/>
              </w:numPr>
              <w:spacing w:line="360" w:lineRule="auto"/>
              <w:jc w:val="both"/>
              <w:rPr>
                <w:rFonts w:hint="default"/>
                <w:lang w:val="en-US" w:eastAsia="zh-CN"/>
              </w:rPr>
            </w:pPr>
          </w:p>
          <w:p>
            <w:pPr>
              <w:rPr>
                <w:rFonts w:hint="default"/>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trPr>
        <w:tc>
          <w:tcPr>
            <w:tcW w:w="9394" w:type="dxa"/>
            <w:gridSpan w:val="1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二、部门（单位）收支情况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trPr>
        <w:tc>
          <w:tcPr>
            <w:tcW w:w="9394" w:type="dxa"/>
            <w:gridSpan w:val="1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年度收入情况（万元）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trPr>
        <w:tc>
          <w:tcPr>
            <w:tcW w:w="1654" w:type="dxa"/>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收入合计</w:t>
            </w:r>
          </w:p>
        </w:tc>
        <w:tc>
          <w:tcPr>
            <w:tcW w:w="7740" w:type="dxa"/>
            <w:gridSpan w:val="16"/>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014" w:hRule="atLeast"/>
        </w:trPr>
        <w:tc>
          <w:tcPr>
            <w:tcW w:w="1654"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548"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上年结转</w:t>
            </w:r>
          </w:p>
        </w:tc>
        <w:tc>
          <w:tcPr>
            <w:tcW w:w="1548"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公共财</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政拨款</w:t>
            </w:r>
          </w:p>
        </w:tc>
        <w:tc>
          <w:tcPr>
            <w:tcW w:w="1548"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政府基金拨款</w:t>
            </w:r>
          </w:p>
        </w:tc>
        <w:tc>
          <w:tcPr>
            <w:tcW w:w="1548"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纳入专户管理的非税收入</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拨款</w:t>
            </w:r>
          </w:p>
        </w:tc>
        <w:tc>
          <w:tcPr>
            <w:tcW w:w="1548"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收入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69" w:hRule="atLeast"/>
        </w:trPr>
        <w:tc>
          <w:tcPr>
            <w:tcW w:w="1654" w:type="dxa"/>
            <w:tcBorders>
              <w:right w:val="single" w:color="auto" w:sz="4" w:space="0"/>
            </w:tcBorders>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178.29</w:t>
            </w:r>
          </w:p>
        </w:tc>
        <w:tc>
          <w:tcPr>
            <w:tcW w:w="1548" w:type="dxa"/>
            <w:gridSpan w:val="2"/>
            <w:tcBorders>
              <w:left w:val="single" w:color="auto" w:sz="4" w:space="0"/>
            </w:tcBorders>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p>
        </w:tc>
        <w:tc>
          <w:tcPr>
            <w:tcW w:w="1548" w:type="dxa"/>
            <w:gridSpan w:val="4"/>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150.29</w:t>
            </w:r>
          </w:p>
        </w:tc>
        <w:tc>
          <w:tcPr>
            <w:tcW w:w="1548" w:type="dxa"/>
            <w:gridSpan w:val="4"/>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 xml:space="preserve">     0</w:t>
            </w:r>
          </w:p>
        </w:tc>
        <w:tc>
          <w:tcPr>
            <w:tcW w:w="1548"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1548" w:type="dxa"/>
            <w:gridSpan w:val="2"/>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trPr>
        <w:tc>
          <w:tcPr>
            <w:tcW w:w="9394" w:type="dxa"/>
            <w:gridSpan w:val="1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年度支出和结余情况（万元）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66" w:hRule="atLeast"/>
        </w:trPr>
        <w:tc>
          <w:tcPr>
            <w:tcW w:w="1700" w:type="dxa"/>
            <w:gridSpan w:val="2"/>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支出合计</w:t>
            </w:r>
          </w:p>
        </w:tc>
        <w:tc>
          <w:tcPr>
            <w:tcW w:w="1502" w:type="dxa"/>
            <w:vMerge w:val="restart"/>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基本支出</w:t>
            </w:r>
          </w:p>
        </w:tc>
        <w:tc>
          <w:tcPr>
            <w:tcW w:w="2728" w:type="dxa"/>
            <w:gridSpan w:val="7"/>
            <w:tcBorders>
              <w:left w:val="single" w:color="auto" w:sz="4" w:space="0"/>
              <w:bottom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413" w:type="dxa"/>
            <w:gridSpan w:val="3"/>
            <w:vMerge w:val="restart"/>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项目支出</w:t>
            </w:r>
          </w:p>
        </w:tc>
        <w:tc>
          <w:tcPr>
            <w:tcW w:w="2051" w:type="dxa"/>
            <w:gridSpan w:val="4"/>
            <w:tcBorders>
              <w:left w:val="single" w:color="auto" w:sz="4" w:space="0"/>
              <w:bottom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trPr>
        <w:tc>
          <w:tcPr>
            <w:tcW w:w="1700" w:type="dxa"/>
            <w:gridSpan w:val="2"/>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502" w:type="dxa"/>
            <w:vMerge w:val="continue"/>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478" w:type="dxa"/>
            <w:gridSpan w:val="3"/>
            <w:tcBorders>
              <w:top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人员支出</w:t>
            </w:r>
          </w:p>
        </w:tc>
        <w:tc>
          <w:tcPr>
            <w:tcW w:w="1250" w:type="dxa"/>
            <w:gridSpan w:val="4"/>
            <w:tcBorders>
              <w:top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公用支出</w:t>
            </w:r>
          </w:p>
        </w:tc>
        <w:tc>
          <w:tcPr>
            <w:tcW w:w="1413" w:type="dxa"/>
            <w:gridSpan w:val="3"/>
            <w:vMerge w:val="continue"/>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61" w:type="dxa"/>
            <w:gridSpan w:val="3"/>
            <w:tcBorders>
              <w:top w:val="single" w:color="auto" w:sz="4" w:space="0"/>
              <w:left w:val="single" w:color="auto" w:sz="4" w:space="0"/>
              <w:right w:val="single" w:color="auto" w:sz="4" w:space="0"/>
            </w:tcBorders>
            <w:noWrap w:val="0"/>
            <w:vAlign w:val="center"/>
          </w:tcPr>
          <w:p>
            <w:pPr>
              <w:autoSpaceDN w:val="0"/>
              <w:spacing w:line="320" w:lineRule="exact"/>
              <w:jc w:val="both"/>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当年结余</w:t>
            </w:r>
          </w:p>
        </w:tc>
        <w:tc>
          <w:tcPr>
            <w:tcW w:w="990" w:type="dxa"/>
            <w:tcBorders>
              <w:top w:val="single" w:color="auto" w:sz="4" w:space="0"/>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累计结余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trPr>
        <w:tc>
          <w:tcPr>
            <w:tcW w:w="1700" w:type="dxa"/>
            <w:gridSpan w:val="2"/>
            <w:tcBorders>
              <w:righ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178.29</w:t>
            </w:r>
          </w:p>
        </w:tc>
        <w:tc>
          <w:tcPr>
            <w:tcW w:w="1502" w:type="dxa"/>
            <w:tcBorders>
              <w:lef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138.15</w:t>
            </w:r>
          </w:p>
        </w:tc>
        <w:tc>
          <w:tcPr>
            <w:tcW w:w="1478" w:type="dxa"/>
            <w:gridSpan w:val="3"/>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108.17</w:t>
            </w:r>
          </w:p>
        </w:tc>
        <w:tc>
          <w:tcPr>
            <w:tcW w:w="1250" w:type="dxa"/>
            <w:gridSpan w:val="4"/>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30</w:t>
            </w:r>
          </w:p>
        </w:tc>
        <w:tc>
          <w:tcPr>
            <w:tcW w:w="1413" w:type="dxa"/>
            <w:gridSpan w:val="3"/>
            <w:tcBorders>
              <w:righ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40.14</w:t>
            </w:r>
          </w:p>
        </w:tc>
        <w:tc>
          <w:tcPr>
            <w:tcW w:w="1061" w:type="dxa"/>
            <w:gridSpan w:val="3"/>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90" w:type="dxa"/>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34" w:hRule="atLeast"/>
        </w:trPr>
        <w:tc>
          <w:tcPr>
            <w:tcW w:w="1700" w:type="dxa"/>
            <w:gridSpan w:val="2"/>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三公经费合计</w:t>
            </w:r>
          </w:p>
        </w:tc>
        <w:tc>
          <w:tcPr>
            <w:tcW w:w="7694" w:type="dxa"/>
            <w:gridSpan w:val="15"/>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trPr>
        <w:tc>
          <w:tcPr>
            <w:tcW w:w="1700" w:type="dxa"/>
            <w:gridSpan w:val="2"/>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923"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公务接待费</w:t>
            </w:r>
          </w:p>
        </w:tc>
        <w:tc>
          <w:tcPr>
            <w:tcW w:w="1923"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公务用车运维费</w:t>
            </w:r>
          </w:p>
        </w:tc>
        <w:tc>
          <w:tcPr>
            <w:tcW w:w="1923"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公务用车购置费</w:t>
            </w:r>
          </w:p>
        </w:tc>
        <w:tc>
          <w:tcPr>
            <w:tcW w:w="1925" w:type="dxa"/>
            <w:gridSpan w:val="3"/>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因公出国费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trPr>
        <w:tc>
          <w:tcPr>
            <w:tcW w:w="1700" w:type="dxa"/>
            <w:gridSpan w:val="2"/>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923"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1923"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1923"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1925" w:type="dxa"/>
            <w:gridSpan w:val="3"/>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34" w:hRule="atLeast"/>
        </w:trPr>
        <w:tc>
          <w:tcPr>
            <w:tcW w:w="1700" w:type="dxa"/>
            <w:gridSpan w:val="2"/>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固定资产合计</w:t>
            </w:r>
          </w:p>
        </w:tc>
        <w:tc>
          <w:tcPr>
            <w:tcW w:w="5331" w:type="dxa"/>
            <w:gridSpan w:val="10"/>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2363" w:type="dxa"/>
            <w:gridSpan w:val="5"/>
            <w:vMerge w:val="restart"/>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trPr>
        <w:tc>
          <w:tcPr>
            <w:tcW w:w="1700" w:type="dxa"/>
            <w:gridSpan w:val="2"/>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665" w:type="dxa"/>
            <w:gridSpan w:val="3"/>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在用固定资产</w:t>
            </w:r>
          </w:p>
        </w:tc>
        <w:tc>
          <w:tcPr>
            <w:tcW w:w="2666" w:type="dxa"/>
            <w:gridSpan w:val="7"/>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出租固定资产</w:t>
            </w:r>
          </w:p>
        </w:tc>
        <w:tc>
          <w:tcPr>
            <w:tcW w:w="2363" w:type="dxa"/>
            <w:gridSpan w:val="5"/>
            <w:vMerge w:val="continue"/>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trPr>
        <w:tc>
          <w:tcPr>
            <w:tcW w:w="1700" w:type="dxa"/>
            <w:gridSpan w:val="2"/>
            <w:tcBorders>
              <w:right w:val="single" w:color="auto" w:sz="4" w:space="0"/>
            </w:tcBorders>
            <w:noWrap w:val="0"/>
            <w:vAlign w:val="center"/>
          </w:tcPr>
          <w:p>
            <w:pPr>
              <w:autoSpaceDN w:val="0"/>
              <w:spacing w:line="320" w:lineRule="exact"/>
              <w:jc w:val="both"/>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19.82</w:t>
            </w:r>
          </w:p>
        </w:tc>
        <w:tc>
          <w:tcPr>
            <w:tcW w:w="2665" w:type="dxa"/>
            <w:gridSpan w:val="3"/>
            <w:tcBorders>
              <w:lef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19.82</w:t>
            </w:r>
          </w:p>
        </w:tc>
        <w:tc>
          <w:tcPr>
            <w:tcW w:w="2666" w:type="dxa"/>
            <w:gridSpan w:val="7"/>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2363" w:type="dxa"/>
            <w:gridSpan w:val="5"/>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trPr>
        <w:tc>
          <w:tcPr>
            <w:tcW w:w="9394" w:type="dxa"/>
            <w:gridSpan w:val="17"/>
            <w:noWrap w:val="0"/>
            <w:vAlign w:val="center"/>
          </w:tcPr>
          <w:p>
            <w:pPr>
              <w:keepNext w:val="0"/>
              <w:keepLines w:val="0"/>
              <w:pageBreakBefore w:val="0"/>
              <w:widowControl w:val="0"/>
              <w:kinsoku/>
              <w:wordWrap/>
              <w:overflowPunct/>
              <w:topLinePunct w:val="0"/>
              <w:autoSpaceDE/>
              <w:autoSpaceDN w:val="0"/>
              <w:bidi w:val="0"/>
              <w:adjustRightInd/>
              <w:snapToGrid/>
              <w:spacing w:before="157" w:beforeLines="50" w:line="320" w:lineRule="exact"/>
              <w:ind w:firstLine="240" w:firstLineChars="100"/>
              <w:jc w:val="left"/>
              <w:textAlignment w:val="center"/>
              <w:outlineLvl w:val="9"/>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单位领导（</w:t>
            </w:r>
            <w:r>
              <w:rPr>
                <w:rFonts w:hint="eastAsia" w:ascii="仿宋_GB2312" w:hAnsi="仿宋_GB2312" w:eastAsia="仿宋_GB2312" w:cs="仿宋_GB2312"/>
                <w:color w:val="000000"/>
                <w:sz w:val="24"/>
              </w:rPr>
              <w:t>签字）：</w:t>
            </w: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 xml:space="preserve">                                                                 公章</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 xml:space="preserve"> </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w:t>
            </w:r>
            <w:r>
              <w:rPr>
                <w:rFonts w:hint="eastAsia" w:ascii="仿宋_GB2312" w:hAnsi="仿宋_GB2312" w:eastAsia="仿宋_GB2312" w:cs="仿宋_GB2312"/>
                <w:color w:val="000000"/>
                <w:sz w:val="24"/>
                <w:lang w:val="en-US" w:eastAsia="zh-CN"/>
              </w:rPr>
              <w:t>2022</w:t>
            </w:r>
            <w:r>
              <w:rPr>
                <w:rFonts w:hint="eastAsia" w:ascii="仿宋_GB2312" w:hAnsi="仿宋_GB2312" w:eastAsia="仿宋_GB2312" w:cs="仿宋_GB2312"/>
                <w:color w:val="000000"/>
                <w:sz w:val="24"/>
              </w:rPr>
              <w:t xml:space="preserve"> 年</w:t>
            </w:r>
            <w:r>
              <w:rPr>
                <w:rFonts w:hint="eastAsia" w:ascii="仿宋_GB2312" w:hAnsi="仿宋_GB2312" w:eastAsia="仿宋_GB2312" w:cs="仿宋_GB2312"/>
                <w:color w:val="000000"/>
                <w:sz w:val="24"/>
                <w:lang w:val="en-US" w:eastAsia="zh-CN"/>
              </w:rPr>
              <w:t>6</w:t>
            </w:r>
            <w:r>
              <w:rPr>
                <w:rFonts w:hint="eastAsia" w:ascii="仿宋_GB2312" w:hAnsi="仿宋_GB2312" w:eastAsia="仿宋_GB2312" w:cs="仿宋_GB2312"/>
                <w:color w:val="000000"/>
                <w:sz w:val="24"/>
              </w:rPr>
              <w:t>月</w:t>
            </w:r>
            <w:r>
              <w:rPr>
                <w:rFonts w:hint="eastAsia" w:ascii="仿宋_GB2312" w:hAnsi="仿宋_GB2312" w:eastAsia="仿宋_GB2312" w:cs="仿宋_GB2312"/>
                <w:color w:val="000000"/>
                <w:sz w:val="24"/>
                <w:lang w:val="en-US" w:eastAsia="zh-CN"/>
              </w:rPr>
              <w:t>2</w:t>
            </w:r>
            <w:r>
              <w:rPr>
                <w:rFonts w:hint="eastAsia" w:ascii="仿宋_GB2312" w:hAnsi="仿宋_GB2312" w:eastAsia="仿宋_GB2312" w:cs="仿宋_GB2312"/>
                <w:color w:val="000000"/>
                <w:sz w:val="24"/>
              </w:rPr>
              <w:t>日</w:t>
            </w:r>
          </w:p>
          <w:p>
            <w:pPr>
              <w:autoSpaceDN w:val="0"/>
              <w:spacing w:line="320" w:lineRule="exact"/>
              <w:jc w:val="both"/>
              <w:textAlignment w:val="center"/>
              <w:rPr>
                <w:rFonts w:hint="eastAsia" w:ascii="仿宋_GB2312" w:hAnsi="仿宋_GB2312" w:eastAsia="仿宋_GB2312" w:cs="仿宋_GB2312"/>
                <w:color w:val="000000"/>
                <w:sz w:val="24"/>
              </w:rPr>
            </w:pPr>
          </w:p>
        </w:tc>
      </w:tr>
    </w:tbl>
    <w:p>
      <w:pPr>
        <w:rPr>
          <w:rFonts w:hint="eastAsia" w:eastAsia="仿宋_GB2312" w:cs="仿宋_GB2312"/>
          <w:bCs/>
          <w:sz w:val="28"/>
          <w:szCs w:val="28"/>
        </w:rPr>
      </w:pPr>
    </w:p>
    <w:p>
      <w:pPr>
        <w:rPr>
          <w:rFonts w:hint="eastAsia" w:eastAsia="仿宋_GB2312" w:cs="仿宋_GB2312"/>
          <w:bCs/>
          <w:sz w:val="28"/>
          <w:szCs w:val="28"/>
        </w:rPr>
      </w:pPr>
    </w:p>
    <w:p>
      <w:pPr>
        <w:rPr>
          <w:rFonts w:hint="eastAsia" w:eastAsia="仿宋_GB2312" w:cs="仿宋_GB2312"/>
          <w:bCs/>
          <w:sz w:val="28"/>
          <w:szCs w:val="28"/>
        </w:rPr>
      </w:pPr>
    </w:p>
    <w:p>
      <w:pPr>
        <w:rPr>
          <w:rFonts w:hint="eastAsia" w:eastAsia="仿宋_GB2312" w:cs="仿宋_GB2312"/>
          <w:bCs/>
          <w:sz w:val="28"/>
          <w:szCs w:val="28"/>
        </w:rPr>
      </w:pPr>
    </w:p>
    <w:p>
      <w:pPr>
        <w:rPr>
          <w:rFonts w:hint="eastAsia" w:eastAsia="仿宋_GB2312" w:cs="仿宋_GB2312"/>
          <w:bCs/>
          <w:sz w:val="28"/>
          <w:szCs w:val="28"/>
        </w:rPr>
      </w:pPr>
    </w:p>
    <w:p>
      <w:pPr>
        <w:rPr>
          <w:rFonts w:hint="eastAsia" w:eastAsia="仿宋_GB2312" w:cs="仿宋_GB2312"/>
          <w:bCs/>
          <w:sz w:val="28"/>
          <w:szCs w:val="28"/>
        </w:rPr>
      </w:pPr>
    </w:p>
    <w:p>
      <w:pPr>
        <w:rPr>
          <w:rFonts w:hint="eastAsia" w:eastAsia="仿宋_GB2312" w:cs="仿宋_GB2312"/>
          <w:bCs/>
          <w:sz w:val="28"/>
          <w:szCs w:val="28"/>
        </w:rPr>
      </w:pPr>
    </w:p>
    <w:p>
      <w:pPr>
        <w:rPr>
          <w:rFonts w:hint="eastAsia" w:eastAsia="仿宋_GB2312" w:cs="仿宋_GB2312"/>
          <w:bCs/>
          <w:sz w:val="28"/>
          <w:szCs w:val="28"/>
        </w:rPr>
      </w:pPr>
    </w:p>
    <w:p>
      <w:pPr>
        <w:rPr>
          <w:rFonts w:hint="eastAsia" w:eastAsia="仿宋_GB2312" w:cs="仿宋_GB2312"/>
          <w:bCs/>
          <w:sz w:val="28"/>
          <w:szCs w:val="28"/>
        </w:rPr>
      </w:pPr>
    </w:p>
    <w:p>
      <w:pPr>
        <w:rPr>
          <w:rFonts w:hint="eastAsia" w:eastAsia="仿宋_GB2312" w:cs="仿宋_GB2312"/>
          <w:bCs/>
          <w:sz w:val="28"/>
          <w:szCs w:val="28"/>
        </w:rPr>
      </w:pPr>
    </w:p>
    <w:p>
      <w:pPr>
        <w:rPr>
          <w:rFonts w:hint="eastAsia" w:eastAsia="仿宋_GB2312" w:cs="仿宋_GB2312"/>
          <w:bCs/>
          <w:sz w:val="28"/>
          <w:szCs w:val="28"/>
        </w:rPr>
      </w:pPr>
    </w:p>
    <w:p>
      <w:pPr>
        <w:rPr>
          <w:rFonts w:hint="eastAsia" w:eastAsia="仿宋_GB2312" w:cs="仿宋_GB2312"/>
          <w:bCs/>
          <w:sz w:val="28"/>
          <w:szCs w:val="28"/>
        </w:rPr>
      </w:pPr>
    </w:p>
    <w:p>
      <w:pPr>
        <w:rPr>
          <w:rFonts w:hint="eastAsia" w:eastAsia="仿宋_GB2312" w:cs="仿宋_GB2312"/>
          <w:bCs/>
          <w:sz w:val="28"/>
          <w:szCs w:val="28"/>
        </w:rPr>
      </w:pPr>
    </w:p>
    <w:p>
      <w:pPr>
        <w:rPr>
          <w:rFonts w:hint="eastAsia" w:eastAsia="仿宋_GB2312" w:cs="仿宋_GB2312"/>
          <w:bCs/>
          <w:sz w:val="28"/>
          <w:szCs w:val="28"/>
        </w:rPr>
      </w:pPr>
    </w:p>
    <w:p>
      <w:pPr>
        <w:rPr>
          <w:rFonts w:hint="eastAsia" w:eastAsia="仿宋_GB2312" w:cs="仿宋_GB2312"/>
          <w:bCs/>
          <w:sz w:val="28"/>
          <w:szCs w:val="28"/>
        </w:rPr>
      </w:pPr>
    </w:p>
    <w:p>
      <w:pPr>
        <w:rPr>
          <w:rFonts w:hint="eastAsia" w:eastAsia="仿宋_GB2312" w:cs="仿宋_GB2312"/>
          <w:bCs/>
          <w:sz w:val="28"/>
          <w:szCs w:val="28"/>
        </w:rPr>
      </w:pPr>
    </w:p>
    <w:p>
      <w:pPr>
        <w:rPr>
          <w:rFonts w:hint="eastAsia" w:eastAsia="仿宋_GB2312" w:cs="仿宋_GB2312"/>
          <w:bCs/>
          <w:sz w:val="28"/>
          <w:szCs w:val="28"/>
        </w:rPr>
      </w:pPr>
    </w:p>
    <w:p>
      <w:pPr>
        <w:rPr>
          <w:rFonts w:hint="eastAsia" w:eastAsia="仿宋_GB2312" w:cs="仿宋_GB2312"/>
          <w:bCs/>
          <w:sz w:val="28"/>
          <w:szCs w:val="28"/>
        </w:rPr>
      </w:pPr>
    </w:p>
    <w:p>
      <w:pPr>
        <w:rPr>
          <w:rFonts w:hint="eastAsia" w:eastAsia="仿宋_GB2312" w:cs="仿宋_GB2312"/>
          <w:bCs/>
          <w:sz w:val="28"/>
          <w:szCs w:val="28"/>
        </w:rPr>
      </w:pPr>
    </w:p>
    <w:p>
      <w:pPr>
        <w:rPr>
          <w:rFonts w:hint="eastAsia" w:eastAsia="仿宋_GB2312" w:cs="仿宋_GB2312"/>
          <w:bCs/>
          <w:sz w:val="28"/>
          <w:szCs w:val="28"/>
        </w:rPr>
      </w:pPr>
    </w:p>
    <w:p>
      <w:pPr>
        <w:rPr>
          <w:rFonts w:hint="eastAsia" w:eastAsia="仿宋_GB2312" w:cs="仿宋_GB2312"/>
          <w:bCs/>
          <w:sz w:val="28"/>
          <w:szCs w:val="28"/>
        </w:rPr>
      </w:pPr>
    </w:p>
    <w:p>
      <w:pPr>
        <w:ind w:firstLine="1400" w:firstLineChars="500"/>
        <w:rPr>
          <w:rFonts w:hint="default" w:eastAsia="仿宋_GB2312"/>
          <w:lang w:val="en-US" w:eastAsia="zh-CN"/>
        </w:rPr>
      </w:pPr>
      <w:r>
        <w:rPr>
          <w:rFonts w:hint="eastAsia" w:eastAsia="仿宋_GB2312" w:cs="仿宋_GB2312"/>
          <w:bCs/>
          <w:sz w:val="28"/>
          <w:szCs w:val="28"/>
          <w:lang w:val="en-US" w:eastAsia="zh-CN"/>
        </w:rPr>
        <w:t>填</w:t>
      </w:r>
      <w:r>
        <w:rPr>
          <w:rFonts w:hint="eastAsia" w:eastAsia="仿宋_GB2312" w:cs="仿宋_GB2312"/>
          <w:bCs/>
          <w:sz w:val="28"/>
          <w:szCs w:val="28"/>
        </w:rPr>
        <w:t xml:space="preserve">报人（签名）：   </w:t>
      </w:r>
      <w:r>
        <w:rPr>
          <w:rFonts w:hint="eastAsia" w:eastAsia="仿宋_GB2312" w:cs="仿宋_GB2312"/>
          <w:bCs/>
          <w:sz w:val="28"/>
          <w:szCs w:val="28"/>
          <w:lang w:val="en-US" w:eastAsia="zh-CN"/>
        </w:rPr>
        <w:t>葛敏</w:t>
      </w:r>
      <w:r>
        <w:rPr>
          <w:rFonts w:hint="eastAsia" w:eastAsia="仿宋_GB2312" w:cs="仿宋_GB2312"/>
          <w:bCs/>
          <w:sz w:val="28"/>
          <w:szCs w:val="28"/>
        </w:rPr>
        <w:t xml:space="preserve">   </w:t>
      </w:r>
      <w:r>
        <w:rPr>
          <w:rFonts w:hint="eastAsia" w:eastAsia="仿宋_GB2312" w:cs="仿宋_GB2312"/>
          <w:bCs/>
          <w:sz w:val="28"/>
          <w:szCs w:val="28"/>
          <w:lang w:val="en-US" w:eastAsia="zh-CN"/>
        </w:rPr>
        <w:t xml:space="preserve">  </w:t>
      </w:r>
      <w:r>
        <w:rPr>
          <w:rFonts w:hint="eastAsia" w:eastAsia="仿宋_GB2312" w:cs="仿宋_GB2312"/>
          <w:bCs/>
          <w:sz w:val="28"/>
          <w:szCs w:val="28"/>
        </w:rPr>
        <w:t xml:space="preserve">          联系电话：</w:t>
      </w:r>
      <w:r>
        <w:rPr>
          <w:rFonts w:hint="eastAsia" w:eastAsia="仿宋_GB2312" w:cs="仿宋_GB2312"/>
          <w:bCs/>
          <w:sz w:val="28"/>
          <w:szCs w:val="28"/>
          <w:lang w:val="en-US" w:eastAsia="zh-CN"/>
        </w:rPr>
        <w:t>8758153</w:t>
      </w: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00000" w:usb3="00000000" w:csb0="00000000" w:csb1="00000000"/>
  </w:font>
  <w:font w:name="方正小标宋简体">
    <w:altName w:val="方正舒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27A6E2"/>
    <w:multiLevelType w:val="singleLevel"/>
    <w:tmpl w:val="FE27A6E2"/>
    <w:lvl w:ilvl="0" w:tentative="0">
      <w:start w:val="1"/>
      <w:numFmt w:val="decimal"/>
      <w:suff w:val="nothing"/>
      <w:lvlText w:val="%1、"/>
      <w:lvlJc w:val="left"/>
      <w:pPr>
        <w:ind w:left="210"/>
      </w:pPr>
    </w:lvl>
  </w:abstractNum>
  <w:abstractNum w:abstractNumId="1">
    <w:nsid w:val="2B4EAA54"/>
    <w:multiLevelType w:val="singleLevel"/>
    <w:tmpl w:val="2B4EAA54"/>
    <w:lvl w:ilvl="0" w:tentative="0">
      <w:start w:val="1"/>
      <w:numFmt w:val="decimal"/>
      <w:suff w:val="nothing"/>
      <w:lvlText w:val="%1、"/>
      <w:lvlJc w:val="left"/>
      <w:pPr>
        <w:ind w:left="-10"/>
      </w:pPr>
    </w:lvl>
  </w:abstractNum>
  <w:abstractNum w:abstractNumId="2">
    <w:nsid w:val="32813FF0"/>
    <w:multiLevelType w:val="singleLevel"/>
    <w:tmpl w:val="32813FF0"/>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AyY2NjYWY0NDFlNmY3YWVjMmFlMWExMWMzMDYzZTMifQ=="/>
  </w:docVars>
  <w:rsids>
    <w:rsidRoot w:val="004506F9"/>
    <w:rsid w:val="0002229B"/>
    <w:rsid w:val="000273BD"/>
    <w:rsid w:val="000415B7"/>
    <w:rsid w:val="00041E3F"/>
    <w:rsid w:val="00055DAA"/>
    <w:rsid w:val="00061F7B"/>
    <w:rsid w:val="000658A3"/>
    <w:rsid w:val="00074155"/>
    <w:rsid w:val="000A3F69"/>
    <w:rsid w:val="000E3EB2"/>
    <w:rsid w:val="00103957"/>
    <w:rsid w:val="00152C6D"/>
    <w:rsid w:val="00162D39"/>
    <w:rsid w:val="001678BD"/>
    <w:rsid w:val="00185DB4"/>
    <w:rsid w:val="001A67DB"/>
    <w:rsid w:val="001C3C29"/>
    <w:rsid w:val="001D4F1A"/>
    <w:rsid w:val="001D51E5"/>
    <w:rsid w:val="001E080D"/>
    <w:rsid w:val="001E53D0"/>
    <w:rsid w:val="001F0C3B"/>
    <w:rsid w:val="00202C82"/>
    <w:rsid w:val="00210B4D"/>
    <w:rsid w:val="00214427"/>
    <w:rsid w:val="00226CB7"/>
    <w:rsid w:val="00264552"/>
    <w:rsid w:val="00264EF9"/>
    <w:rsid w:val="00265724"/>
    <w:rsid w:val="0027426B"/>
    <w:rsid w:val="002D7169"/>
    <w:rsid w:val="002E0A30"/>
    <w:rsid w:val="003130C4"/>
    <w:rsid w:val="00316C4B"/>
    <w:rsid w:val="0032192B"/>
    <w:rsid w:val="003479BD"/>
    <w:rsid w:val="00353197"/>
    <w:rsid w:val="0037197D"/>
    <w:rsid w:val="003768D5"/>
    <w:rsid w:val="003C47E6"/>
    <w:rsid w:val="003C4FC2"/>
    <w:rsid w:val="00416E61"/>
    <w:rsid w:val="0042790C"/>
    <w:rsid w:val="004506F9"/>
    <w:rsid w:val="004717A2"/>
    <w:rsid w:val="00473DF3"/>
    <w:rsid w:val="00487911"/>
    <w:rsid w:val="00491741"/>
    <w:rsid w:val="00500E5F"/>
    <w:rsid w:val="005122EF"/>
    <w:rsid w:val="0051441A"/>
    <w:rsid w:val="00517C33"/>
    <w:rsid w:val="00523644"/>
    <w:rsid w:val="0054069E"/>
    <w:rsid w:val="00544866"/>
    <w:rsid w:val="005767CC"/>
    <w:rsid w:val="00590D9F"/>
    <w:rsid w:val="00595D26"/>
    <w:rsid w:val="005A74E6"/>
    <w:rsid w:val="005B404E"/>
    <w:rsid w:val="005B74B2"/>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7006"/>
    <w:rsid w:val="00717621"/>
    <w:rsid w:val="00720FF1"/>
    <w:rsid w:val="00727A53"/>
    <w:rsid w:val="00770C9A"/>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5F0E"/>
    <w:rsid w:val="00D148C6"/>
    <w:rsid w:val="00D17A8A"/>
    <w:rsid w:val="00D415BA"/>
    <w:rsid w:val="00D644EE"/>
    <w:rsid w:val="00DC35D8"/>
    <w:rsid w:val="00DD06FF"/>
    <w:rsid w:val="00DD5FE9"/>
    <w:rsid w:val="00E00C7A"/>
    <w:rsid w:val="00E37D6C"/>
    <w:rsid w:val="00E55B68"/>
    <w:rsid w:val="00E67BE6"/>
    <w:rsid w:val="00E8683C"/>
    <w:rsid w:val="00EA2B72"/>
    <w:rsid w:val="00F74360"/>
    <w:rsid w:val="00FB462F"/>
    <w:rsid w:val="00FE16FA"/>
    <w:rsid w:val="00FE328A"/>
    <w:rsid w:val="00FE6269"/>
    <w:rsid w:val="01D9415D"/>
    <w:rsid w:val="03AA7B5F"/>
    <w:rsid w:val="03E116EA"/>
    <w:rsid w:val="03F4702C"/>
    <w:rsid w:val="05D610DF"/>
    <w:rsid w:val="05EB0D5E"/>
    <w:rsid w:val="06FC4B75"/>
    <w:rsid w:val="076B24BB"/>
    <w:rsid w:val="086724C2"/>
    <w:rsid w:val="08A06864"/>
    <w:rsid w:val="09854BF0"/>
    <w:rsid w:val="0BBE6CD8"/>
    <w:rsid w:val="0C6D3AC7"/>
    <w:rsid w:val="0E9F7B79"/>
    <w:rsid w:val="0F945521"/>
    <w:rsid w:val="0FBD6E63"/>
    <w:rsid w:val="1044664C"/>
    <w:rsid w:val="109D0D00"/>
    <w:rsid w:val="119B4F8B"/>
    <w:rsid w:val="12274A70"/>
    <w:rsid w:val="12B96BC9"/>
    <w:rsid w:val="13D95A7B"/>
    <w:rsid w:val="140B289C"/>
    <w:rsid w:val="1494088C"/>
    <w:rsid w:val="14BB20F0"/>
    <w:rsid w:val="154C6C84"/>
    <w:rsid w:val="15C26E3B"/>
    <w:rsid w:val="16B10F89"/>
    <w:rsid w:val="18301977"/>
    <w:rsid w:val="197E58BE"/>
    <w:rsid w:val="1A934AEB"/>
    <w:rsid w:val="1AE6371B"/>
    <w:rsid w:val="1B6D5BEA"/>
    <w:rsid w:val="1C023D1F"/>
    <w:rsid w:val="1C773AB0"/>
    <w:rsid w:val="1CBB2985"/>
    <w:rsid w:val="1E1955F0"/>
    <w:rsid w:val="1E3649B9"/>
    <w:rsid w:val="1FEA4C8D"/>
    <w:rsid w:val="21A41C3A"/>
    <w:rsid w:val="22DD27BF"/>
    <w:rsid w:val="23075807"/>
    <w:rsid w:val="236C44C2"/>
    <w:rsid w:val="23B819CC"/>
    <w:rsid w:val="23DF5DA6"/>
    <w:rsid w:val="23E550E4"/>
    <w:rsid w:val="24CE5035"/>
    <w:rsid w:val="25063C11"/>
    <w:rsid w:val="257020FA"/>
    <w:rsid w:val="26411FD1"/>
    <w:rsid w:val="27F972DE"/>
    <w:rsid w:val="27FC5E57"/>
    <w:rsid w:val="28B83734"/>
    <w:rsid w:val="29DB6D6A"/>
    <w:rsid w:val="2A5E3062"/>
    <w:rsid w:val="2A9823A9"/>
    <w:rsid w:val="2AB30440"/>
    <w:rsid w:val="2ABA2EAE"/>
    <w:rsid w:val="2B6C1706"/>
    <w:rsid w:val="2B80542E"/>
    <w:rsid w:val="2BD67CF0"/>
    <w:rsid w:val="2BFD088C"/>
    <w:rsid w:val="2E840B19"/>
    <w:rsid w:val="2F0F103A"/>
    <w:rsid w:val="302A7E46"/>
    <w:rsid w:val="3186135C"/>
    <w:rsid w:val="31ED3189"/>
    <w:rsid w:val="3386660B"/>
    <w:rsid w:val="343156D3"/>
    <w:rsid w:val="358774C7"/>
    <w:rsid w:val="36091341"/>
    <w:rsid w:val="360C62D3"/>
    <w:rsid w:val="3634479C"/>
    <w:rsid w:val="37172B2E"/>
    <w:rsid w:val="37480725"/>
    <w:rsid w:val="37A10363"/>
    <w:rsid w:val="38CA7D80"/>
    <w:rsid w:val="3A7D2520"/>
    <w:rsid w:val="3AD35612"/>
    <w:rsid w:val="3BF253C4"/>
    <w:rsid w:val="3D6A1B31"/>
    <w:rsid w:val="3DAA0790"/>
    <w:rsid w:val="3ED33B93"/>
    <w:rsid w:val="40DC2024"/>
    <w:rsid w:val="41136A7C"/>
    <w:rsid w:val="41A274A7"/>
    <w:rsid w:val="45132AAF"/>
    <w:rsid w:val="45C36283"/>
    <w:rsid w:val="45E45901"/>
    <w:rsid w:val="46F72A42"/>
    <w:rsid w:val="4732709C"/>
    <w:rsid w:val="47540685"/>
    <w:rsid w:val="47F77DF2"/>
    <w:rsid w:val="481206E6"/>
    <w:rsid w:val="4813289B"/>
    <w:rsid w:val="489330B4"/>
    <w:rsid w:val="48D04F3E"/>
    <w:rsid w:val="49531C56"/>
    <w:rsid w:val="49D40A5E"/>
    <w:rsid w:val="4AAC20F7"/>
    <w:rsid w:val="4B1D01E3"/>
    <w:rsid w:val="4B396FCF"/>
    <w:rsid w:val="4C705799"/>
    <w:rsid w:val="4E434405"/>
    <w:rsid w:val="4EA27BA8"/>
    <w:rsid w:val="50377A2C"/>
    <w:rsid w:val="507134D5"/>
    <w:rsid w:val="51097EE4"/>
    <w:rsid w:val="519B4348"/>
    <w:rsid w:val="5211301C"/>
    <w:rsid w:val="527E3C5D"/>
    <w:rsid w:val="530F470B"/>
    <w:rsid w:val="531E2D4A"/>
    <w:rsid w:val="53A97D07"/>
    <w:rsid w:val="55080D8F"/>
    <w:rsid w:val="551E6CEE"/>
    <w:rsid w:val="57311A31"/>
    <w:rsid w:val="59E22D24"/>
    <w:rsid w:val="59F90F87"/>
    <w:rsid w:val="5A466C09"/>
    <w:rsid w:val="5A4E25B9"/>
    <w:rsid w:val="5A560EAD"/>
    <w:rsid w:val="5B1B2724"/>
    <w:rsid w:val="5C25339C"/>
    <w:rsid w:val="5C757E7F"/>
    <w:rsid w:val="5D1378A5"/>
    <w:rsid w:val="5E32305A"/>
    <w:rsid w:val="5ED52E57"/>
    <w:rsid w:val="5EFC64A8"/>
    <w:rsid w:val="5F25623A"/>
    <w:rsid w:val="621023F8"/>
    <w:rsid w:val="62D33B51"/>
    <w:rsid w:val="63063673"/>
    <w:rsid w:val="63BA7E92"/>
    <w:rsid w:val="64024626"/>
    <w:rsid w:val="64095FC4"/>
    <w:rsid w:val="657E45BA"/>
    <w:rsid w:val="67B06774"/>
    <w:rsid w:val="69B3158C"/>
    <w:rsid w:val="6A737840"/>
    <w:rsid w:val="6A856FC6"/>
    <w:rsid w:val="6B0F22F7"/>
    <w:rsid w:val="6B1747F7"/>
    <w:rsid w:val="6D35263A"/>
    <w:rsid w:val="6D89737B"/>
    <w:rsid w:val="6DC71735"/>
    <w:rsid w:val="6E7E555D"/>
    <w:rsid w:val="71274504"/>
    <w:rsid w:val="72397495"/>
    <w:rsid w:val="725E6A17"/>
    <w:rsid w:val="72BA16D6"/>
    <w:rsid w:val="72E225A7"/>
    <w:rsid w:val="74BC1EBD"/>
    <w:rsid w:val="75383CE8"/>
    <w:rsid w:val="75F757C9"/>
    <w:rsid w:val="76DF120F"/>
    <w:rsid w:val="788C2381"/>
    <w:rsid w:val="78E71AB5"/>
    <w:rsid w:val="78ED6F93"/>
    <w:rsid w:val="797F0137"/>
    <w:rsid w:val="7C0D1A2A"/>
    <w:rsid w:val="7C2823C0"/>
    <w:rsid w:val="7E383571"/>
    <w:rsid w:val="7E5C27F5"/>
    <w:rsid w:val="7EE11F83"/>
    <w:rsid w:val="7F3233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rPr>
      <w:rFonts w:hint="default"/>
      <w:sz w:val="21"/>
      <w:szCs w:val="24"/>
    </w:rPr>
  </w:style>
  <w:style w:type="paragraph" w:styleId="3">
    <w:name w:val="Balloon Text"/>
    <w:basedOn w:val="1"/>
    <w:link w:val="13"/>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平来1"/>
    <w:basedOn w:val="1"/>
    <w:next w:val="1"/>
    <w:qFormat/>
    <w:uiPriority w:val="0"/>
    <w:pPr>
      <w:keepNext/>
      <w:tabs>
        <w:tab w:val="left" w:pos="720"/>
      </w:tabs>
      <w:spacing w:line="360" w:lineRule="auto"/>
    </w:pPr>
    <w:rPr>
      <w:rFonts w:eastAsia="方正楷体简体"/>
      <w:spacing w:val="-4"/>
      <w:kern w:val="24"/>
      <w:sz w:val="28"/>
    </w:rPr>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99"/>
    <w:rPr>
      <w:sz w:val="18"/>
      <w:szCs w:val="18"/>
    </w:rPr>
  </w:style>
  <w:style w:type="paragraph" w:customStyle="1" w:styleId="11">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2">
    <w:name w:val="List Paragraph"/>
    <w:basedOn w:val="1"/>
    <w:qFormat/>
    <w:uiPriority w:val="34"/>
    <w:pPr>
      <w:ind w:firstLine="420" w:firstLineChars="200"/>
    </w:pPr>
  </w:style>
  <w:style w:type="character" w:customStyle="1" w:styleId="13">
    <w:name w:val="批注框文本 Char"/>
    <w:basedOn w:val="7"/>
    <w:link w:val="3"/>
    <w:semiHidden/>
    <w:qFormat/>
    <w:uiPriority w:val="99"/>
    <w:rPr>
      <w:sz w:val="18"/>
      <w:szCs w:val="18"/>
    </w:rPr>
  </w:style>
  <w:style w:type="character" w:customStyle="1" w:styleId="14">
    <w:name w:val="font91"/>
    <w:basedOn w:val="7"/>
    <w:qFormat/>
    <w:uiPriority w:val="0"/>
    <w:rPr>
      <w:rFonts w:hint="default" w:ascii="仿宋_GB2312" w:eastAsia="仿宋_GB2312" w:cs="仿宋_GB2312"/>
      <w:b/>
      <w:bCs/>
      <w:color w:val="000000"/>
      <w:sz w:val="32"/>
      <w:szCs w:val="32"/>
      <w:u w:val="single"/>
    </w:rPr>
  </w:style>
  <w:style w:type="character" w:customStyle="1" w:styleId="15">
    <w:name w:val="font31"/>
    <w:basedOn w:val="7"/>
    <w:qFormat/>
    <w:uiPriority w:val="0"/>
    <w:rPr>
      <w:rFonts w:hint="default" w:ascii="仿宋_GB2312" w:eastAsia="仿宋_GB2312" w:cs="仿宋_GB2312"/>
      <w:b/>
      <w:bCs/>
      <w:color w:val="000000"/>
      <w:sz w:val="32"/>
      <w:szCs w:val="3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83442-B9FC-476F-83C9-27EA0B9F67C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20</Pages>
  <Words>5524</Words>
  <Characters>6014</Characters>
  <Lines>63</Lines>
  <Paragraphs>17</Paragraphs>
  <TotalTime>1</TotalTime>
  <ScaleCrop>false</ScaleCrop>
  <LinksUpToDate>false</LinksUpToDate>
  <CharactersWithSpaces>6247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2021-09-08T01:50:00Z</dcterms:created>
  <dc:creator>李航 null</dc:creator>
  <cp:lastModifiedBy>何蔚</cp:lastModifiedBy>
  <cp:lastPrinted>2021-07-28T00:12:00Z</cp:lastPrinted>
  <dcterms:modified xsi:type="dcterms:W3CDTF">2023-09-22T16:45:00Z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7DDB4F3CC27449068B2BA7B6342BB2F1_13</vt:lpwstr>
  </property>
</Properties>
</file>