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hint="eastAsia"/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84"/>
          <w:szCs w:val="84"/>
        </w:rPr>
      </w:pPr>
    </w:p>
    <w:p>
      <w:pPr>
        <w:pStyle w:val="10"/>
        <w:jc w:val="center"/>
        <w:rPr>
          <w:sz w:val="84"/>
          <w:szCs w:val="84"/>
        </w:rPr>
      </w:pP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2021年度</w:t>
      </w:r>
    </w:p>
    <w:p>
      <w:pPr>
        <w:pStyle w:val="10"/>
        <w:jc w:val="center"/>
        <w:rPr>
          <w:rFonts w:hint="eastAsia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岳阳市城市建设</w:t>
      </w:r>
    </w:p>
    <w:p>
      <w:pPr>
        <w:pStyle w:val="10"/>
        <w:jc w:val="center"/>
        <w:rPr>
          <w:rFonts w:hint="eastAsia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科学研究中心</w:t>
      </w:r>
    </w:p>
    <w:p>
      <w:pPr>
        <w:pStyle w:val="10"/>
        <w:jc w:val="center"/>
        <w:rPr>
          <w:rFonts w:hint="eastAsia" w:eastAsia="黑体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部门</w:t>
      </w:r>
      <w:r>
        <w:rPr>
          <w:rFonts w:hint="eastAsia"/>
          <w:sz w:val="84"/>
          <w:szCs w:val="84"/>
        </w:rPr>
        <w:t>决算</w:t>
      </w: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32"/>
          <w:szCs w:val="32"/>
        </w:rPr>
      </w:pPr>
    </w:p>
    <w:p>
      <w:pPr>
        <w:pStyle w:val="10"/>
        <w:jc w:val="center"/>
        <w:rPr>
          <w:sz w:val="32"/>
          <w:szCs w:val="32"/>
        </w:rPr>
      </w:pPr>
    </w:p>
    <w:p>
      <w:pPr>
        <w:pStyle w:val="10"/>
        <w:spacing w:line="500" w:lineRule="exact"/>
        <w:jc w:val="both"/>
        <w:rPr>
          <w:b/>
          <w:sz w:val="36"/>
          <w:szCs w:val="28"/>
        </w:rPr>
      </w:pPr>
    </w:p>
    <w:p>
      <w:pPr>
        <w:pStyle w:val="10"/>
        <w:spacing w:line="500" w:lineRule="exact"/>
        <w:jc w:val="center"/>
        <w:rPr>
          <w:b/>
          <w:sz w:val="36"/>
          <w:szCs w:val="28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</w:t>
      </w:r>
      <w:r>
        <w:rPr>
          <w:rFonts w:hint="eastAsia"/>
          <w:b/>
          <w:sz w:val="28"/>
          <w:szCs w:val="28"/>
          <w:lang w:val="en-US" w:eastAsia="zh-CN"/>
        </w:rPr>
        <w:t xml:space="preserve">  岳阳市城市建设科学研究中心</w:t>
      </w:r>
      <w:r>
        <w:rPr>
          <w:rFonts w:hint="eastAsia"/>
          <w:b/>
          <w:sz w:val="28"/>
          <w:szCs w:val="28"/>
        </w:rPr>
        <w:t>单位概况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一、部门职责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二、机构设置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及决算单位构成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>第二部分</w:t>
      </w:r>
      <w:r>
        <w:rPr>
          <w:rFonts w:hint="eastAsia" w:hAnsi="仿宋_GB2312"/>
          <w:b/>
          <w:sz w:val="28"/>
          <w:szCs w:val="28"/>
          <w:lang w:val="en-US" w:eastAsia="zh-CN"/>
        </w:rPr>
        <w:t xml:space="preserve">  </w:t>
      </w:r>
      <w:r>
        <w:rPr>
          <w:rFonts w:hAnsi="仿宋_GB2312"/>
          <w:b/>
          <w:sz w:val="28"/>
          <w:szCs w:val="28"/>
        </w:rPr>
        <w:t>20</w:t>
      </w:r>
      <w:r>
        <w:rPr>
          <w:rFonts w:hint="eastAsia" w:hAnsi="仿宋_GB2312"/>
          <w:b/>
          <w:sz w:val="28"/>
          <w:szCs w:val="28"/>
        </w:rPr>
        <w:t>21年度部门决算表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二、收入决算表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三、支出决算表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四、财政拨款收入支出决算总表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五、一般公共预算财政拨款支出决算表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六、一般公共预算财政拨款基本支出决算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明细</w:t>
      </w:r>
      <w:r>
        <w:rPr>
          <w:rFonts w:cs="仿宋_GB2312" w:asciiTheme="minorEastAsia" w:hAnsiTheme="minorEastAsia" w:eastAsiaTheme="minorEastAsia"/>
          <w:sz w:val="28"/>
          <w:szCs w:val="28"/>
        </w:rPr>
        <w:t>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七、一般公共预算财政拨款“三公”经费支出决算表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八、政府性基金预算财政拨款收入支出决算表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九、国有资本经营预算财政拨款支出决算表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>第三部分</w:t>
      </w:r>
      <w:r>
        <w:rPr>
          <w:rFonts w:hint="eastAsia" w:hAnsi="仿宋_GB2312"/>
          <w:b/>
          <w:sz w:val="28"/>
          <w:szCs w:val="28"/>
          <w:lang w:val="en-US" w:eastAsia="zh-CN"/>
        </w:rPr>
        <w:t xml:space="preserve">  </w:t>
      </w:r>
      <w:r>
        <w:rPr>
          <w:rFonts w:hAnsi="仿宋_GB2312"/>
          <w:b/>
          <w:sz w:val="28"/>
          <w:szCs w:val="28"/>
        </w:rPr>
        <w:t>20</w:t>
      </w:r>
      <w:r>
        <w:rPr>
          <w:rFonts w:hint="eastAsia" w:hAnsi="仿宋_GB2312"/>
          <w:b/>
          <w:sz w:val="28"/>
          <w:szCs w:val="28"/>
        </w:rPr>
        <w:t>21年度部门决算情况说明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二、收入决算情况说明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七、一般公共预算财政拨款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“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三公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八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cs="仿宋_GB2312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国有资本经营预算财政拨款支出决算</w:t>
      </w:r>
      <w:r>
        <w:rPr>
          <w:rFonts w:hint="eastAsia" w:cs="仿宋_GB2312" w:asciiTheme="minorEastAsia" w:hAnsiTheme="minorEastAsia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十、机关运行经费支出说明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 w:eastAsiaTheme="minorEastAsia"/>
          <w:sz w:val="28"/>
          <w:szCs w:val="28"/>
        </w:rPr>
      </w:pPr>
      <w:r>
        <w:rPr>
          <w:rFonts w:hint="eastAsia" w:ascii="仿宋_GB2312" w:hAnsi="仿宋_GB2312" w:cs="仿宋_GB2312" w:eastAsiaTheme="minorEastAsia"/>
          <w:sz w:val="28"/>
          <w:szCs w:val="28"/>
        </w:rPr>
        <w:t>十二、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政府采购支出说明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cs="仿宋_GB2312" w:eastAsiaTheme="minorEastAsia"/>
          <w:sz w:val="28"/>
          <w:szCs w:val="28"/>
        </w:rPr>
      </w:pPr>
      <w:r>
        <w:rPr>
          <w:rFonts w:hint="eastAsia" w:ascii="仿宋_GB2312" w:hAnsi="仿宋_GB2312" w:cs="仿宋_GB2312" w:eastAsiaTheme="minorEastAsia"/>
          <w:sz w:val="28"/>
          <w:szCs w:val="28"/>
        </w:rPr>
        <w:t>十三、国有资产占用情况说明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cs="仿宋_GB2312" w:eastAsiaTheme="minorEastAsia"/>
          <w:sz w:val="28"/>
          <w:szCs w:val="28"/>
          <w:lang w:eastAsia="zh-CN"/>
        </w:rPr>
      </w:pPr>
      <w:r>
        <w:rPr>
          <w:rFonts w:hint="eastAsia" w:ascii="仿宋_GB2312" w:hAnsi="仿宋_GB2312" w:cs="仿宋_GB2312" w:eastAsiaTheme="minorEastAsia"/>
          <w:sz w:val="28"/>
          <w:szCs w:val="28"/>
          <w:lang w:eastAsia="zh-CN"/>
        </w:rPr>
        <w:t>十四、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2021年</w:t>
      </w:r>
      <w:r>
        <w:rPr>
          <w:rFonts w:hint="eastAsia" w:ascii="仿宋_GB2312" w:hAnsi="仿宋_GB2312" w:cs="仿宋_GB2312" w:eastAsiaTheme="minorEastAsia"/>
          <w:sz w:val="28"/>
          <w:szCs w:val="28"/>
        </w:rPr>
        <w:t>度预算绩效情况说明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ascii="黑体" w:hAnsi="黑体" w:eastAsia="黑体" w:cs="黑体"/>
          <w:b/>
          <w:color w:val="000000"/>
          <w:kern w:val="0"/>
          <w:sz w:val="28"/>
          <w:szCs w:val="28"/>
        </w:rPr>
      </w:pP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第四部分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ascii="黑体" w:hAnsi="黑体" w:eastAsia="黑体" w:cs="仿宋_GB2312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第五部分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rPr>
          <w:sz w:val="72"/>
          <w:szCs w:val="72"/>
        </w:rPr>
      </w:pP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第一部分</w:t>
      </w:r>
      <w:r>
        <w:rPr>
          <w:sz w:val="84"/>
          <w:szCs w:val="84"/>
        </w:rPr>
        <w:t xml:space="preserve"> </w:t>
      </w:r>
    </w:p>
    <w:p>
      <w:pPr>
        <w:pStyle w:val="10"/>
        <w:jc w:val="center"/>
        <w:rPr>
          <w:sz w:val="84"/>
          <w:szCs w:val="84"/>
        </w:rPr>
      </w:pPr>
    </w:p>
    <w:p>
      <w:pPr>
        <w:pStyle w:val="10"/>
        <w:jc w:val="center"/>
        <w:rPr>
          <w:rFonts w:hint="eastAsia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岳阳市城市建设</w:t>
      </w:r>
    </w:p>
    <w:p>
      <w:pPr>
        <w:pStyle w:val="10"/>
        <w:jc w:val="center"/>
        <w:rPr>
          <w:rFonts w:hint="eastAsia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科学研究中心</w:t>
      </w: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单位概况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pStyle w:val="11"/>
        <w:ind w:left="0" w:leftChars="0" w:firstLine="0" w:firstLineChars="0"/>
        <w:jc w:val="left"/>
        <w:rPr>
          <w:rFonts w:ascii="黑体" w:hAnsi="黑体" w:eastAsia="黑体"/>
          <w:sz w:val="32"/>
          <w:szCs w:val="32"/>
        </w:rPr>
      </w:pPr>
    </w:p>
    <w:p>
      <w:pPr>
        <w:pStyle w:val="11"/>
        <w:numPr>
          <w:ilvl w:val="0"/>
          <w:numId w:val="1"/>
        </w:numPr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部门职责</w:t>
      </w:r>
    </w:p>
    <w:p>
      <w:pPr>
        <w:ind w:firstLine="800" w:firstLineChars="25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负责拟订全市城建项目计划草案；跟踪项目进度和目标任务完成情况；参与相关工作的绩效考评。</w:t>
      </w:r>
    </w:p>
    <w:p>
      <w:pPr>
        <w:ind w:firstLine="800" w:firstLineChars="250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（二）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负责总体规划范围内城市道路、桥梁、地下管线及房屋建筑工程等项目库的建设、维护和管理；负责城建项目储备、前期可行性研究、论证和专项课题研究。</w:t>
      </w:r>
    </w:p>
    <w:p>
      <w:pPr>
        <w:ind w:firstLine="750" w:firstLineChars="250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（三）负责对工程预算（工程量清单子目）进行复查及工程结（决）算书初步评审报告进行抽检复查。</w:t>
      </w:r>
    </w:p>
    <w:p>
      <w:pPr>
        <w:ind w:firstLine="750" w:firstLineChars="250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（四）负责组织建设待业绿色建筑研究及新技术、新能源、新材料、新工艺的应用评估工作。</w:t>
      </w:r>
    </w:p>
    <w:p>
      <w:pPr>
        <w:ind w:firstLine="750" w:firstLineChars="250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（五）承担市住房和城乡建设局交办的其他工作。</w:t>
      </w:r>
    </w:p>
    <w:p>
      <w:pPr>
        <w:widowControl/>
        <w:spacing w:line="600" w:lineRule="exact"/>
        <w:rPr>
          <w:rFonts w:ascii="黑体" w:hAnsi="黑体" w:eastAsia="黑体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rPr>
          <w:rFonts w:hint="eastAsia" w:asciiTheme="minorEastAsia" w:hAnsiTheme="minorEastAsia"/>
          <w:bCs/>
          <w:kern w:val="0"/>
          <w:sz w:val="32"/>
          <w:szCs w:val="32"/>
        </w:rPr>
      </w:pPr>
      <w:r>
        <w:rPr>
          <w:rFonts w:hint="eastAsia" w:asciiTheme="minorEastAsia" w:hAnsiTheme="minorEastAsia"/>
          <w:bCs/>
          <w:kern w:val="0"/>
          <w:sz w:val="32"/>
          <w:szCs w:val="32"/>
        </w:rPr>
        <w:t>（一）内设机构设置。</w:t>
      </w:r>
    </w:p>
    <w:p>
      <w:pPr>
        <w:widowControl/>
        <w:spacing w:line="600" w:lineRule="exact"/>
        <w:ind w:firstLine="960" w:firstLineChars="300"/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bCs/>
          <w:kern w:val="0"/>
          <w:sz w:val="32"/>
          <w:szCs w:val="32"/>
        </w:rPr>
        <w:t>内设机构包括：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①综合室②前期研究室③工程技术室。</w:t>
      </w:r>
    </w:p>
    <w:p>
      <w:pPr>
        <w:widowControl/>
        <w:numPr>
          <w:ilvl w:val="0"/>
          <w:numId w:val="2"/>
        </w:numPr>
        <w:spacing w:line="600" w:lineRule="exact"/>
        <w:rPr>
          <w:rFonts w:asciiTheme="minorEastAsia" w:hAnsiTheme="minorEastAsia"/>
          <w:bCs/>
          <w:kern w:val="0"/>
          <w:sz w:val="32"/>
          <w:szCs w:val="32"/>
        </w:rPr>
      </w:pPr>
      <w:r>
        <w:rPr>
          <w:rFonts w:hint="eastAsia" w:asciiTheme="minorEastAsia" w:hAnsiTheme="minorEastAsia"/>
          <w:bCs/>
          <w:kern w:val="0"/>
          <w:sz w:val="32"/>
          <w:szCs w:val="32"/>
        </w:rPr>
        <w:t>决算单位构成。</w:t>
      </w:r>
    </w:p>
    <w:p>
      <w:pPr>
        <w:widowControl/>
        <w:numPr>
          <w:ilvl w:val="0"/>
          <w:numId w:val="0"/>
        </w:numPr>
        <w:spacing w:line="600" w:lineRule="exact"/>
        <w:ind w:firstLine="960" w:firstLineChars="300"/>
        <w:rPr>
          <w:rFonts w:asciiTheme="minorEastAsia" w:hAnsiTheme="minorEastAsia"/>
          <w:bCs/>
          <w:kern w:val="0"/>
          <w:sz w:val="32"/>
          <w:szCs w:val="32"/>
        </w:rPr>
      </w:pP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岳阳市城市建设科学研究中心本级，无下属二级机构。</w:t>
      </w:r>
    </w:p>
    <w:p>
      <w:pPr>
        <w:jc w:val="left"/>
        <w:rPr>
          <w:rFonts w:ascii="仿宋_GB2312" w:eastAsia="仿宋_GB2312" w:hAnsiTheme="minorEastAsia"/>
          <w:sz w:val="28"/>
          <w:szCs w:val="32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both"/>
        <w:rPr>
          <w:rFonts w:hint="eastAsia" w:eastAsiaTheme="minorEastAsia"/>
          <w:sz w:val="72"/>
          <w:szCs w:val="72"/>
          <w:lang w:eastAsia="zh-CN"/>
        </w:rPr>
      </w:pPr>
    </w:p>
    <w:p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第二部分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部门决算表</w:t>
      </w:r>
    </w:p>
    <w:p>
      <w:pPr>
        <w:jc w:val="center"/>
        <w:rPr>
          <w:rFonts w:hint="eastAsia" w:eastAsiaTheme="minorEastAsia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（见附件）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left"/>
        <w:rPr>
          <w:rFonts w:asciiTheme="minorEastAsia" w:hAnsiTheme="minorEastAsia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第三部分</w:t>
      </w:r>
    </w:p>
    <w:p>
      <w:pPr>
        <w:pStyle w:val="10"/>
        <w:jc w:val="center"/>
        <w:rPr>
          <w:sz w:val="70"/>
          <w:szCs w:val="70"/>
        </w:rPr>
      </w:pPr>
    </w:p>
    <w:p>
      <w:pPr>
        <w:pStyle w:val="10"/>
        <w:jc w:val="center"/>
        <w:rPr>
          <w:sz w:val="70"/>
          <w:szCs w:val="70"/>
        </w:rPr>
      </w:pPr>
      <w:r>
        <w:rPr>
          <w:sz w:val="70"/>
          <w:szCs w:val="70"/>
        </w:rPr>
        <w:t>20</w:t>
      </w:r>
      <w:r>
        <w:rPr>
          <w:rFonts w:hint="eastAsia"/>
          <w:sz w:val="70"/>
          <w:szCs w:val="70"/>
        </w:rPr>
        <w:t>21年度部门决算情况说明</w:t>
      </w:r>
    </w:p>
    <w:p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  <w:highlight w:val="green"/>
        </w:rPr>
      </w:pPr>
      <w:r>
        <w:rPr>
          <w:sz w:val="70"/>
          <w:szCs w:val="70"/>
          <w:highlight w:val="green"/>
        </w:rPr>
        <w:br w:type="page"/>
      </w:r>
    </w:p>
    <w:p>
      <w:pPr>
        <w:pStyle w:val="10"/>
        <w:rPr>
          <w:rFonts w:asciiTheme="minorEastAsia" w:hAnsiTheme="minorEastAsia" w:eastAsiaTheme="minorEastAsia"/>
          <w:sz w:val="32"/>
          <w:szCs w:val="32"/>
        </w:rPr>
      </w:pPr>
    </w:p>
    <w:p>
      <w:pPr>
        <w:pStyle w:val="10"/>
        <w:rPr>
          <w:rFonts w:hint="default" w:hAnsi="黑体" w:eastAsia="黑体"/>
          <w:b/>
          <w:sz w:val="32"/>
          <w:szCs w:val="32"/>
          <w:lang w:val="en-US" w:eastAsia="zh-CN"/>
        </w:rPr>
      </w:pPr>
      <w:r>
        <w:rPr>
          <w:rFonts w:hint="eastAsia" w:hAnsi="黑体"/>
          <w:b/>
          <w:sz w:val="32"/>
          <w:szCs w:val="32"/>
        </w:rPr>
        <w:t>一、收入支出决算总体情况说明</w:t>
      </w:r>
    </w:p>
    <w:p>
      <w:pPr>
        <w:pStyle w:val="10"/>
        <w:ind w:firstLine="640" w:firstLineChars="200"/>
        <w:rPr>
          <w:rFonts w:hint="eastAsia" w:ascii="宋体" w:hAnsi="宋体" w:eastAsia="宋体" w:cs="宋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2021年度收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、支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总计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120.25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万元。因为</w:t>
      </w:r>
      <w:r>
        <w:rPr>
          <w:rFonts w:hint="eastAsia" w:ascii="宋体" w:hAnsi="宋体" w:eastAsia="宋体" w:cs="宋体"/>
          <w:b w:val="0"/>
          <w:bCs/>
          <w:sz w:val="32"/>
          <w:szCs w:val="32"/>
          <w:highlight w:val="none"/>
          <w:lang w:val="en-US" w:eastAsia="zh-CN"/>
        </w:rPr>
        <w:t>本单位是2021年新成立单位，无上年数据，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故无与上年度对比情况。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二、收入决算情况说明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2021年度收入合计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120.25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万元，其中：财政拨款收入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120.25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三、支出决算情况说明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2021年度支出合计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120.25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万元，其中：基本支出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84.27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70.08</w:t>
      </w:r>
      <w:r>
        <w:rPr>
          <w:rFonts w:hint="eastAsia" w:asciiTheme="minorEastAsia" w:hAnsiTheme="minorEastAsia" w:eastAsiaTheme="minorEastAsia"/>
          <w:sz w:val="32"/>
          <w:szCs w:val="32"/>
        </w:rPr>
        <w:t>%；项目支出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35.98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29.92</w:t>
      </w:r>
      <w:r>
        <w:rPr>
          <w:rFonts w:hint="eastAsia" w:asciiTheme="minorEastAsia" w:hAnsiTheme="minorEastAsia" w:eastAsiaTheme="minorEastAsia"/>
          <w:sz w:val="32"/>
          <w:szCs w:val="32"/>
        </w:rPr>
        <w:t>%。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四、财政拨款收入支出决算总体情况说明</w:t>
      </w:r>
    </w:p>
    <w:p>
      <w:pPr>
        <w:pStyle w:val="10"/>
        <w:ind w:firstLine="640" w:firstLineChars="200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2021年度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</w:rPr>
        <w:t>财政拨款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收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、支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总计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120.25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万元。因为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本单位</w:t>
      </w:r>
      <w:r>
        <w:rPr>
          <w:rFonts w:hint="eastAsia" w:ascii="宋体" w:hAnsi="宋体" w:eastAsia="宋体" w:cs="宋体"/>
          <w:b w:val="0"/>
          <w:bCs/>
          <w:sz w:val="32"/>
          <w:szCs w:val="32"/>
          <w:highlight w:val="none"/>
          <w:lang w:val="en-US" w:eastAsia="zh-CN"/>
        </w:rPr>
        <w:t>是2021年新成立单位，无上年数据，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故无与上年度对比情况。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五、一般公共预算财政拨款支出决算情况说明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highlight w:val="none"/>
        </w:rPr>
        <w:t>（一）财政拨款支出决算总体情况</w:t>
      </w:r>
    </w:p>
    <w:p>
      <w:pPr>
        <w:pStyle w:val="10"/>
        <w:ind w:firstLine="800" w:firstLineChars="250"/>
        <w:rPr>
          <w:rFonts w:hint="eastAsia" w:asciiTheme="minorEastAsia" w:hAnsiTheme="minorEastAsia" w:eastAsiaTheme="minorEastAsia" w:cstheme="minorEastAsia"/>
          <w:i/>
          <w:i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2021年度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</w:rPr>
        <w:t>财政拨款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总计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120.25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万元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</w:rPr>
        <w:t>占本年支出合计的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。因为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本单位是2021年新成立单位，无上年数据，</w:t>
      </w:r>
      <w:r>
        <w:rPr>
          <w:rFonts w:hint="eastAsia" w:asciiTheme="minorEastAsia" w:hAnsiTheme="minorEastAsia" w:eastAsiaTheme="minorEastAsia" w:cstheme="minorEastAsia"/>
          <w:b w:val="0"/>
          <w:bCs/>
          <w:sz w:val="30"/>
          <w:szCs w:val="30"/>
          <w:highlight w:val="none"/>
          <w:lang w:val="en-US" w:eastAsia="zh-CN"/>
        </w:rPr>
        <w:t>故无与上年度对比情况。</w:t>
      </w:r>
    </w:p>
    <w:p>
      <w:pPr>
        <w:pStyle w:val="10"/>
        <w:ind w:firstLine="480" w:firstLineChars="15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（二）财政拨款支出决算结构情况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120.25</w:t>
      </w:r>
      <w:r>
        <w:rPr>
          <w:rFonts w:hint="eastAsia" w:asciiTheme="minorEastAsia" w:hAnsiTheme="minorEastAsia" w:eastAsiaTheme="minorEastAsia"/>
          <w:sz w:val="32"/>
          <w:szCs w:val="32"/>
        </w:rPr>
        <w:t>万元，主要用于以下方面：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社会保障和就业支出9.25万元</w:t>
      </w:r>
      <w:r>
        <w:rPr>
          <w:rFonts w:hint="eastAsia" w:asciiTheme="minorEastAsia" w:hAnsiTheme="minorEastAsia" w:eastAsiaTheme="minorEastAsia"/>
          <w:sz w:val="32"/>
          <w:szCs w:val="32"/>
        </w:rPr>
        <w:t>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7.69</w:t>
      </w:r>
      <w:r>
        <w:rPr>
          <w:rFonts w:hint="eastAsia" w:asciiTheme="minorEastAsia" w:hAnsiTheme="minorEastAsia" w:eastAsiaTheme="minorEastAsia"/>
          <w:sz w:val="32"/>
          <w:szCs w:val="32"/>
        </w:rPr>
        <w:t>%；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卫生健康</w:t>
      </w:r>
      <w:r>
        <w:rPr>
          <w:rFonts w:hint="eastAsia" w:asciiTheme="minorEastAsia" w:hAnsiTheme="minorEastAsia" w:eastAsiaTheme="minorEastAsia"/>
          <w:sz w:val="32"/>
          <w:szCs w:val="32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4.15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3.45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城乡社区支出46.50万元，占38.67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；资源勘探工业信息等支出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60.35万元，</w:t>
      </w:r>
      <w:r>
        <w:rPr>
          <w:rFonts w:hint="eastAsia" w:asciiTheme="minorEastAsia" w:hAnsiTheme="minorEastAsia" w:eastAsiaTheme="minorEastAsia"/>
          <w:sz w:val="32"/>
          <w:szCs w:val="32"/>
        </w:rPr>
        <w:t>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50.19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>
      <w:pPr>
        <w:pStyle w:val="10"/>
        <w:ind w:firstLine="800" w:firstLineChars="25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（三）财政拨款支出决算具体情况</w:t>
      </w:r>
    </w:p>
    <w:p>
      <w:pPr>
        <w:pStyle w:val="10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2021年度财政拨款支出年初预算数为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141.24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120.25</w:t>
      </w:r>
      <w:r>
        <w:rPr>
          <w:rFonts w:hint="eastAsia" w:asciiTheme="minorEastAsia" w:hAnsiTheme="minorEastAsia" w:eastAsiaTheme="minorEastAsia"/>
          <w:sz w:val="32"/>
          <w:szCs w:val="32"/>
        </w:rPr>
        <w:t>万元，完成年初预算的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85.14</w:t>
      </w:r>
      <w:r>
        <w:rPr>
          <w:rFonts w:hint="eastAsia" w:asciiTheme="minorEastAsia" w:hAnsiTheme="minorEastAsia" w:eastAsiaTheme="minorEastAsia"/>
          <w:sz w:val="32"/>
          <w:szCs w:val="32"/>
        </w:rPr>
        <w:t>%，其中：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社会保障和就业支出（类）行政事业单位养老支出（款）机关事业单位基本养老保险缴费支出（项）</w:t>
      </w:r>
    </w:p>
    <w:p>
      <w:pPr>
        <w:pStyle w:val="10"/>
        <w:ind w:firstLine="800" w:firstLineChars="25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8.52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8.47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99.41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%。</w:t>
      </w:r>
      <w:r>
        <w:rPr>
          <w:rFonts w:hint="eastAsia" w:ascii="宋体" w:hAnsi="宋体" w:eastAsia="宋体" w:cs="宋体"/>
          <w:sz w:val="32"/>
          <w:szCs w:val="32"/>
        </w:rPr>
        <w:t>决算数小于年初预算数的主要原因是：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年中人员调出，新招录人员社保缴费基数小。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社会保障和就业支出（类）残疾人事业（款）其他残疾人事业支出（项）</w:t>
      </w:r>
    </w:p>
    <w:p>
      <w:pPr>
        <w:pStyle w:val="10"/>
        <w:ind w:firstLine="800" w:firstLineChars="250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0.78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0.78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万元，完成预算的100%。</w:t>
      </w:r>
      <w:r>
        <w:rPr>
          <w:rFonts w:hint="default" w:ascii="Times New Roman" w:hAnsi="Times New Roman" w:cs="Times New Roman"/>
          <w:sz w:val="32"/>
          <w:lang w:val="en-US" w:eastAsia="zh-CN"/>
        </w:rPr>
        <w:t>决</w:t>
      </w:r>
      <w:r>
        <w:rPr>
          <w:rFonts w:hint="default" w:ascii="宋体" w:hAnsi="宋体" w:eastAsia="宋体" w:cs="宋体"/>
          <w:color w:val="000000"/>
          <w:sz w:val="32"/>
          <w:szCs w:val="32"/>
          <w:lang w:val="en-US" w:eastAsia="zh-CN"/>
        </w:rPr>
        <w:t>算数与预算数无差异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。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卫生健康支出（类）行政事业单位医疗（款）事业单位医疗（项）</w:t>
      </w:r>
    </w:p>
    <w:p>
      <w:pPr>
        <w:pStyle w:val="10"/>
        <w:ind w:firstLine="800" w:firstLineChars="25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4.21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4.15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98.58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%。</w:t>
      </w:r>
      <w:r>
        <w:rPr>
          <w:rFonts w:hint="eastAsia" w:ascii="宋体" w:hAnsi="宋体" w:eastAsia="宋体" w:cs="宋体"/>
          <w:sz w:val="32"/>
          <w:szCs w:val="32"/>
        </w:rPr>
        <w:t>决算数小于年初预算数的主要原因是：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年中人员调出，新招录人员社保缴费基数小。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、城乡社区支出（类）城乡社区规划与管理（款）城乡社区规划与管理（项）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60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36.24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60.4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%。决算数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小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于预算数的原因是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项目支出尚未支付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。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、城乡社区支出（类）其他城乡社区支出（款）其他城乡社区支出（项）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为0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10.26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</w:t>
      </w:r>
      <w:r>
        <w:rPr>
          <w:rFonts w:hint="eastAsia" w:ascii="宋体" w:hAnsi="Calibri" w:eastAsia="宋体"/>
          <w:sz w:val="32"/>
          <w:szCs w:val="24"/>
          <w:shd w:val="clear" w:color="auto" w:fill="auto"/>
          <w:lang w:eastAsia="zh-CN"/>
        </w:rPr>
        <w:t>由于预算数为</w:t>
      </w:r>
      <w:r>
        <w:rPr>
          <w:rFonts w:hint="eastAsia" w:ascii="宋体" w:hAnsi="Calibri" w:eastAsia="宋体"/>
          <w:sz w:val="32"/>
          <w:szCs w:val="24"/>
          <w:shd w:val="clear" w:color="auto" w:fill="auto"/>
          <w:lang w:val="en-US" w:eastAsia="zh-CN"/>
        </w:rPr>
        <w:t>0，无法计算百分比，</w:t>
      </w:r>
      <w:r>
        <w:rPr>
          <w:rFonts w:hint="eastAsia" w:cs="宋体"/>
          <w:color w:val="000000"/>
          <w:sz w:val="32"/>
          <w:szCs w:val="32"/>
          <w:lang w:eastAsia="zh-CN"/>
        </w:rPr>
        <w:t>决算数大于预算数的主要原因是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年中财政追加年终综合绩效奖指标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及2021年物业补贴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。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、资源勘探工业信息等支出（类）建筑业（款）行政运行（项）</w:t>
      </w:r>
    </w:p>
    <w:p>
      <w:pPr>
        <w:pStyle w:val="10"/>
        <w:ind w:firstLine="800" w:firstLineChars="25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53.24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53.14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99.81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%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决算数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小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于预算数的原因是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年中人员调出，新招录人员工资基数小。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40" w:firstLineChars="200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、资源勘探工业信息等支出（类）建筑业（款）一般行政管理事务（项）</w:t>
      </w:r>
    </w:p>
    <w:p>
      <w:pPr>
        <w:pStyle w:val="13"/>
        <w:shd w:val="clear" w:color="auto" w:fill="FFFFFF"/>
        <w:spacing w:before="0" w:beforeAutospacing="0" w:after="0" w:afterAutospacing="0" w:line="450" w:lineRule="atLeast"/>
        <w:ind w:firstLine="624"/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年初预算为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7.58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7.20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94.99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%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决算数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小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于预算数的原因是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落实财政“过紧日子”的要求，减少单位公用经费开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六、一般公共预算财政拨款基本支出决算情况说明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2021年度财政拨款基本支出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84.27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万元，其中：人员经费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75.28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万元，占基本支出的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89.33</w:t>
      </w:r>
      <w:r>
        <w:rPr>
          <w:rFonts w:hint="eastAsia" w:asciiTheme="minorEastAsia" w:hAnsiTheme="minorEastAsia" w:eastAsiaTheme="minorEastAsia"/>
          <w:sz w:val="32"/>
          <w:szCs w:val="32"/>
        </w:rPr>
        <w:t>%,主要包括主要包括基本工资、津贴补贴、</w:t>
      </w:r>
      <w:r>
        <w:rPr>
          <w:rFonts w:hint="eastAsia" w:asciiTheme="minorEastAsia" w:hAnsiTheme="minorEastAsia" w:eastAsiaTheme="minorEastAsia"/>
          <w:sz w:val="32"/>
          <w:szCs w:val="32"/>
          <w:lang w:val="zh-CN"/>
        </w:rPr>
        <w:t>奖金、绩效工资、机关事业单位基本养老保险缴费、职工基本医疗保险缴费、其他社会保障缴费、其他工资福利支出</w:t>
      </w:r>
      <w:r>
        <w:rPr>
          <w:rFonts w:hint="eastAsia" w:asciiTheme="minorEastAsia" w:hAnsiTheme="minorEastAsia" w:eastAsiaTheme="minorEastAsia"/>
          <w:sz w:val="32"/>
          <w:szCs w:val="32"/>
        </w:rPr>
        <w:t>；公用经费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8.99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万元，占基本支出的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10.67</w:t>
      </w:r>
      <w:r>
        <w:rPr>
          <w:rFonts w:hint="eastAsia" w:asciiTheme="minorEastAsia" w:hAnsiTheme="minorEastAsia" w:eastAsiaTheme="minorEastAsia"/>
          <w:sz w:val="32"/>
          <w:szCs w:val="32"/>
        </w:rPr>
        <w:t>%，主要包括办公费、印刷费、差旅费、培训费、劳务费、福利费、其他商品和服务支出。</w:t>
      </w:r>
    </w:p>
    <w:p>
      <w:pPr>
        <w:pStyle w:val="10"/>
        <w:ind w:firstLine="640" w:firstLineChars="20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七、一般公共预算财政拨款“三公”经费支出决算情况说明</w:t>
      </w:r>
    </w:p>
    <w:p>
      <w:pPr>
        <w:pStyle w:val="1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（一）“三公”经费财政拨款支出决算总体情况说明</w:t>
      </w:r>
    </w:p>
    <w:p>
      <w:pPr>
        <w:pStyle w:val="10"/>
        <w:ind w:firstLine="800" w:firstLineChars="250"/>
        <w:rPr>
          <w:rFonts w:asciiTheme="minorEastAsia" w:hAnsiTheme="minorEastAsia" w:eastAsiaTheme="minorEastAsia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2021年度“三公”经费财政拨款支出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预算为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0.16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0.16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万元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eastAsia="zh-CN"/>
        </w:rPr>
        <w:t>，完成预算的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其中：</w:t>
      </w:r>
    </w:p>
    <w:p>
      <w:pPr>
        <w:pStyle w:val="10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因公出国（境）费支出预算为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万元，完成预算的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决算数与预算数一致，主要原因是单位</w:t>
      </w:r>
      <w:r>
        <w:rPr>
          <w:rFonts w:hint="eastAsia" w:ascii="宋体" w:hAnsi="宋体" w:eastAsia="宋体"/>
          <w:bCs/>
          <w:sz w:val="32"/>
          <w:szCs w:val="32"/>
          <w:lang w:val="en-US" w:eastAsia="zh-CN"/>
        </w:rPr>
        <w:t>无</w:t>
      </w:r>
      <w:r>
        <w:rPr>
          <w:rFonts w:hint="eastAsia" w:ascii="宋体" w:hAnsi="宋体" w:eastAsia="宋体"/>
          <w:bCs/>
          <w:sz w:val="32"/>
          <w:szCs w:val="32"/>
        </w:rPr>
        <w:t>因公出国（境）</w:t>
      </w:r>
      <w:r>
        <w:rPr>
          <w:rFonts w:hint="eastAsia" w:ascii="宋体" w:hAnsi="宋体" w:eastAsia="宋体"/>
          <w:bCs/>
          <w:sz w:val="32"/>
          <w:szCs w:val="32"/>
          <w:lang w:val="en-US" w:eastAsia="zh-CN"/>
        </w:rPr>
        <w:t>预算安排和支出，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本单位是2021年新成立单位，无上年数据可比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10"/>
        <w:ind w:firstLine="800" w:firstLineChars="250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公务接待费支出预算为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0.16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0.16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完成预算的100%，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决算数与预算数一致无增减变化，</w:t>
      </w:r>
      <w:r>
        <w:rPr>
          <w:rFonts w:hint="eastAsia" w:ascii="宋体" w:hAnsi="宋体" w:eastAsia="宋体"/>
          <w:bCs/>
          <w:sz w:val="32"/>
          <w:szCs w:val="32"/>
          <w:lang w:val="en-US" w:eastAsia="zh-CN"/>
        </w:rPr>
        <w:t>主要原因是单位厉行节约，严控公务接待，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本单位是2021年新成立单位，无上年数据可比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10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公务用车购置费支出预算为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%，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决算数与预算数一致，</w:t>
      </w:r>
      <w:r>
        <w:rPr>
          <w:rFonts w:hint="eastAsia" w:ascii="宋体" w:hAnsi="Times New Roman" w:eastAsia="宋体"/>
          <w:color w:val="000000"/>
          <w:sz w:val="32"/>
          <w:highlight w:val="white"/>
        </w:rPr>
        <w:t>主要原因是</w:t>
      </w:r>
      <w:r>
        <w:rPr>
          <w:rFonts w:hint="eastAsia" w:ascii="宋体" w:hAnsi="Times New Roman" w:eastAsia="宋体"/>
          <w:color w:val="000000"/>
          <w:sz w:val="32"/>
          <w:highlight w:val="white"/>
          <w:lang w:eastAsia="zh-CN"/>
        </w:rPr>
        <w:t>单位无</w:t>
      </w:r>
      <w:r>
        <w:rPr>
          <w:rFonts w:hint="eastAsia" w:ascii="宋体" w:hAnsi="Times New Roman" w:eastAsia="宋体"/>
          <w:color w:val="000000"/>
          <w:sz w:val="32"/>
          <w:highlight w:val="white"/>
          <w:lang w:val="zh-CN"/>
        </w:rPr>
        <w:t>公务用车购置安排，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本单位是2021年新成立单位，无上年数据可比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10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公务用车运行维护费支出预算为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万元，支出决算为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万元，完成预算的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%，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决算数与预算数一致，</w:t>
      </w:r>
      <w:r>
        <w:rPr>
          <w:rFonts w:hint="eastAsia" w:ascii="宋体" w:hAnsi="Times New Roman" w:eastAsia="宋体"/>
          <w:color w:val="000000"/>
          <w:sz w:val="32"/>
          <w:highlight w:val="white"/>
        </w:rPr>
        <w:t>主要原因是</w:t>
      </w:r>
      <w:r>
        <w:rPr>
          <w:rFonts w:hint="eastAsia" w:ascii="宋体" w:hAnsi="Times New Roman" w:eastAsia="宋体"/>
          <w:color w:val="000000"/>
          <w:sz w:val="32"/>
          <w:highlight w:val="white"/>
          <w:lang w:eastAsia="zh-CN"/>
        </w:rPr>
        <w:t>单位无</w:t>
      </w:r>
      <w:r>
        <w:rPr>
          <w:rFonts w:hint="eastAsia" w:ascii="宋体" w:hAnsi="Times New Roman" w:eastAsia="宋体"/>
          <w:color w:val="000000"/>
          <w:sz w:val="32"/>
          <w:highlight w:val="white"/>
          <w:lang w:val="zh-CN"/>
        </w:rPr>
        <w:t>公务用车，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本单位是2021年新成立单位，无上年数据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1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（二）“三公”经费财政拨款支出决算具体情况说明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2021年度“三公”经费财政拨款支出决算中，公务接待费支出决算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0.16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%,因公出国（境）费支出决算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%,公务用车购置费及运行维护费支出决算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%。其中：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1、因公出国（境）费支出决算为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万元，全年安排因公出国（境）团组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个，累计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人次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>
      <w:pPr>
        <w:ind w:firstLine="709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2、公务接待费支出决算为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0.16</w:t>
      </w:r>
      <w:r>
        <w:rPr>
          <w:rFonts w:hint="eastAsia" w:asciiTheme="minorEastAsia" w:hAnsiTheme="minorEastAsia" w:eastAsiaTheme="minorEastAsia"/>
          <w:sz w:val="32"/>
          <w:szCs w:val="32"/>
        </w:rPr>
        <w:t>万元，全年共接待来访团组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个、来宾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32"/>
          <w:szCs w:val="32"/>
        </w:rPr>
        <w:t>人次</w:t>
      </w:r>
      <w:r>
        <w:rPr>
          <w:rFonts w:hint="eastAsia" w:ascii="宋体" w:hAnsi="宋体" w:eastAsia="宋体" w:cs="宋体"/>
          <w:sz w:val="32"/>
          <w:szCs w:val="32"/>
        </w:rPr>
        <w:t>，主要是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为岳阳县发展和改革局来我单位调用海绵城市项目</w:t>
      </w:r>
      <w:r>
        <w:rPr>
          <w:rFonts w:hint="eastAsia" w:ascii="宋体" w:hAnsi="宋体" w:eastAsia="宋体" w:cs="宋体"/>
          <w:sz w:val="32"/>
          <w:szCs w:val="32"/>
        </w:rPr>
        <w:t>发生的接待支出。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3、公务用车购置费及运行维护费支出决算为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万元，其中：公务用车购置费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万元，单位本级更新公务用车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辆</w:t>
      </w:r>
      <w:r>
        <w:rPr>
          <w:rFonts w:hint="eastAsia" w:asciiTheme="minorEastAsia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/>
          <w:sz w:val="32"/>
          <w:szCs w:val="32"/>
        </w:rPr>
        <w:t>公务用车运行维护费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万元，截止2021年12月31日，我单位开支财政拨款的公务用车保有量为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辆。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八、政府性基金预算收入支出决算情况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2021年度政府性基金预算财政拨款收入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万元；年初结转和结余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万元；支出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万元，其中基本支出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万元，项目支出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万元；年末结转和结余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万元。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2021年度本单位无</w:t>
      </w:r>
      <w:r>
        <w:rPr>
          <w:rFonts w:hint="eastAsia" w:asciiTheme="minorEastAsia" w:hAnsiTheme="minorEastAsia" w:eastAsiaTheme="minorEastAsia"/>
          <w:sz w:val="32"/>
          <w:szCs w:val="32"/>
        </w:rPr>
        <w:t>政府性基金预算收入支出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>
      <w:pPr>
        <w:pStyle w:val="10"/>
        <w:numPr>
          <w:ilvl w:val="0"/>
          <w:numId w:val="3"/>
        </w:numPr>
        <w:rPr>
          <w:rFonts w:hint="eastAsia" w:hAnsi="黑体"/>
          <w:b/>
          <w:sz w:val="32"/>
          <w:szCs w:val="32"/>
          <w:lang w:eastAsia="zh-CN"/>
        </w:rPr>
      </w:pPr>
      <w:r>
        <w:rPr>
          <w:rFonts w:hint="eastAsia" w:hAnsi="黑体"/>
          <w:b/>
          <w:sz w:val="32"/>
          <w:szCs w:val="32"/>
        </w:rPr>
        <w:t>国有资本经营预算财政拨款支出决算</w:t>
      </w:r>
      <w:r>
        <w:rPr>
          <w:rFonts w:hint="eastAsia" w:hAnsi="黑体"/>
          <w:b/>
          <w:sz w:val="32"/>
          <w:szCs w:val="32"/>
          <w:lang w:eastAsia="zh-CN"/>
        </w:rPr>
        <w:t>情况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2021年度国有资本经营预算财政拨款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万元；基本支出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万元，项目支出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万元。</w:t>
      </w:r>
    </w:p>
    <w:p>
      <w:pPr>
        <w:pStyle w:val="10"/>
        <w:ind w:firstLine="640" w:firstLineChars="200"/>
        <w:rPr>
          <w:rFonts w:hint="eastAsia" w:hAnsi="黑体" w:eastAsiaTheme="minorEastAsia"/>
          <w:b/>
          <w:i w:val="0"/>
          <w:iCs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i w:val="0"/>
          <w:iCs/>
          <w:color w:val="auto"/>
          <w:sz w:val="32"/>
          <w:szCs w:val="32"/>
          <w:lang w:val="en-US" w:eastAsia="zh-CN"/>
        </w:rPr>
        <w:t>2021年度</w:t>
      </w:r>
      <w:r>
        <w:rPr>
          <w:rFonts w:hint="eastAsia" w:asciiTheme="minorEastAsia" w:hAnsiTheme="minorEastAsia" w:eastAsiaTheme="minorEastAsia"/>
          <w:i w:val="0"/>
          <w:iCs/>
          <w:color w:val="auto"/>
          <w:sz w:val="32"/>
          <w:szCs w:val="32"/>
        </w:rPr>
        <w:t>本单位无国有资本经营预算财政拨款支出</w:t>
      </w:r>
      <w:r>
        <w:rPr>
          <w:rFonts w:hint="eastAsia" w:asciiTheme="minorEastAsia" w:hAnsiTheme="minorEastAsia" w:eastAsiaTheme="minorEastAsia"/>
          <w:i w:val="0"/>
          <w:iCs/>
          <w:color w:val="auto"/>
          <w:sz w:val="32"/>
          <w:szCs w:val="32"/>
          <w:lang w:eastAsia="zh-CN"/>
        </w:rPr>
        <w:t>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十、机关运行经费支出说明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本部门2021年度机关运行经费支出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万元，比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年初预算</w:t>
      </w:r>
      <w:r>
        <w:rPr>
          <w:rFonts w:hint="eastAsia" w:asciiTheme="minorEastAsia" w:hAnsiTheme="minorEastAsia" w:eastAsiaTheme="minorEastAsia"/>
          <w:sz w:val="32"/>
          <w:szCs w:val="32"/>
        </w:rPr>
        <w:t>数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无增减变化</w:t>
      </w:r>
      <w:r>
        <w:rPr>
          <w:rFonts w:hint="eastAsia" w:asciiTheme="minorEastAsia" w:hAnsiTheme="minorEastAsia" w:eastAsiaTheme="minorEastAsia"/>
          <w:sz w:val="32"/>
          <w:szCs w:val="32"/>
        </w:rPr>
        <w:t>。主要原因是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本单位非行政单位和参照公务员法管理事业单位。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十一、一般性支出情况说明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 w:cstheme="minorEastAsia"/>
          <w:i/>
          <w:i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shd w:val="clear" w:color="auto" w:fill="FFFFFF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shd w:val="clear" w:color="auto" w:fill="FFFFFF"/>
        </w:rPr>
        <w:t>年度本单位开支会议费0万元；开支培训费0万元；未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举办节庆、晚会、论坛、赛事活动，开支0万元。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十二、政府采购支出说明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auto"/>
          <w:kern w:val="0"/>
          <w:sz w:val="32"/>
          <w:szCs w:val="32"/>
          <w:lang w:val="en-US" w:eastAsia="zh-CN" w:bidi="ar-SA"/>
        </w:rPr>
        <w:t>本部门2021年度政府采购支出总额0万元，其中：政府采购货物支出0万元、政府采购工程支出0万元、政府采</w:t>
      </w:r>
      <w:r>
        <w:rPr>
          <w:rFonts w:hint="eastAsia" w:asciiTheme="minorEastAsia" w:hAnsiTheme="minorEastAsia" w:eastAsiaTheme="minorEastAsia"/>
          <w:sz w:val="32"/>
          <w:szCs w:val="32"/>
        </w:rPr>
        <w:t>购服务支出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万元。授予中小企业合同金额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万元，占政府采购支出总额的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%，其中：授予小微企业合同金额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万元，占授予中小企业合同金额的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%；货物采购授予中小企业合同金额占货物支出金额的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%，工程采购授予中小企业合同金额占工程支出金额的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%，服务采购授予中小企业合同金额占服务支出金额的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十三、国有资产占用情况说明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截至2021年12月31日，部门（单位）共有车辆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辆，其中，主要领导干部用车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辆，机要通信用车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辆、应急保障用车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辆、执法执勤用车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辆、特种专业技术用车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辆、其他用车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辆，其他用车</w:t>
      </w:r>
      <w:r>
        <w:rPr>
          <w:rFonts w:hint="eastAsia" w:ascii="宋体" w:hAnsi="Times New Roman" w:eastAsia="宋体"/>
          <w:sz w:val="32"/>
        </w:rPr>
        <w:t>主要是用于机要通信和应急保障之外公务用途的车辆</w:t>
      </w:r>
      <w:r>
        <w:rPr>
          <w:rFonts w:hint="eastAsia" w:asciiTheme="minorEastAsia" w:hAnsiTheme="minorEastAsia" w:eastAsiaTheme="minorEastAsia"/>
          <w:sz w:val="32"/>
          <w:szCs w:val="32"/>
        </w:rPr>
        <w:t>；单位价值50万元以上通用设备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台（套）；单位价值100万元以上专用设备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台（套）。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  <w:lang w:eastAsia="zh-CN"/>
        </w:rPr>
        <w:t>十四、</w:t>
      </w:r>
      <w:r>
        <w:rPr>
          <w:rFonts w:hint="eastAsia" w:hAnsi="黑体"/>
          <w:b/>
          <w:sz w:val="32"/>
          <w:szCs w:val="32"/>
        </w:rPr>
        <w:t>2021年度预算绩效情况说明</w:t>
      </w:r>
    </w:p>
    <w:p>
      <w:pPr>
        <w:keepNext/>
        <w:keepLines/>
        <w:autoSpaceDE w:val="0"/>
        <w:autoSpaceDN w:val="0"/>
        <w:adjustRightInd w:val="0"/>
        <w:spacing w:line="560" w:lineRule="exact"/>
        <w:ind w:firstLine="641"/>
        <w:rPr>
          <w:rFonts w:hint="default" w:ascii="宋体 (正文)" w:hAnsi="宋体 (正文)" w:eastAsia="宋体 (正文)" w:cs="宋体 (正文)"/>
          <w:b w:val="0"/>
          <w:bCs/>
          <w:sz w:val="32"/>
          <w:szCs w:val="32"/>
          <w:lang w:val="en-US"/>
        </w:rPr>
      </w:pPr>
      <w:r>
        <w:rPr>
          <w:rFonts w:hint="eastAsia" w:ascii="宋体" w:hAnsi="Times New Roman" w:eastAsia="宋体"/>
          <w:sz w:val="32"/>
          <w:szCs w:val="24"/>
        </w:rPr>
        <w:t>根据预算绩效管理要求，我</w:t>
      </w:r>
      <w:r>
        <w:rPr>
          <w:rFonts w:hint="eastAsia" w:ascii="宋体" w:hAnsi="Times New Roman" w:eastAsia="宋体" w:cs="Times New Roman"/>
          <w:sz w:val="32"/>
          <w:szCs w:val="24"/>
          <w:lang w:eastAsia="zh-CN"/>
        </w:rPr>
        <w:t>单位开展</w:t>
      </w:r>
      <w:r>
        <w:rPr>
          <w:rFonts w:hint="eastAsia" w:ascii="宋体" w:hAnsi="Times New Roman" w:eastAsia="宋体" w:cs="Times New Roman"/>
          <w:sz w:val="32"/>
          <w:szCs w:val="24"/>
          <w:lang w:val="en-US" w:eastAsia="zh-CN"/>
        </w:rPr>
        <w:t>了</w:t>
      </w:r>
      <w:r>
        <w:rPr>
          <w:rFonts w:hint="eastAsia" w:ascii="宋体" w:hAnsi="Times New Roman" w:eastAsia="宋体" w:cs="Times New Roman"/>
          <w:sz w:val="32"/>
          <w:szCs w:val="24"/>
          <w:lang w:eastAsia="zh-CN"/>
        </w:rPr>
        <w:t>整体支出绩效评价，涉及一般公共预算支出</w:t>
      </w:r>
      <w:r>
        <w:rPr>
          <w:rFonts w:hint="eastAsia" w:ascii="宋体" w:hAnsi="Times New Roman" w:eastAsia="宋体"/>
          <w:sz w:val="32"/>
          <w:szCs w:val="24"/>
          <w:lang w:val="en-US" w:eastAsia="zh-CN"/>
        </w:rPr>
        <w:t>120.25</w:t>
      </w:r>
      <w:r>
        <w:rPr>
          <w:rFonts w:hint="eastAsia" w:ascii="宋体" w:hAnsi="Times New Roman" w:eastAsia="宋体"/>
          <w:sz w:val="32"/>
          <w:szCs w:val="24"/>
        </w:rPr>
        <w:t>万元</w:t>
      </w:r>
      <w:r>
        <w:rPr>
          <w:rFonts w:hint="eastAsia" w:ascii="宋体" w:hAnsi="Times New Roman" w:eastAsia="宋体"/>
          <w:sz w:val="32"/>
          <w:szCs w:val="24"/>
          <w:lang w:val="en-US" w:eastAsia="zh-CN"/>
        </w:rPr>
        <w:t>。</w:t>
      </w:r>
    </w:p>
    <w:p>
      <w:pPr>
        <w:spacing w:line="540" w:lineRule="exact"/>
        <w:ind w:firstLine="640" w:firstLineChars="200"/>
        <w:rPr>
          <w:rFonts w:hint="eastAsia" w:ascii="宋体 (正文)" w:hAnsi="宋体 (正文)" w:eastAsia="宋体 (正文)" w:cs="宋体 (正文)"/>
          <w:b w:val="0"/>
          <w:bCs/>
          <w:sz w:val="32"/>
          <w:szCs w:val="32"/>
        </w:rPr>
      </w:pPr>
      <w:r>
        <w:rPr>
          <w:rFonts w:hint="eastAsia" w:ascii="宋体" w:hAnsi="Times New Roman" w:eastAsia="宋体"/>
          <w:sz w:val="32"/>
          <w:szCs w:val="24"/>
          <w:highlight w:val="white"/>
          <w:lang w:eastAsia="zh-CN"/>
        </w:rPr>
        <w:t>从评价情况来看，</w:t>
      </w:r>
      <w:r>
        <w:rPr>
          <w:rFonts w:hint="eastAsia" w:ascii="宋体 (正文)" w:hAnsi="宋体 (正文)" w:eastAsia="宋体 (正文)" w:cs="宋体 (正文)"/>
          <w:b w:val="0"/>
          <w:bCs/>
          <w:sz w:val="32"/>
          <w:szCs w:val="32"/>
        </w:rPr>
        <w:t>一是完成了人行设施总规编制。目前该规划已通过专家评审，只待大规委会研究通过即可颁行实施，可望极大改善我市交通拥堵现状。</w:t>
      </w:r>
    </w:p>
    <w:p>
      <w:pPr>
        <w:spacing w:line="540" w:lineRule="exact"/>
        <w:ind w:firstLine="640" w:firstLineChars="200"/>
        <w:rPr>
          <w:rFonts w:hint="eastAsia" w:ascii="宋体 (正文)" w:hAnsi="宋体 (正文)" w:eastAsia="宋体 (正文)" w:cs="宋体 (正文)"/>
          <w:b w:val="0"/>
          <w:bCs/>
          <w:sz w:val="32"/>
          <w:szCs w:val="32"/>
        </w:rPr>
      </w:pPr>
      <w:r>
        <w:rPr>
          <w:rFonts w:hint="eastAsia" w:ascii="宋体 (正文)" w:hAnsi="宋体 (正文)" w:eastAsia="宋体 (正文)" w:cs="宋体 (正文)"/>
          <w:b w:val="0"/>
          <w:bCs/>
          <w:sz w:val="32"/>
          <w:szCs w:val="32"/>
        </w:rPr>
        <w:t>二是完成了城建项目库验收。经过近一年的研发与试运行，项目库各项技术指标均已达到预定设计要求，经市局研究，委托市城科中心组织有关部门和专家召开验收评审会议，完成了城建项目库验收。</w:t>
      </w:r>
    </w:p>
    <w:p>
      <w:pPr>
        <w:pStyle w:val="10"/>
        <w:ind w:firstLine="640" w:firstLineChars="200"/>
        <w:jc w:val="both"/>
        <w:rPr>
          <w:rFonts w:hint="eastAsia" w:ascii="宋体 (正文)" w:hAnsi="宋体 (正文)" w:eastAsia="宋体 (正文)" w:cs="宋体 (正文)"/>
          <w:b w:val="0"/>
          <w:bCs/>
          <w:sz w:val="32"/>
          <w:szCs w:val="32"/>
        </w:rPr>
      </w:pPr>
      <w:r>
        <w:rPr>
          <w:rFonts w:hint="eastAsia" w:ascii="宋体 (正文)" w:hAnsi="宋体 (正文)" w:eastAsia="宋体 (正文)" w:cs="宋体 (正文)"/>
          <w:b w:val="0"/>
          <w:bCs/>
          <w:sz w:val="32"/>
          <w:szCs w:val="32"/>
        </w:rPr>
        <w:t>三是开展了步行街改造重启前研。根据市政府的部署要求，结合听证会精神，组织对东茅岭步行街改造重启工程进行了深入的前期调研。</w:t>
      </w:r>
    </w:p>
    <w:p>
      <w:pPr>
        <w:pStyle w:val="10"/>
        <w:ind w:firstLine="640" w:firstLineChars="200"/>
        <w:jc w:val="both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本单位无重点项目，故未开展重点项目自评，无重点项目自评结果。</w:t>
      </w:r>
    </w:p>
    <w:p>
      <w:pPr>
        <w:spacing w:beforeLines="0" w:afterLines="0" w:line="600" w:lineRule="exact"/>
        <w:ind w:firstLine="640" w:firstLineChars="200"/>
        <w:rPr>
          <w:rFonts w:hint="eastAsia" w:ascii="宋体" w:hAnsi="Times New Roman" w:eastAsia="宋体"/>
          <w:sz w:val="32"/>
          <w:szCs w:val="24"/>
          <w:highlight w:val="white"/>
        </w:rPr>
      </w:pPr>
      <w:r>
        <w:rPr>
          <w:rFonts w:hint="eastAsia" w:ascii="宋体" w:hAnsi="Times New Roman" w:eastAsia="宋体"/>
          <w:sz w:val="32"/>
          <w:szCs w:val="24"/>
          <w:highlight w:val="white"/>
        </w:rPr>
        <w:t>2021年度本</w:t>
      </w:r>
      <w:r>
        <w:rPr>
          <w:rFonts w:hint="eastAsia" w:ascii="宋体" w:hAnsi="Times New Roman" w:eastAsia="宋体"/>
          <w:sz w:val="32"/>
          <w:szCs w:val="24"/>
          <w:highlight w:val="white"/>
          <w:lang w:val="en-US" w:eastAsia="zh-CN"/>
        </w:rPr>
        <w:t>单位</w:t>
      </w:r>
      <w:r>
        <w:rPr>
          <w:rFonts w:hint="eastAsia" w:ascii="宋体" w:hAnsi="Times New Roman" w:eastAsia="宋体"/>
          <w:sz w:val="32"/>
          <w:szCs w:val="24"/>
          <w:highlight w:val="white"/>
        </w:rPr>
        <w:t>绩效任务有效执行，单位紧扣目标任务对部门整体支出全面开展绩效自评，评价等次为优秀。</w:t>
      </w:r>
    </w:p>
    <w:p>
      <w:pPr>
        <w:pStyle w:val="10"/>
        <w:ind w:firstLine="640" w:firstLineChars="200"/>
        <w:jc w:val="both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="宋体" w:hAnsi="Times New Roman" w:eastAsia="宋体"/>
          <w:sz w:val="32"/>
          <w:szCs w:val="24"/>
          <w:highlight w:val="white"/>
          <w:lang w:eastAsia="zh-CN"/>
        </w:rPr>
        <w:t>预算绩效管理开展情况、</w:t>
      </w:r>
      <w:r>
        <w:rPr>
          <w:rFonts w:hint="eastAsia" w:ascii="宋体" w:hAnsi="Times New Roman" w:eastAsia="宋体"/>
          <w:sz w:val="32"/>
          <w:szCs w:val="24"/>
          <w:highlight w:val="white"/>
          <w:lang w:val="en-US" w:eastAsia="zh-CN"/>
        </w:rPr>
        <w:t>单位整体绩效情况表</w:t>
      </w:r>
      <w:r>
        <w:rPr>
          <w:rFonts w:hint="eastAsia" w:ascii="宋体" w:hAnsi="Times New Roman" w:eastAsia="宋体"/>
          <w:sz w:val="32"/>
          <w:szCs w:val="24"/>
          <w:highlight w:val="white"/>
          <w:lang w:eastAsia="zh-CN"/>
        </w:rPr>
        <w:t>一并作为附件公开。</w:t>
      </w:r>
    </w:p>
    <w:p>
      <w:pPr>
        <w:pStyle w:val="10"/>
        <w:jc w:val="both"/>
        <w:rPr>
          <w:sz w:val="72"/>
          <w:szCs w:val="72"/>
        </w:rPr>
      </w:pPr>
      <w:bookmarkStart w:id="0" w:name="_GoBack"/>
      <w:bookmarkEnd w:id="0"/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第四部分</w:t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名词解释</w:t>
      </w:r>
    </w:p>
    <w:p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/>
          <w:color w:val="000000"/>
          <w:kern w:val="0"/>
          <w:sz w:val="70"/>
          <w:szCs w:val="70"/>
        </w:rPr>
        <w:br w:type="page"/>
      </w:r>
    </w:p>
    <w:p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二、机关运行经费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是指各部门的公用经费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widowControl/>
        <w:shd w:val="clear" w:color="auto" w:fill="FFFFFF"/>
        <w:spacing w:line="450" w:lineRule="atLeast"/>
        <w:ind w:firstLine="624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三、基本支出：指为保障机构正常运转、完成日常工作任务而发生的各项支出，包括人员支出和公用支出。</w:t>
      </w:r>
    </w:p>
    <w:p>
      <w:pPr>
        <w:pStyle w:val="10"/>
        <w:ind w:firstLine="640"/>
        <w:jc w:val="left"/>
        <w:rPr>
          <w:rFonts w:hint="eastAsia" w:ascii="宋体" w:hAnsi="宋体" w:eastAsia="宋体" w:cs="宋体"/>
          <w:color w:val="000000"/>
          <w:kern w:val="0"/>
          <w:sz w:val="28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四、项目支出：指在基本支出以外为完成相关事业任务和事业发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展目标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所发生的各项支出。</w:t>
      </w: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第五部分</w:t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附件</w:t>
      </w:r>
    </w:p>
    <w:p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/>
          <w:color w:val="000000"/>
          <w:kern w:val="0"/>
          <w:sz w:val="70"/>
          <w:szCs w:val="70"/>
        </w:rPr>
        <w:br w:type="page"/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ind w:firstLine="640" w:firstLineChars="200"/>
        <w:jc w:val="left"/>
        <w:rPr>
          <w:rFonts w:hint="eastAsia" w:cs="黑体" w:asciiTheme="minorEastAsia" w:hAnsiTheme="minorEastAsia" w:eastAsiaTheme="minorEastAsia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val="en-US" w:eastAsia="zh-CN"/>
        </w:rPr>
        <w:t>1、2021年部门决算公开表格</w:t>
      </w:r>
    </w:p>
    <w:p>
      <w:pPr>
        <w:ind w:firstLine="640" w:firstLineChars="200"/>
        <w:jc w:val="left"/>
        <w:rPr>
          <w:rFonts w:hint="eastAsia" w:cs="黑体" w:asciiTheme="minorEastAsia" w:hAnsiTheme="minorEastAsia" w:eastAsiaTheme="minorEastAsia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2021年度部门整体支出绩效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eastAsia="zh-CN"/>
        </w:rPr>
        <w:t>情况表</w:t>
      </w:r>
    </w:p>
    <w:p>
      <w:pPr>
        <w:widowControl/>
        <w:shd w:val="clear" w:color="auto" w:fill="FFFFFF"/>
        <w:spacing w:line="720" w:lineRule="atLeast"/>
        <w:ind w:firstLine="300"/>
        <w:jc w:val="center"/>
        <w:rPr>
          <w:rFonts w:hint="default" w:ascii="宋体" w:hAnsi="宋体" w:eastAsia="宋体" w:cs="宋体"/>
          <w:color w:val="333333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44"/>
          <w:szCs w:val="44"/>
        </w:rPr>
        <w:t>岳阳市城市建设</w:t>
      </w:r>
      <w:r>
        <w:rPr>
          <w:rFonts w:hint="eastAsia" w:ascii="宋体" w:hAnsi="宋体" w:cs="宋体"/>
          <w:color w:val="333333"/>
          <w:kern w:val="0"/>
          <w:sz w:val="44"/>
          <w:szCs w:val="44"/>
          <w:lang w:val="en-US" w:eastAsia="zh-CN"/>
        </w:rPr>
        <w:t>科学研究中心</w:t>
      </w:r>
    </w:p>
    <w:p>
      <w:pPr>
        <w:widowControl/>
        <w:shd w:val="clear" w:color="auto" w:fill="FFFFFF"/>
        <w:spacing w:line="720" w:lineRule="atLeast"/>
        <w:ind w:firstLine="300"/>
        <w:jc w:val="center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Times New Roman"/>
          <w:color w:val="333333"/>
          <w:kern w:val="0"/>
          <w:sz w:val="44"/>
          <w:szCs w:val="44"/>
        </w:rPr>
        <w:t>202</w:t>
      </w:r>
      <w:r>
        <w:rPr>
          <w:rFonts w:hint="eastAsia" w:ascii="宋体" w:hAnsi="宋体" w:cs="Times New Roman"/>
          <w:color w:val="333333"/>
          <w:kern w:val="0"/>
          <w:sz w:val="44"/>
          <w:szCs w:val="44"/>
          <w:lang w:val="en-US" w:eastAsia="zh-CN"/>
        </w:rPr>
        <w:t>1</w:t>
      </w:r>
      <w:r>
        <w:rPr>
          <w:rFonts w:ascii="宋体" w:hAnsi="宋体" w:cs="Times New Roman"/>
          <w:color w:val="333333"/>
          <w:kern w:val="0"/>
          <w:sz w:val="44"/>
          <w:szCs w:val="44"/>
        </w:rPr>
        <w:t>年部门整体支出绩效情况表</w:t>
      </w:r>
    </w:p>
    <w:p>
      <w:pPr>
        <w:widowControl/>
        <w:shd w:val="clear" w:color="auto" w:fill="FFFFFF"/>
        <w:spacing w:line="450" w:lineRule="atLeast"/>
        <w:ind w:firstLine="544"/>
        <w:jc w:val="left"/>
        <w:rPr>
          <w:rFonts w:ascii="微软雅黑" w:hAnsi="微软雅黑" w:eastAsia="微软雅黑" w:cs="宋体"/>
          <w:color w:val="333333"/>
          <w:kern w:val="0"/>
          <w:szCs w:val="21"/>
        </w:rPr>
      </w:pPr>
      <w:r>
        <w:rPr>
          <w:rFonts w:ascii="Times New Roman" w:hAnsi="Times New Roman" w:eastAsia="微软雅黑" w:cs="Times New Roman"/>
          <w:b/>
          <w:bCs/>
          <w:color w:val="333333"/>
          <w:kern w:val="0"/>
          <w:sz w:val="28"/>
          <w:szCs w:val="28"/>
        </w:rPr>
        <w:t> </w:t>
      </w:r>
    </w:p>
    <w:tbl>
      <w:tblPr>
        <w:tblStyle w:val="6"/>
        <w:tblW w:w="939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654"/>
        <w:gridCol w:w="46"/>
        <w:gridCol w:w="1410"/>
        <w:gridCol w:w="9"/>
        <w:gridCol w:w="83"/>
        <w:gridCol w:w="421"/>
        <w:gridCol w:w="742"/>
        <w:gridCol w:w="155"/>
        <w:gridCol w:w="230"/>
        <w:gridCol w:w="465"/>
        <w:gridCol w:w="331"/>
        <w:gridCol w:w="384"/>
        <w:gridCol w:w="368"/>
        <w:gridCol w:w="733"/>
        <w:gridCol w:w="312"/>
        <w:gridCol w:w="126"/>
        <w:gridCol w:w="377"/>
        <w:gridCol w:w="558"/>
        <w:gridCol w:w="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394" w:type="dxa"/>
            <w:gridSpan w:val="1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一、单位基本概况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54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人员编制</w:t>
            </w:r>
          </w:p>
        </w:tc>
        <w:tc>
          <w:tcPr>
            <w:tcW w:w="3561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实有人数</w:t>
            </w:r>
          </w:p>
        </w:tc>
        <w:tc>
          <w:tcPr>
            <w:tcW w:w="346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120" w:hRule="atLeast"/>
          <w:jc w:val="center"/>
        </w:trPr>
        <w:tc>
          <w:tcPr>
            <w:tcW w:w="1654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职能职责概述</w:t>
            </w:r>
          </w:p>
        </w:tc>
        <w:tc>
          <w:tcPr>
            <w:tcW w:w="7740" w:type="dxa"/>
            <w:gridSpan w:val="18"/>
            <w:noWrap w:val="0"/>
            <w:vAlign w:val="center"/>
          </w:tcPr>
          <w:p>
            <w:pPr>
              <w:ind w:firstLine="600" w:firstLineChars="25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负责拟订全市城建项目计划草案；跟踪项目进度和目标任务完成情况；参与相关工作的绩效考评。</w:t>
            </w:r>
          </w:p>
          <w:p>
            <w:pPr>
              <w:ind w:firstLine="600" w:firstLineChars="25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负责总体规划范围内城市道路、桥梁、地下管线及房屋建筑工程等项目库的建设、维护和管理；负责城建项目储备、前期可行性研究、论证和专项课题研究。</w:t>
            </w:r>
          </w:p>
          <w:p>
            <w:pPr>
              <w:ind w:firstLine="600" w:firstLineChars="25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（三）负责对工程预算（工程量清单子目）进行复查及工程结（决）算书初步评审报告进行抽检复查。</w:t>
            </w:r>
          </w:p>
          <w:p>
            <w:pPr>
              <w:ind w:firstLine="600" w:firstLineChars="25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（四）负责组织建设待业绿色建筑研究及新技术、新能源、新材料、新工艺的应用评估工作。</w:t>
            </w:r>
          </w:p>
          <w:p>
            <w:pPr>
              <w:ind w:firstLine="600" w:firstLineChars="25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（五）承担市住房和城乡建设局交办的其他工作。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8" w:hRule="atLeast"/>
          <w:jc w:val="center"/>
        </w:trPr>
        <w:tc>
          <w:tcPr>
            <w:tcW w:w="1654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年度主要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7740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一是完成人行设施专项规划。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二是完成城建项目库验收。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三是开展步行街改造重启前研。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20" w:hRule="atLeast"/>
          <w:jc w:val="center"/>
        </w:trPr>
        <w:tc>
          <w:tcPr>
            <w:tcW w:w="1654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sz w:val="24"/>
                <w:szCs w:val="24"/>
              </w:rPr>
              <w:t>总体运行情况及取得的成绩</w:t>
            </w:r>
          </w:p>
        </w:tc>
        <w:tc>
          <w:tcPr>
            <w:tcW w:w="7740" w:type="dxa"/>
            <w:gridSpan w:val="18"/>
            <w:noWrap w:val="0"/>
            <w:vAlign w:val="center"/>
          </w:tcPr>
          <w:p>
            <w:pPr>
              <w:spacing w:line="540" w:lineRule="exact"/>
              <w:ind w:firstLine="480" w:firstLineChars="20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一是完成了人行设施总规编制。目前该规划已通过专家评审，只待大规委会研究通过即可颁行实施，可望极大改善我市交通拥堵现状。</w:t>
            </w:r>
          </w:p>
          <w:p>
            <w:pPr>
              <w:spacing w:line="540" w:lineRule="exact"/>
              <w:ind w:firstLine="480" w:firstLineChars="20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二是完成了城建项目库验收。经过近一年的研发与试运行，项目库各项技术指标均已达到预定设计要求，经市局研究，委托市城科中心组织有关部门和专家召开验收评审会议，完成了城建项目库验收。</w:t>
            </w:r>
          </w:p>
          <w:p>
            <w:pPr>
              <w:snapToGrid w:val="0"/>
              <w:spacing w:line="520" w:lineRule="exact"/>
              <w:ind w:firstLine="480" w:firstLineChars="20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三是开展了步行街改造重启前研。根据市政府的部署要求，结合听证会精神，组织对东茅岭步行街改造重启工程进行了深入的前期调研。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394" w:type="dxa"/>
            <w:gridSpan w:val="1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二、部门（单位）收支情况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394" w:type="dxa"/>
            <w:gridSpan w:val="1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年度收入情况（万元）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5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收入合计</w:t>
            </w:r>
          </w:p>
        </w:tc>
        <w:tc>
          <w:tcPr>
            <w:tcW w:w="7740" w:type="dxa"/>
            <w:gridSpan w:val="18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其中：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14" w:hRule="atLeast"/>
          <w:jc w:val="center"/>
        </w:trPr>
        <w:tc>
          <w:tcPr>
            <w:tcW w:w="165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上年结转</w:t>
            </w:r>
          </w:p>
        </w:tc>
        <w:tc>
          <w:tcPr>
            <w:tcW w:w="154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公共财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政拨款</w:t>
            </w:r>
          </w:p>
        </w:tc>
        <w:tc>
          <w:tcPr>
            <w:tcW w:w="154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政府基金拨款</w:t>
            </w:r>
          </w:p>
        </w:tc>
        <w:tc>
          <w:tcPr>
            <w:tcW w:w="154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纳入专户管理的非税收入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拨款</w:t>
            </w:r>
          </w:p>
        </w:tc>
        <w:tc>
          <w:tcPr>
            <w:tcW w:w="1548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其他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收入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9" w:hRule="atLeast"/>
          <w:jc w:val="center"/>
        </w:trPr>
        <w:tc>
          <w:tcPr>
            <w:tcW w:w="165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120.25</w:t>
            </w:r>
          </w:p>
        </w:tc>
        <w:tc>
          <w:tcPr>
            <w:tcW w:w="154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4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120.25</w:t>
            </w:r>
          </w:p>
        </w:tc>
        <w:tc>
          <w:tcPr>
            <w:tcW w:w="154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9394" w:type="dxa"/>
            <w:gridSpan w:val="1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年度支出和结余情况（万元）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66" w:hRule="atLeast"/>
          <w:jc w:val="center"/>
        </w:trPr>
        <w:tc>
          <w:tcPr>
            <w:tcW w:w="1700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支出合计</w:t>
            </w:r>
          </w:p>
        </w:tc>
        <w:tc>
          <w:tcPr>
            <w:tcW w:w="141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基本支出</w:t>
            </w:r>
          </w:p>
        </w:tc>
        <w:tc>
          <w:tcPr>
            <w:tcW w:w="281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其中：</w:t>
            </w:r>
          </w:p>
        </w:tc>
        <w:tc>
          <w:tcPr>
            <w:tcW w:w="141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项目支出</w:t>
            </w:r>
          </w:p>
        </w:tc>
        <w:tc>
          <w:tcPr>
            <w:tcW w:w="2051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人员支出</w:t>
            </w:r>
          </w:p>
        </w:tc>
        <w:tc>
          <w:tcPr>
            <w:tcW w:w="1410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公用支出</w:t>
            </w: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当年结余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累计结余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120.25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84.27</w:t>
            </w:r>
          </w:p>
        </w:tc>
        <w:tc>
          <w:tcPr>
            <w:tcW w:w="1410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75.28</w:t>
            </w:r>
          </w:p>
        </w:tc>
        <w:tc>
          <w:tcPr>
            <w:tcW w:w="141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8.99</w:t>
            </w:r>
          </w:p>
        </w:tc>
        <w:tc>
          <w:tcPr>
            <w:tcW w:w="1413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35.98</w:t>
            </w:r>
          </w:p>
        </w:tc>
        <w:tc>
          <w:tcPr>
            <w:tcW w:w="1061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34" w:hRule="atLeast"/>
          <w:jc w:val="center"/>
        </w:trPr>
        <w:tc>
          <w:tcPr>
            <w:tcW w:w="1700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三公经费合计</w:t>
            </w:r>
          </w:p>
        </w:tc>
        <w:tc>
          <w:tcPr>
            <w:tcW w:w="7694" w:type="dxa"/>
            <w:gridSpan w:val="17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其中：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公务接待费</w:t>
            </w:r>
          </w:p>
        </w:tc>
        <w:tc>
          <w:tcPr>
            <w:tcW w:w="1923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公务用车运维费</w:t>
            </w:r>
          </w:p>
        </w:tc>
        <w:tc>
          <w:tcPr>
            <w:tcW w:w="1923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公务用车购置费</w:t>
            </w:r>
          </w:p>
        </w:tc>
        <w:tc>
          <w:tcPr>
            <w:tcW w:w="1925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因公出国费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0.16</w:t>
            </w:r>
          </w:p>
        </w:tc>
        <w:tc>
          <w:tcPr>
            <w:tcW w:w="192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0.16</w:t>
            </w:r>
          </w:p>
        </w:tc>
        <w:tc>
          <w:tcPr>
            <w:tcW w:w="1923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3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5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34" w:hRule="atLeast"/>
          <w:jc w:val="center"/>
        </w:trPr>
        <w:tc>
          <w:tcPr>
            <w:tcW w:w="1700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固定资产合计</w:t>
            </w:r>
          </w:p>
        </w:tc>
        <w:tc>
          <w:tcPr>
            <w:tcW w:w="5331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其中：</w:t>
            </w:r>
          </w:p>
        </w:tc>
        <w:tc>
          <w:tcPr>
            <w:tcW w:w="2363" w:type="dxa"/>
            <w:gridSpan w:val="5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在用固定资产</w:t>
            </w:r>
          </w:p>
        </w:tc>
        <w:tc>
          <w:tcPr>
            <w:tcW w:w="266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出租固定资产</w:t>
            </w:r>
          </w:p>
        </w:tc>
        <w:tc>
          <w:tcPr>
            <w:tcW w:w="2363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0.33</w:t>
            </w:r>
          </w:p>
        </w:tc>
        <w:tc>
          <w:tcPr>
            <w:tcW w:w="2665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0.33</w:t>
            </w:r>
          </w:p>
        </w:tc>
        <w:tc>
          <w:tcPr>
            <w:tcW w:w="266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63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ind w:firstLine="640" w:firstLineChars="200"/>
        <w:jc w:val="left"/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 (正文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6A298D"/>
    <w:multiLevelType w:val="singleLevel"/>
    <w:tmpl w:val="B16A298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C5F40D2"/>
    <w:multiLevelType w:val="singleLevel"/>
    <w:tmpl w:val="FC5F40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2NjYWY0NDFlNmY3YWVjMmFlMWExMWMzMDYzZTMifQ=="/>
  </w:docVars>
  <w:rsids>
    <w:rsidRoot w:val="00172A27"/>
    <w:rsid w:val="0002229B"/>
    <w:rsid w:val="000273BD"/>
    <w:rsid w:val="000415B7"/>
    <w:rsid w:val="00041E3F"/>
    <w:rsid w:val="00055DAA"/>
    <w:rsid w:val="00061F7B"/>
    <w:rsid w:val="000658A3"/>
    <w:rsid w:val="00074155"/>
    <w:rsid w:val="000873EF"/>
    <w:rsid w:val="000A3F69"/>
    <w:rsid w:val="00103957"/>
    <w:rsid w:val="00124A1F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14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C4197"/>
    <w:rsid w:val="003C47E6"/>
    <w:rsid w:val="003C4FC2"/>
    <w:rsid w:val="003E2331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1AF2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48B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B33BEA"/>
    <w:rsid w:val="00B57C9F"/>
    <w:rsid w:val="00B63572"/>
    <w:rsid w:val="00B845B3"/>
    <w:rsid w:val="00B85D8B"/>
    <w:rsid w:val="00B8740C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75489"/>
    <w:rsid w:val="00DD06FF"/>
    <w:rsid w:val="00DD5FE9"/>
    <w:rsid w:val="00E00C7A"/>
    <w:rsid w:val="00E209CF"/>
    <w:rsid w:val="00E37D6C"/>
    <w:rsid w:val="00E55B68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23867DD"/>
    <w:rsid w:val="04187FDA"/>
    <w:rsid w:val="05633A58"/>
    <w:rsid w:val="06B411F0"/>
    <w:rsid w:val="087403E0"/>
    <w:rsid w:val="0BE56081"/>
    <w:rsid w:val="11C767FA"/>
    <w:rsid w:val="13BE003E"/>
    <w:rsid w:val="17A87124"/>
    <w:rsid w:val="1B864A46"/>
    <w:rsid w:val="277146D9"/>
    <w:rsid w:val="27DB542D"/>
    <w:rsid w:val="366364DD"/>
    <w:rsid w:val="370B6762"/>
    <w:rsid w:val="37D30A39"/>
    <w:rsid w:val="3BC03FDD"/>
    <w:rsid w:val="3D9F3012"/>
    <w:rsid w:val="3F1A7548"/>
    <w:rsid w:val="43E95D72"/>
    <w:rsid w:val="443D3AFC"/>
    <w:rsid w:val="45F9639D"/>
    <w:rsid w:val="48ED43E7"/>
    <w:rsid w:val="494F6DB0"/>
    <w:rsid w:val="4AA96AA0"/>
    <w:rsid w:val="4DB836AE"/>
    <w:rsid w:val="57015C98"/>
    <w:rsid w:val="5B6558D5"/>
    <w:rsid w:val="60A907EA"/>
    <w:rsid w:val="6145544E"/>
    <w:rsid w:val="63F62965"/>
    <w:rsid w:val="641D1993"/>
    <w:rsid w:val="696C4C7B"/>
    <w:rsid w:val="6B66226D"/>
    <w:rsid w:val="6FB40867"/>
    <w:rsid w:val="73175DCF"/>
    <w:rsid w:val="74E178A8"/>
    <w:rsid w:val="7C08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 w:firstLineChars="200"/>
    </w:pPr>
    <w:rPr>
      <w:rFonts w:hint="default"/>
      <w:sz w:val="21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0904-B2FB-4FE3-894F-42F14B17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4591</Words>
  <Characters>4991</Characters>
  <Lines>69</Lines>
  <Paragraphs>19</Paragraphs>
  <TotalTime>0</TotalTime>
  <ScaleCrop>false</ScaleCrop>
  <LinksUpToDate>false</LinksUpToDate>
  <CharactersWithSpaces>5008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2020-07-02T02:32:00Z</dcterms:created>
  <dc:creator>李航 null</dc:creator>
  <cp:lastModifiedBy>何蔚</cp:lastModifiedBy>
  <cp:lastPrinted>2022-07-27T12:55:00Z</cp:lastPrinted>
  <dcterms:modified xsi:type="dcterms:W3CDTF">2023-09-22T16:57:24Z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971D94B030A2439BAFD7E4B7ACDAC858</vt:lpwstr>
  </property>
</Properties>
</file>