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岳阳市建筑市场服务中心</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lang w:eastAsia="zh-CN"/>
        </w:rPr>
        <w:t>岳阳市建筑市场服务中心</w:t>
      </w:r>
      <w:r>
        <w:rPr>
          <w:rFonts w:hint="eastAsia"/>
          <w:b/>
          <w:sz w:val="28"/>
          <w:szCs w:val="28"/>
        </w:rPr>
        <w:t>单位概况</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rFonts w:hint="eastAsia"/>
          <w:sz w:val="84"/>
          <w:szCs w:val="84"/>
          <w:lang w:eastAsia="zh-CN"/>
        </w:rPr>
      </w:pPr>
      <w:r>
        <w:rPr>
          <w:rFonts w:hint="eastAsia"/>
          <w:sz w:val="84"/>
          <w:szCs w:val="84"/>
          <w:lang w:eastAsia="zh-CN"/>
        </w:rPr>
        <w:t>岳阳市建筑市场服务中心</w:t>
      </w:r>
    </w:p>
    <w:p>
      <w:pPr>
        <w:pStyle w:val="10"/>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我单位为市住建局下属经费自理事业单位，职能职责为：</w:t>
      </w:r>
    </w:p>
    <w:p>
      <w:pPr>
        <w:pStyle w:val="10"/>
        <w:numPr>
          <w:ilvl w:val="0"/>
          <w:numId w:val="2"/>
        </w:numPr>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贯彻实施住房和城乡建设有关法律法规，负责制订实施全市住房城      乡建设领域从业人员岗位职责教育的发展规划和工作计划；                       </w:t>
      </w:r>
    </w:p>
    <w:p>
      <w:pPr>
        <w:pStyle w:val="10"/>
        <w:numPr>
          <w:ilvl w:val="0"/>
          <w:numId w:val="0"/>
        </w:numPr>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2.负责全市住房城乡建设领域从业人员岗位资格、职业技能考试、审核、发证和继续教育、复检换证的组织实施；                      </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3.负责承办全市住房城乡建设领域特殊工种（起重机械、架子工等）作业人员资格考核认定事务性工作；                                  </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4.协助做好全市土建类初、中级职称考试组织实施工作；协助做好建筑业企业安全管理人员（三类人员）审核、考试、考核和继续教育组织实施；指导全市建筑工人培训工作。</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5.完成市住建局交办的其它工作。</w:t>
      </w:r>
    </w:p>
    <w:p>
      <w:pPr>
        <w:keepNext/>
        <w:keepLines/>
        <w:shd w:val="clear" w:color="auto" w:fill="FFFFFF"/>
        <w:spacing w:beforeLines="0" w:afterLines="0"/>
        <w:ind w:firstLine="640"/>
        <w:jc w:val="left"/>
        <w:rPr>
          <w:rFonts w:asciiTheme="minorEastAsia" w:hAnsiTheme="minorEastAsia"/>
          <w:i/>
          <w:iCs/>
          <w:sz w:val="32"/>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一、内设机构设置</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市建筑市场服务中心内设机构包括</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综合室、业务室、财务室。</w:t>
      </w:r>
    </w:p>
    <w:p>
      <w:pPr>
        <w:pStyle w:val="10"/>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二、决算单位构成：市建筑市场服务中心2021年部门决算公开单位是岳阳市建筑市场服务中心本级，无下属机构。</w:t>
      </w:r>
    </w:p>
    <w:p>
      <w:pPr>
        <w:widowControl/>
        <w:spacing w:line="600" w:lineRule="exact"/>
        <w:rPr>
          <w:rFonts w:hint="eastAsia" w:asciiTheme="minorEastAsia" w:hAnsiTheme="minorEastAsia"/>
          <w:bCs/>
          <w:kern w:val="0"/>
          <w:sz w:val="32"/>
          <w:szCs w:val="32"/>
        </w:rPr>
      </w:pPr>
    </w:p>
    <w:p>
      <w:pPr>
        <w:widowControl/>
        <w:spacing w:line="600" w:lineRule="exact"/>
        <w:rPr>
          <w:rFonts w:hint="eastAsia" w:asciiTheme="minorEastAsia" w:hAnsiTheme="minorEastAsia"/>
          <w:bCs/>
          <w:kern w:val="0"/>
          <w:sz w:val="32"/>
          <w:szCs w:val="32"/>
        </w:rPr>
      </w:pPr>
    </w:p>
    <w:p>
      <w:pPr>
        <w:widowControl/>
        <w:spacing w:line="600" w:lineRule="exact"/>
        <w:rPr>
          <w:rFonts w:hint="eastAsia" w:asciiTheme="minorEastAsia" w:hAnsiTheme="minorEastAsia"/>
          <w:bCs/>
          <w:kern w:val="0"/>
          <w:sz w:val="32"/>
          <w:szCs w:val="32"/>
        </w:rPr>
      </w:pPr>
    </w:p>
    <w:p>
      <w:pPr>
        <w:widowControl/>
        <w:spacing w:line="600" w:lineRule="exact"/>
        <w:rPr>
          <w:rFonts w:hint="eastAsia" w:asciiTheme="minorEastAsia" w:hAnsiTheme="minorEastAsia"/>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rPr>
      </w:pP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jc w:val="both"/>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253.13</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90.71</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26.38</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eastAsia="zh-CN"/>
        </w:rPr>
        <w:t>原因</w:t>
      </w:r>
      <w:r>
        <w:rPr>
          <w:rFonts w:hint="eastAsia" w:asciiTheme="minorEastAsia" w:hAnsiTheme="minorEastAsia" w:eastAsiaTheme="minorEastAsia"/>
          <w:sz w:val="32"/>
          <w:szCs w:val="32"/>
        </w:rPr>
        <w:t>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1、持续压减一般支出，严格落实“过紧日子</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要求，2、年末财政调剂指标下达晚。</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124.68</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107.97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86.60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16.7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13.4</w:t>
      </w:r>
      <w:r>
        <w:rPr>
          <w:rFonts w:hint="eastAsia" w:asciiTheme="minorEastAsia" w:hAnsiTheme="minorEastAsia" w:eastAsiaTheme="minorEastAsia"/>
          <w:sz w:val="32"/>
          <w:szCs w:val="32"/>
        </w:rPr>
        <w:t>%。</w:t>
      </w:r>
    </w:p>
    <w:p>
      <w:pPr>
        <w:pStyle w:val="10"/>
        <w:rPr>
          <w:rFonts w:hAnsi="黑体"/>
          <w:b/>
          <w:sz w:val="32"/>
          <w:szCs w:val="32"/>
        </w:rPr>
      </w:pPr>
      <w:r>
        <w:rPr>
          <w:rFonts w:hint="eastAsia" w:asciiTheme="minorEastAsia" w:hAnsiTheme="minorEastAsia" w:eastAsiaTheme="minorEastAsia"/>
          <w:b w:val="0"/>
          <w:bCs w:val="0"/>
          <w:i/>
          <w:iCs/>
          <w:color w:val="FF0000"/>
          <w:sz w:val="36"/>
          <w:szCs w:val="36"/>
          <w:lang w:val="en-US" w:eastAsia="zh-CN"/>
        </w:rPr>
        <w:t xml:space="preserve"> </w:t>
      </w:r>
      <w:r>
        <w:rPr>
          <w:rFonts w:hint="eastAsia" w:hAnsi="黑体"/>
          <w:b/>
          <w:sz w:val="32"/>
          <w:szCs w:val="32"/>
        </w:rPr>
        <w:t>三、支出决算情况说明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253.13</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200.62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79.26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52.51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20.74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2021年度财政拨款收、支总计</w:t>
      </w:r>
      <w:r>
        <w:rPr>
          <w:rFonts w:hint="eastAsia" w:asciiTheme="minorEastAsia" w:hAnsiTheme="minorEastAsia" w:eastAsiaTheme="minorEastAsia"/>
          <w:sz w:val="32"/>
          <w:szCs w:val="32"/>
          <w:lang w:val="en-US" w:eastAsia="zh-CN"/>
        </w:rPr>
        <w:t>234.81</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41.26</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14.94</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eastAsia="zh-CN"/>
        </w:rPr>
        <w:t>原因</w:t>
      </w:r>
      <w:r>
        <w:rPr>
          <w:rFonts w:hint="eastAsia" w:asciiTheme="minorEastAsia" w:hAnsiTheme="minorEastAsia" w:eastAsiaTheme="minorEastAsia"/>
          <w:sz w:val="32"/>
          <w:szCs w:val="32"/>
        </w:rPr>
        <w:t>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1、持续压减一般支出，严格落实“过紧日子</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要求，2、年末财政调剂指标下达晚。</w:t>
      </w:r>
    </w:p>
    <w:p>
      <w:pPr>
        <w:pStyle w:val="10"/>
        <w:ind w:firstLine="640" w:firstLineChars="200"/>
        <w:rPr>
          <w:rFonts w:asciiTheme="minorEastAsia" w:hAnsiTheme="minorEastAsia" w:eastAsiaTheme="minorEastAsia"/>
          <w:i/>
          <w:iCs/>
          <w:sz w:val="32"/>
          <w:szCs w:val="32"/>
        </w:rPr>
      </w:pP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hint="default" w:asciiTheme="minorEastAsia" w:hAnsiTheme="minorEastAsia" w:eastAsiaTheme="minorEastAsia"/>
          <w:i/>
          <w:iCs/>
          <w:sz w:val="32"/>
          <w:szCs w:val="32"/>
          <w:lang w:val="en-US"/>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234.81</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92.76</w:t>
      </w:r>
      <w:r>
        <w:rPr>
          <w:rFonts w:hint="eastAsia" w:asciiTheme="minorEastAsia" w:hAnsiTheme="minorEastAsia" w:eastAsiaTheme="minorEastAsia"/>
          <w:sz w:val="32"/>
          <w:szCs w:val="32"/>
        </w:rPr>
        <w:t>%，与上年相比，财政拨款支出</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117.08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49.86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2020年的总支出中有105.3万元是其他资金支出，财政拔款支出只有117.73万元。所以2021年财政拔款支出对比上年增加。</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234.81</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资源勘探工业信息等支出</w:t>
      </w:r>
      <w:r>
        <w:rPr>
          <w:rFonts w:hint="eastAsia" w:asciiTheme="minorEastAsia" w:hAnsiTheme="minorEastAsia" w:eastAsiaTheme="minorEastAsia"/>
          <w:sz w:val="32"/>
          <w:szCs w:val="32"/>
          <w:lang w:val="en-US" w:eastAsia="zh-CN"/>
        </w:rPr>
        <w:t>171.21万元，</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72.91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城乡社区支出63.61万元，</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27.09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323</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234.81</w:t>
      </w:r>
      <w:r>
        <w:rPr>
          <w:rFonts w:hint="eastAsia" w:asciiTheme="minorEastAsia" w:hAnsiTheme="minorEastAsia" w:eastAsiaTheme="minorEastAsia"/>
          <w:sz w:val="32"/>
          <w:szCs w:val="32"/>
        </w:rPr>
        <w:t>万元，完成年初预算</w:t>
      </w:r>
      <w:r>
        <w:rPr>
          <w:rFonts w:hint="eastAsia" w:asciiTheme="minorEastAsia" w:hAnsiTheme="minorEastAsia" w:eastAsiaTheme="minorEastAsia"/>
          <w:sz w:val="32"/>
          <w:szCs w:val="32"/>
          <w:lang w:val="en-US" w:eastAsia="zh-CN"/>
        </w:rPr>
        <w:t>72.69</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eastAsia="zh-CN"/>
        </w:rPr>
        <w:t>资源勘探工业信息等支出</w:t>
      </w:r>
      <w:r>
        <w:rPr>
          <w:rFonts w:hint="eastAsia" w:asciiTheme="minorEastAsia" w:hAnsiTheme="minorEastAsia" w:eastAsiaTheme="minorEastAsia"/>
          <w:sz w:val="32"/>
          <w:szCs w:val="32"/>
          <w:lang w:val="en-US" w:eastAsia="zh-CN"/>
        </w:rPr>
        <w:t>215</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21503建筑业</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2150303机关服务</w:t>
      </w:r>
      <w:r>
        <w:rPr>
          <w:rFonts w:hint="eastAsia" w:asciiTheme="minorEastAsia" w:hAnsiTheme="minorEastAsia" w:eastAsiaTheme="minorEastAsia"/>
          <w:sz w:val="32"/>
          <w:szCs w:val="32"/>
        </w:rPr>
        <w:t>（项）。</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年初预算为</w:t>
      </w:r>
      <w:r>
        <w:rPr>
          <w:rFonts w:hint="eastAsia" w:asciiTheme="minorEastAsia" w:hAnsiTheme="minorEastAsia" w:eastAsiaTheme="minorEastAsia"/>
          <w:sz w:val="32"/>
          <w:szCs w:val="32"/>
          <w:lang w:val="en-US" w:eastAsia="zh-CN"/>
        </w:rPr>
        <w:t>323万元，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171.21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53</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val="en-US" w:eastAsia="zh-CN"/>
        </w:rPr>
        <w:t>:1、持续压减一般支出，严格落实“过紧日子</w:t>
      </w:r>
      <w:r>
        <w:rPr>
          <w:rFonts w:hint="default" w:asciiTheme="minorEastAsia" w:hAnsiTheme="minorEastAsia" w:eastAsiaTheme="minorEastAsia"/>
          <w:sz w:val="32"/>
          <w:szCs w:val="32"/>
          <w:lang w:val="en-US" w:eastAsia="zh-CN"/>
        </w:rPr>
        <w:t>”</w:t>
      </w:r>
      <w:r>
        <w:rPr>
          <w:rFonts w:hint="eastAsia" w:asciiTheme="minorEastAsia" w:hAnsiTheme="minorEastAsia" w:eastAsiaTheme="minorEastAsia"/>
          <w:sz w:val="32"/>
          <w:szCs w:val="32"/>
          <w:lang w:val="en-US" w:eastAsia="zh-CN"/>
        </w:rPr>
        <w:t>要求，2、年末财政调剂指标下达晚。</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城乡社区支出212</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城乡社区规划与管理</w:t>
      </w:r>
      <w:r>
        <w:rPr>
          <w:rFonts w:hint="eastAsia" w:asciiTheme="minorEastAsia" w:hAnsiTheme="minorEastAsia" w:eastAsiaTheme="minorEastAsia"/>
          <w:sz w:val="32"/>
          <w:szCs w:val="32"/>
          <w:lang w:val="en-US" w:eastAsia="zh-CN"/>
        </w:rPr>
        <w:t>20202</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城乡社区规划与管理</w:t>
      </w:r>
      <w:r>
        <w:rPr>
          <w:rFonts w:hint="eastAsia" w:asciiTheme="minorEastAsia" w:hAnsiTheme="minorEastAsia" w:eastAsiaTheme="minorEastAsia"/>
          <w:sz w:val="32"/>
          <w:szCs w:val="32"/>
          <w:lang w:val="en-US" w:eastAsia="zh-CN"/>
        </w:rPr>
        <w:t>2120201</w:t>
      </w:r>
      <w:r>
        <w:rPr>
          <w:rFonts w:hint="eastAsia" w:asciiTheme="minorEastAsia" w:hAnsiTheme="minorEastAsia" w:eastAsiaTheme="minorEastAsia"/>
          <w:sz w:val="32"/>
          <w:szCs w:val="32"/>
        </w:rPr>
        <w:t>（项）。</w:t>
      </w:r>
    </w:p>
    <w:p>
      <w:pPr>
        <w:pStyle w:val="1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年初预算为</w:t>
      </w:r>
      <w:r>
        <w:rPr>
          <w:rFonts w:hint="eastAsia" w:asciiTheme="minorEastAsia" w:hAnsiTheme="minorEastAsia" w:eastAsiaTheme="minorEastAsia"/>
          <w:sz w:val="32"/>
          <w:szCs w:val="32"/>
          <w:lang w:val="en-US" w:eastAsia="zh-CN"/>
        </w:rPr>
        <w:t>65万元，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63.61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97.87</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val="en-US" w:eastAsia="zh-CN"/>
        </w:rPr>
        <w:t>:年末关账部分费用未及时支付。</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182.30</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156.73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85.97</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25.57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14.03</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40</w:t>
      </w:r>
      <w:r>
        <w:rPr>
          <w:rFonts w:hint="eastAsia" w:asciiTheme="minorEastAsia" w:hAnsiTheme="minorEastAsia" w:eastAsiaTheme="minorEastAsia"/>
          <w:sz w:val="32"/>
          <w:szCs w:val="32"/>
        </w:rPr>
        <w:t>%，其中：</w:t>
      </w:r>
    </w:p>
    <w:p>
      <w:pPr>
        <w:pStyle w:val="10"/>
        <w:ind w:firstLine="800" w:firstLineChars="250"/>
        <w:rPr>
          <w:rFonts w:hint="eastAsia" w:ascii="宋体" w:hAnsi="宋体" w:eastAsia="宋体"/>
          <w:bCs/>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一致无差异，</w:t>
      </w:r>
      <w:r>
        <w:rPr>
          <w:rFonts w:hint="eastAsia" w:ascii="宋体" w:hAnsi="宋体" w:eastAsia="宋体"/>
          <w:bCs/>
          <w:sz w:val="32"/>
          <w:szCs w:val="32"/>
          <w:lang w:val="en-US" w:eastAsia="zh-CN"/>
        </w:rPr>
        <w:t>主要原因是单位无</w:t>
      </w:r>
      <w:r>
        <w:rPr>
          <w:rFonts w:hint="eastAsia" w:ascii="宋体" w:hAnsi="宋体" w:eastAsia="宋体"/>
          <w:bCs/>
          <w:sz w:val="32"/>
          <w:szCs w:val="32"/>
        </w:rPr>
        <w:t>因公出国（境）</w:t>
      </w:r>
      <w:r>
        <w:rPr>
          <w:rFonts w:hint="eastAsia" w:ascii="宋体" w:hAnsi="宋体" w:eastAsia="宋体"/>
          <w:bCs/>
          <w:sz w:val="32"/>
          <w:szCs w:val="32"/>
          <w:lang w:val="en-US" w:eastAsia="zh-CN"/>
        </w:rPr>
        <w:t>预算安排和支出，</w:t>
      </w:r>
      <w:r>
        <w:rPr>
          <w:rFonts w:hint="eastAsia" w:ascii="宋体" w:hAnsi="宋体" w:eastAsia="宋体"/>
          <w:bCs/>
          <w:sz w:val="32"/>
          <w:szCs w:val="32"/>
        </w:rPr>
        <w:t>与上年相比无</w:t>
      </w:r>
      <w:r>
        <w:rPr>
          <w:rFonts w:hint="eastAsia" w:ascii="宋体" w:hAnsi="宋体" w:eastAsia="宋体"/>
          <w:bCs/>
          <w:sz w:val="32"/>
          <w:szCs w:val="32"/>
          <w:lang w:eastAsia="zh-CN"/>
        </w:rPr>
        <w:t>增减</w:t>
      </w:r>
      <w:r>
        <w:rPr>
          <w:rFonts w:hint="eastAsia" w:ascii="宋体" w:hAnsi="宋体" w:eastAsia="宋体"/>
          <w:bCs/>
          <w:sz w:val="32"/>
          <w:szCs w:val="32"/>
        </w:rPr>
        <w:t>变化</w:t>
      </w:r>
      <w:r>
        <w:rPr>
          <w:rFonts w:hint="eastAsia" w:ascii="宋体" w:hAnsi="宋体" w:eastAsia="宋体"/>
          <w:bCs/>
          <w:sz w:val="32"/>
          <w:szCs w:val="32"/>
          <w:lang w:eastAsia="zh-CN"/>
        </w:rPr>
        <w:t>，</w:t>
      </w:r>
      <w:r>
        <w:rPr>
          <w:rFonts w:hint="eastAsia" w:ascii="宋体" w:hAnsi="宋体" w:eastAsia="宋体"/>
          <w:bCs/>
          <w:sz w:val="32"/>
          <w:szCs w:val="32"/>
          <w:lang w:val="en-US" w:eastAsia="zh-CN"/>
        </w:rPr>
        <w:t>主要原因是单位近两年均无</w:t>
      </w:r>
      <w:r>
        <w:rPr>
          <w:rFonts w:hint="eastAsia" w:ascii="宋体" w:hAnsi="宋体" w:eastAsia="宋体"/>
          <w:bCs/>
          <w:sz w:val="32"/>
          <w:szCs w:val="32"/>
        </w:rPr>
        <w:t>因公出国（境）</w:t>
      </w:r>
      <w:r>
        <w:rPr>
          <w:rFonts w:hint="eastAsia" w:ascii="宋体" w:hAnsi="宋体" w:eastAsia="宋体"/>
          <w:bCs/>
          <w:sz w:val="32"/>
          <w:szCs w:val="32"/>
          <w:lang w:val="en-US" w:eastAsia="zh-CN"/>
        </w:rPr>
        <w:t>预算安排和支出</w:t>
      </w:r>
      <w:r>
        <w:rPr>
          <w:rFonts w:hint="eastAsia" w:ascii="宋体" w:hAnsi="宋体" w:eastAsia="宋体"/>
          <w:bCs/>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40</w:t>
      </w:r>
      <w:r>
        <w:rPr>
          <w:rFonts w:hint="eastAsia" w:asciiTheme="minorEastAsia" w:hAnsiTheme="minorEastAsia" w:eastAsiaTheme="minorEastAsia"/>
          <w:sz w:val="32"/>
          <w:szCs w:val="32"/>
        </w:rPr>
        <w:t>%，决算数小于预算数的主要原因是</w:t>
      </w:r>
      <w:r>
        <w:rPr>
          <w:rFonts w:hint="eastAsia" w:ascii="宋体" w:hAnsi="宋体" w:eastAsia="宋体"/>
          <w:bCs/>
          <w:sz w:val="32"/>
          <w:szCs w:val="32"/>
          <w:lang w:val="en-US" w:eastAsia="zh-CN"/>
        </w:rPr>
        <w:t>单位厉行节约，严控公务接待</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基本持平，</w:t>
      </w:r>
      <w:r>
        <w:rPr>
          <w:rFonts w:hint="eastAsia" w:asciiTheme="minorEastAsia" w:hAnsiTheme="minorEastAsia" w:eastAsiaTheme="minorEastAsia"/>
          <w:sz w:val="32"/>
          <w:szCs w:val="32"/>
        </w:rPr>
        <w:t>主要原因是</w:t>
      </w:r>
      <w:r>
        <w:rPr>
          <w:rFonts w:hint="eastAsia" w:ascii="宋体" w:hAnsi="宋体" w:eastAsia="宋体"/>
          <w:bCs/>
          <w:sz w:val="32"/>
          <w:szCs w:val="32"/>
          <w:lang w:val="en-US" w:eastAsia="zh-CN"/>
        </w:rPr>
        <w:t>单位厉行节约，严控公务接待</w:t>
      </w:r>
      <w:r>
        <w:rPr>
          <w:rFonts w:hint="eastAsia" w:asciiTheme="minorEastAsia" w:hAnsiTheme="minorEastAsia" w:eastAsiaTheme="minorEastAsia"/>
          <w:sz w:val="32"/>
          <w:szCs w:val="32"/>
        </w:rPr>
        <w:t>。</w:t>
      </w:r>
    </w:p>
    <w:p>
      <w:pPr>
        <w:keepNext/>
        <w:keepLines/>
        <w:autoSpaceDE w:val="0"/>
        <w:autoSpaceDN w:val="0"/>
        <w:adjustRightInd w:val="0"/>
        <w:spacing w:beforeLines="0" w:afterLines="0" w:line="560" w:lineRule="exact"/>
        <w:ind w:firstLine="640"/>
        <w:rPr>
          <w:rFonts w:hint="eastAsia" w:ascii="宋体" w:hAnsi="Times New Roman" w:eastAsia="宋体"/>
          <w:sz w:val="32"/>
          <w:highlight w:val="white"/>
          <w:lang w:val="zh-CN"/>
        </w:rPr>
      </w:pPr>
      <w:r>
        <w:rPr>
          <w:rFonts w:hint="eastAsia" w:ascii="宋体" w:hAnsi="Times New Roman" w:eastAsia="宋体"/>
          <w:color w:val="000000"/>
          <w:sz w:val="32"/>
          <w:highlight w:val="white"/>
        </w:rPr>
        <w:t>公务用车购置费支出预算为0万元，支出决算为0万元，决算数与预算数一致</w:t>
      </w:r>
      <w:r>
        <w:rPr>
          <w:rFonts w:hint="eastAsia" w:ascii="宋体" w:hAnsi="Times New Roman" w:eastAsia="宋体"/>
          <w:color w:val="000000"/>
          <w:sz w:val="32"/>
          <w:highlight w:val="white"/>
          <w:lang w:eastAsia="zh-CN"/>
        </w:rPr>
        <w:t>无差异</w:t>
      </w:r>
      <w:r>
        <w:rPr>
          <w:rFonts w:hint="eastAsia" w:ascii="宋体" w:hAnsi="Times New Roman" w:eastAsia="宋体"/>
          <w:color w:val="000000"/>
          <w:sz w:val="32"/>
          <w:highlight w:val="white"/>
        </w:rPr>
        <w:t>，主要原因是</w:t>
      </w:r>
      <w:r>
        <w:rPr>
          <w:rFonts w:hint="eastAsia" w:ascii="宋体" w:hAnsi="Times New Roman" w:eastAsia="宋体"/>
          <w:color w:val="000000"/>
          <w:sz w:val="32"/>
          <w:highlight w:val="white"/>
          <w:lang w:eastAsia="zh-CN"/>
        </w:rPr>
        <w:t>单位无</w:t>
      </w:r>
      <w:r>
        <w:rPr>
          <w:rFonts w:hint="eastAsia" w:ascii="宋体" w:hAnsi="Times New Roman" w:eastAsia="宋体"/>
          <w:color w:val="000000"/>
          <w:sz w:val="32"/>
          <w:highlight w:val="white"/>
          <w:lang w:val="zh-CN"/>
        </w:rPr>
        <w:t>公务用车购置安排。</w:t>
      </w:r>
      <w:r>
        <w:rPr>
          <w:rFonts w:hint="eastAsia" w:ascii="宋体" w:hAnsi="Times New Roman" w:eastAsia="宋体"/>
          <w:sz w:val="32"/>
          <w:highlight w:val="white"/>
        </w:rPr>
        <w:t>与上年相比无增减变化，主要原因是</w:t>
      </w:r>
      <w:r>
        <w:rPr>
          <w:rFonts w:hint="eastAsia" w:ascii="宋体" w:hAnsi="Times New Roman" w:eastAsia="宋体"/>
          <w:sz w:val="32"/>
          <w:highlight w:val="white"/>
          <w:lang w:eastAsia="zh-CN"/>
        </w:rPr>
        <w:t>单位近两年均</w:t>
      </w:r>
      <w:r>
        <w:rPr>
          <w:rFonts w:hint="eastAsia" w:ascii="宋体" w:hAnsi="Times New Roman" w:eastAsia="宋体"/>
          <w:color w:val="000000"/>
          <w:sz w:val="32"/>
          <w:highlight w:val="white"/>
          <w:lang w:eastAsia="zh-CN"/>
        </w:rPr>
        <w:t>无</w:t>
      </w:r>
      <w:r>
        <w:rPr>
          <w:rFonts w:hint="eastAsia" w:ascii="宋体" w:hAnsi="Times New Roman" w:eastAsia="宋体"/>
          <w:color w:val="000000"/>
          <w:sz w:val="32"/>
          <w:highlight w:val="white"/>
          <w:lang w:val="zh-CN"/>
        </w:rPr>
        <w:t>公务用车购置安排。</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宋体" w:hAnsi="Times New Roman" w:eastAsia="宋体"/>
          <w:color w:val="000000"/>
          <w:sz w:val="32"/>
          <w:highlight w:val="white"/>
        </w:rPr>
        <w:t>决算数与预算数一致</w:t>
      </w:r>
      <w:r>
        <w:rPr>
          <w:rFonts w:hint="eastAsia" w:ascii="宋体" w:hAnsi="Times New Roman" w:eastAsia="宋体"/>
          <w:color w:val="000000"/>
          <w:sz w:val="32"/>
          <w:highlight w:val="white"/>
          <w:lang w:eastAsia="zh-CN"/>
        </w:rPr>
        <w:t>无差异，</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单位无公务用车</w:t>
      </w:r>
      <w:r>
        <w:rPr>
          <w:rFonts w:hint="eastAsia" w:asciiTheme="minorEastAsia" w:hAnsiTheme="minorEastAsia" w:eastAsiaTheme="minorEastAsia"/>
          <w:sz w:val="32"/>
          <w:szCs w:val="32"/>
        </w:rPr>
        <w:t>，</w:t>
      </w:r>
      <w:r>
        <w:rPr>
          <w:rFonts w:hint="eastAsia" w:ascii="Times New Roman" w:hAnsi="Times New Roman" w:eastAsia="宋体" w:cs="Times New Roman"/>
          <w:color w:val="000000"/>
          <w:sz w:val="32"/>
          <w:szCs w:val="24"/>
          <w:lang w:val="en-US" w:eastAsia="zh-CN"/>
        </w:rPr>
        <w:t>未作</w:t>
      </w:r>
      <w:r>
        <w:rPr>
          <w:rFonts w:hint="eastAsia" w:cs="黑体" w:asciiTheme="minorEastAsia" w:hAnsiTheme="minorEastAsia" w:eastAsiaTheme="minorEastAsia"/>
          <w:color w:val="000000"/>
          <w:kern w:val="0"/>
          <w:sz w:val="32"/>
          <w:szCs w:val="32"/>
          <w:lang w:val="en-US" w:eastAsia="zh-CN" w:bidi="ar-SA"/>
        </w:rPr>
        <w:t>公务用车运行维护费</w:t>
      </w:r>
      <w:r>
        <w:rPr>
          <w:rFonts w:hint="eastAsia" w:cs="黑体" w:asciiTheme="minorEastAsia" w:hAnsiTheme="minorEastAsia"/>
          <w:color w:val="000000"/>
          <w:kern w:val="0"/>
          <w:sz w:val="32"/>
          <w:szCs w:val="32"/>
          <w:lang w:val="en-US" w:eastAsia="zh-CN" w:bidi="ar-SA"/>
        </w:rPr>
        <w:t>安排，</w:t>
      </w:r>
      <w:r>
        <w:rPr>
          <w:rFonts w:hint="eastAsia" w:asciiTheme="minorEastAsia" w:hAnsiTheme="minorEastAsia" w:eastAsiaTheme="minorEastAsia"/>
          <w:sz w:val="32"/>
          <w:szCs w:val="32"/>
        </w:rPr>
        <w:t>与上年相比</w:t>
      </w:r>
      <w:r>
        <w:rPr>
          <w:rFonts w:hint="eastAsia" w:ascii="宋体" w:hAnsi="Times New Roman" w:eastAsia="宋体"/>
          <w:sz w:val="32"/>
          <w:highlight w:val="white"/>
        </w:rPr>
        <w:t>无增减变化</w:t>
      </w:r>
      <w:r>
        <w:rPr>
          <w:rFonts w:hint="eastAsia" w:ascii="宋体" w:hAnsi="Times New Roman" w:eastAsia="宋体"/>
          <w:sz w:val="32"/>
          <w:highlight w:val="white"/>
          <w:lang w:eastAsia="zh-CN"/>
        </w:rPr>
        <w:t>，</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单位近两年均无公务用车，</w:t>
      </w:r>
      <w:r>
        <w:rPr>
          <w:rFonts w:hint="eastAsia" w:ascii="Times New Roman" w:hAnsi="Times New Roman" w:eastAsia="宋体" w:cs="Times New Roman"/>
          <w:color w:val="000000"/>
          <w:sz w:val="32"/>
          <w:szCs w:val="24"/>
          <w:lang w:val="en-US" w:eastAsia="zh-CN"/>
        </w:rPr>
        <w:t>未作</w:t>
      </w:r>
      <w:r>
        <w:rPr>
          <w:rFonts w:hint="eastAsia" w:cs="黑体" w:asciiTheme="minorEastAsia" w:hAnsiTheme="minorEastAsia" w:eastAsiaTheme="minorEastAsia"/>
          <w:color w:val="000000"/>
          <w:kern w:val="0"/>
          <w:sz w:val="32"/>
          <w:szCs w:val="32"/>
          <w:lang w:val="en-US" w:eastAsia="zh-CN" w:bidi="ar-SA"/>
        </w:rPr>
        <w:t>公务用车运行维护费</w:t>
      </w:r>
      <w:r>
        <w:rPr>
          <w:rFonts w:hint="eastAsia" w:cs="黑体" w:asciiTheme="minorEastAsia" w:hAnsiTheme="minorEastAsia"/>
          <w:color w:val="000000"/>
          <w:kern w:val="0"/>
          <w:sz w:val="32"/>
          <w:szCs w:val="32"/>
          <w:lang w:val="en-US" w:eastAsia="zh-CN" w:bidi="ar-SA"/>
        </w:rPr>
        <w:t>安排</w:t>
      </w:r>
      <w:r>
        <w:rPr>
          <w:rFonts w:hint="eastAsia" w:asciiTheme="minorEastAsia" w:hAnsiTheme="minorEastAsia" w:eastAsiaTheme="minorEastAsia"/>
          <w:sz w:val="32"/>
          <w:szCs w:val="32"/>
        </w:rPr>
        <w:t>。</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无活动</w:t>
      </w:r>
      <w:r>
        <w:rPr>
          <w:rFonts w:hint="eastAsia" w:asciiTheme="minorEastAsia" w:hAnsiTheme="minorEastAsia" w:eastAsiaTheme="minorEastAsia"/>
          <w:sz w:val="32"/>
          <w:szCs w:val="32"/>
        </w:rPr>
        <w:t>开支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2、公务接待费支出决算为</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长沙城建学校和永州住建局工作人员来我单位调研学习住建行业教育考培工作</w:t>
      </w:r>
      <w:r>
        <w:rPr>
          <w:rFonts w:hint="eastAsia" w:asciiTheme="minorEastAsia" w:hAnsiTheme="minorEastAsia" w:eastAsiaTheme="minorEastAsia"/>
          <w:sz w:val="32"/>
          <w:szCs w:val="32"/>
        </w:rPr>
        <w:t>发生的接待支出。</w:t>
      </w:r>
    </w:p>
    <w:p>
      <w:pPr>
        <w:ind w:firstLine="800"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本单位</w:t>
      </w:r>
      <w:r>
        <w:rPr>
          <w:rFonts w:hint="eastAsia" w:asciiTheme="minorEastAsia" w:hAnsiTheme="minorEastAsia"/>
          <w:sz w:val="32"/>
          <w:szCs w:val="32"/>
        </w:rPr>
        <w:t>（单位本级或某二级机构）更新公务用车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万元，截止2021年12月31日，我单位开支财政拨款的公务用车保有量为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10"/>
        <w:rPr>
          <w:rFonts w:hAnsi="黑体"/>
          <w:b/>
          <w:sz w:val="32"/>
          <w:szCs w:val="32"/>
        </w:rPr>
      </w:pPr>
      <w:r>
        <w:rPr>
          <w:rFonts w:hint="eastAsia" w:hAnsi="黑体"/>
          <w:b/>
          <w:sz w:val="32"/>
          <w:szCs w:val="32"/>
        </w:rPr>
        <w:t>八、政府性基金预算收入支出决算情况</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2021年度本单位无</w:t>
      </w:r>
      <w:r>
        <w:rPr>
          <w:rFonts w:hint="eastAsia" w:asciiTheme="minorEastAsia" w:hAnsiTheme="minorEastAsia" w:eastAsiaTheme="minorEastAsia"/>
          <w:sz w:val="32"/>
          <w:szCs w:val="32"/>
        </w:rPr>
        <w:t>政府性基金预算收入支出</w:t>
      </w:r>
      <w:r>
        <w:rPr>
          <w:rFonts w:hint="eastAsia" w:asciiTheme="minorEastAsia" w:hAnsiTheme="minorEastAsia" w:eastAsiaTheme="minorEastAsia"/>
          <w:sz w:val="32"/>
          <w:szCs w:val="32"/>
          <w:lang w:eastAsia="zh-CN"/>
        </w:rPr>
        <w:t>。</w:t>
      </w:r>
    </w:p>
    <w:p>
      <w:pPr>
        <w:pStyle w:val="10"/>
        <w:numPr>
          <w:ilvl w:val="0"/>
          <w:numId w:val="3"/>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2021年度国有资本经营预算财政拨款</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ind w:firstLine="640" w:firstLineChars="200"/>
        <w:rPr>
          <w:rFonts w:hint="eastAsia" w:hAnsi="黑体" w:eastAsiaTheme="minorEastAsia"/>
          <w:b/>
          <w:i w:val="0"/>
          <w:iCs/>
          <w:color w:val="auto"/>
          <w:sz w:val="32"/>
          <w:szCs w:val="32"/>
          <w:lang w:val="en-US" w:eastAsia="zh-CN"/>
        </w:rPr>
      </w:pPr>
      <w:r>
        <w:rPr>
          <w:rFonts w:hint="eastAsia" w:asciiTheme="minorEastAsia" w:hAnsiTheme="minorEastAsia" w:eastAsiaTheme="minorEastAsia"/>
          <w:i w:val="0"/>
          <w:iCs/>
          <w:color w:val="auto"/>
          <w:sz w:val="32"/>
          <w:szCs w:val="32"/>
          <w:lang w:val="en-US" w:eastAsia="zh-CN"/>
        </w:rPr>
        <w:t>2021年度</w:t>
      </w:r>
      <w:r>
        <w:rPr>
          <w:rFonts w:hint="eastAsia" w:asciiTheme="minorEastAsia" w:hAnsiTheme="minorEastAsia" w:eastAsiaTheme="minorEastAsia"/>
          <w:i w:val="0"/>
          <w:iCs/>
          <w:color w:val="auto"/>
          <w:sz w:val="32"/>
          <w:szCs w:val="32"/>
        </w:rPr>
        <w:t>本单位无国有资本经营预算财政拨款支出</w:t>
      </w:r>
      <w:r>
        <w:rPr>
          <w:rFonts w:hint="eastAsia" w:asciiTheme="minorEastAsia" w:hAnsiTheme="minorEastAsia" w:eastAsiaTheme="minorEastAsia"/>
          <w:i w:val="0"/>
          <w:iCs/>
          <w:color w:val="auto"/>
          <w:sz w:val="32"/>
          <w:szCs w:val="32"/>
          <w:lang w:eastAsia="zh-CN"/>
        </w:rPr>
        <w:t>。</w:t>
      </w:r>
    </w:p>
    <w:p>
      <w:pPr>
        <w:pStyle w:val="10"/>
        <w:rPr>
          <w:rFonts w:hAnsi="黑体"/>
          <w:b/>
          <w:sz w:val="32"/>
          <w:szCs w:val="32"/>
        </w:rPr>
      </w:pPr>
      <w:r>
        <w:rPr>
          <w:rFonts w:hint="eastAsia" w:hAnsi="黑体"/>
          <w:b/>
          <w:sz w:val="32"/>
          <w:szCs w:val="32"/>
        </w:rPr>
        <w:t>十、机关运行经费支出说明</w:t>
      </w:r>
    </w:p>
    <w:p>
      <w:pPr>
        <w:pStyle w:val="10"/>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万元，比上年决算数</w:t>
      </w:r>
      <w:r>
        <w:rPr>
          <w:rFonts w:hint="eastAsia" w:asciiTheme="minorEastAsia" w:hAnsiTheme="minorEastAsia" w:eastAsiaTheme="minorEastAsia"/>
          <w:sz w:val="32"/>
          <w:szCs w:val="32"/>
          <w:lang w:eastAsia="zh-CN"/>
        </w:rPr>
        <w:t>无增减变化</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本单位非行政单位和参照公务员法管理事业单位。</w:t>
      </w:r>
    </w:p>
    <w:p>
      <w:pPr>
        <w:pStyle w:val="10"/>
        <w:rPr>
          <w:rFonts w:hAnsi="黑体"/>
          <w:b/>
          <w:sz w:val="32"/>
          <w:szCs w:val="32"/>
        </w:rPr>
      </w:pPr>
      <w:r>
        <w:rPr>
          <w:rFonts w:hint="eastAsia" w:hAnsi="黑体"/>
          <w:b/>
          <w:sz w:val="32"/>
          <w:szCs w:val="32"/>
        </w:rPr>
        <w:t>十一、一般性支出情况说明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召开</w:t>
      </w:r>
      <w:r>
        <w:rPr>
          <w:rFonts w:hint="eastAsia" w:asciiTheme="minorEastAsia" w:hAnsiTheme="minorEastAsia" w:eastAsiaTheme="minorEastAsia"/>
          <w:sz w:val="32"/>
          <w:szCs w:val="32"/>
          <w:lang w:eastAsia="zh-CN"/>
        </w:rPr>
        <w:t>会</w:t>
      </w:r>
      <w:r>
        <w:rPr>
          <w:rFonts w:hint="eastAsia" w:asciiTheme="minorEastAsia" w:hAnsiTheme="minorEastAsia" w:eastAsiaTheme="minorEastAsia"/>
          <w:sz w:val="32"/>
          <w:szCs w:val="32"/>
        </w:rPr>
        <w:t>议，人数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开展培训，人数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十二、政府采购支出说明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十三、国有资产占用情况说明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0"/>
        <w:rPr>
          <w:rFonts w:hint="eastAsia"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keepNext/>
        <w:keepLines/>
        <w:autoSpaceDE w:val="0"/>
        <w:autoSpaceDN w:val="0"/>
        <w:adjustRightInd w:val="0"/>
        <w:spacing w:line="560" w:lineRule="exact"/>
        <w:ind w:firstLine="641"/>
        <w:rPr>
          <w:rFonts w:hint="eastAsia" w:asciiTheme="minorEastAsia" w:hAnsiTheme="minorEastAsia" w:eastAsiaTheme="minorEastAsia"/>
          <w:sz w:val="32"/>
          <w:szCs w:val="32"/>
        </w:rPr>
      </w:pPr>
      <w:r>
        <w:rPr>
          <w:rFonts w:hint="eastAsia" w:ascii="宋体" w:hAnsi="Times New Roman" w:eastAsia="宋体"/>
          <w:sz w:val="32"/>
          <w:szCs w:val="24"/>
        </w:rPr>
        <w:t>根据预算绩效管理要求，我</w:t>
      </w:r>
      <w:r>
        <w:rPr>
          <w:rFonts w:hint="eastAsia" w:ascii="宋体" w:hAnsi="Times New Roman" w:eastAsia="宋体" w:cs="Times New Roman"/>
          <w:sz w:val="32"/>
          <w:szCs w:val="24"/>
          <w:lang w:eastAsia="zh-CN"/>
        </w:rPr>
        <w:t>单位开展</w:t>
      </w:r>
      <w:r>
        <w:rPr>
          <w:rFonts w:hint="eastAsia" w:ascii="宋体" w:hAnsi="Times New Roman" w:eastAsia="宋体" w:cs="Times New Roman"/>
          <w:sz w:val="32"/>
          <w:szCs w:val="24"/>
          <w:lang w:val="en-US" w:eastAsia="zh-CN"/>
        </w:rPr>
        <w:t>了</w:t>
      </w:r>
      <w:r>
        <w:rPr>
          <w:rFonts w:hint="eastAsia" w:ascii="宋体" w:hAnsi="Times New Roman" w:eastAsia="宋体" w:cs="Times New Roman"/>
          <w:sz w:val="32"/>
          <w:szCs w:val="24"/>
          <w:lang w:eastAsia="zh-CN"/>
        </w:rPr>
        <w:t>整体支出绩效评价，</w:t>
      </w:r>
      <w:r>
        <w:rPr>
          <w:rFonts w:hint="eastAsia" w:ascii="宋体" w:hAnsi="Times New Roman" w:eastAsia="宋体"/>
          <w:sz w:val="32"/>
          <w:szCs w:val="24"/>
          <w:highlight w:val="white"/>
          <w:lang w:eastAsia="zh-CN"/>
        </w:rPr>
        <w:t>从评价情况来看，</w:t>
      </w:r>
      <w:r>
        <w:rPr>
          <w:rFonts w:hint="eastAsia" w:asciiTheme="minorEastAsia" w:hAnsiTheme="minorEastAsia" w:eastAsiaTheme="minorEastAsia"/>
          <w:sz w:val="32"/>
          <w:szCs w:val="32"/>
        </w:rPr>
        <w:t>本部门所有支出实行绩效目标管理。纳入202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年部门整体预算支出绩效目标的金额为</w:t>
      </w:r>
      <w:r>
        <w:rPr>
          <w:rFonts w:hint="eastAsia" w:asciiTheme="minorEastAsia" w:hAnsiTheme="minorEastAsia" w:eastAsiaTheme="minorEastAsia"/>
          <w:sz w:val="32"/>
          <w:szCs w:val="32"/>
          <w:lang w:val="en-US" w:eastAsia="zh-CN"/>
        </w:rPr>
        <w:t>253.13</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200.62</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52.51</w:t>
      </w:r>
      <w:r>
        <w:rPr>
          <w:rFonts w:hint="eastAsia" w:asciiTheme="minorEastAsia" w:hAnsiTheme="minorEastAsia" w:eastAsiaTheme="minorEastAsia"/>
          <w:sz w:val="32"/>
          <w:szCs w:val="32"/>
        </w:rPr>
        <w:t>万元，</w:t>
      </w:r>
      <w:r>
        <w:rPr>
          <w:rFonts w:hint="eastAsia" w:ascii="宋体 (正文)" w:hAnsi="宋体 (正文)" w:eastAsia="宋体 (正文)" w:cs="宋体 (正文)"/>
          <w:color w:val="000000"/>
          <w:spacing w:val="-6"/>
          <w:sz w:val="32"/>
          <w:szCs w:val="32"/>
          <w:lang w:val="en-US" w:eastAsia="zh-CN"/>
        </w:rPr>
        <w:t>全年组织</w:t>
      </w:r>
      <w:r>
        <w:rPr>
          <w:rFonts w:hint="eastAsia" w:ascii="宋体 (正文)" w:hAnsi="宋体 (正文)" w:eastAsia="宋体 (正文)" w:cs="宋体 (正文)"/>
          <w:color w:val="000000"/>
          <w:spacing w:val="-6"/>
          <w:sz w:val="32"/>
          <w:szCs w:val="32"/>
        </w:rPr>
        <w:t>培训和考核1</w:t>
      </w:r>
      <w:r>
        <w:rPr>
          <w:rFonts w:hint="eastAsia" w:ascii="宋体 (正文)" w:hAnsi="宋体 (正文)" w:eastAsia="宋体 (正文)" w:cs="宋体 (正文)"/>
          <w:color w:val="000000"/>
          <w:spacing w:val="-6"/>
          <w:sz w:val="32"/>
          <w:szCs w:val="32"/>
          <w:lang w:val="en-US" w:eastAsia="zh-CN"/>
        </w:rPr>
        <w:t>.</w:t>
      </w:r>
      <w:r>
        <w:rPr>
          <w:rFonts w:hint="eastAsia" w:ascii="宋体 (正文)" w:hAnsi="宋体 (正文)" w:eastAsia="宋体 (正文)" w:cs="宋体 (正文)"/>
          <w:color w:val="000000"/>
          <w:spacing w:val="-6"/>
          <w:sz w:val="32"/>
          <w:szCs w:val="32"/>
        </w:rPr>
        <w:t>06</w:t>
      </w:r>
      <w:r>
        <w:rPr>
          <w:rFonts w:hint="eastAsia" w:ascii="宋体 (正文)" w:hAnsi="宋体 (正文)" w:eastAsia="宋体 (正文)" w:cs="宋体 (正文)"/>
          <w:color w:val="000000"/>
          <w:spacing w:val="-6"/>
          <w:sz w:val="32"/>
          <w:szCs w:val="32"/>
          <w:lang w:val="en-US" w:eastAsia="zh-CN"/>
        </w:rPr>
        <w:t>万</w:t>
      </w:r>
      <w:r>
        <w:rPr>
          <w:rFonts w:hint="eastAsia" w:ascii="宋体 (正文)" w:hAnsi="宋体 (正文)" w:eastAsia="宋体 (正文)" w:cs="宋体 (正文)"/>
          <w:color w:val="000000"/>
          <w:spacing w:val="-6"/>
          <w:sz w:val="32"/>
          <w:szCs w:val="32"/>
        </w:rPr>
        <w:t>人次</w:t>
      </w:r>
      <w:r>
        <w:rPr>
          <w:rFonts w:hint="eastAsia" w:ascii="宋体 (正文)" w:hAnsi="宋体 (正文)" w:eastAsia="宋体 (正文)" w:cs="宋体 (正文)"/>
          <w:color w:val="000000"/>
          <w:spacing w:val="-6"/>
          <w:sz w:val="32"/>
          <w:szCs w:val="32"/>
          <w:lang w:eastAsia="zh-CN"/>
        </w:rPr>
        <w:t>，</w:t>
      </w:r>
      <w:r>
        <w:rPr>
          <w:rFonts w:hint="eastAsia" w:ascii="宋体 (正文)" w:hAnsi="宋体 (正文)" w:eastAsia="宋体 (正文)" w:cs="宋体 (正文)"/>
          <w:color w:val="000000"/>
          <w:spacing w:val="-6"/>
          <w:sz w:val="32"/>
          <w:szCs w:val="32"/>
        </w:rPr>
        <w:t>超额完成</w:t>
      </w:r>
      <w:r>
        <w:rPr>
          <w:rFonts w:hint="eastAsia" w:ascii="宋体 (正文)" w:hAnsi="宋体 (正文)" w:eastAsia="宋体 (正文)" w:cs="宋体 (正文)"/>
          <w:color w:val="000000"/>
          <w:spacing w:val="-6"/>
          <w:sz w:val="32"/>
          <w:szCs w:val="32"/>
          <w:lang w:val="en-US" w:eastAsia="zh-CN"/>
        </w:rPr>
        <w:t>《住建工作报告》</w:t>
      </w:r>
      <w:r>
        <w:rPr>
          <w:rFonts w:hint="eastAsia" w:ascii="宋体 (正文)" w:hAnsi="宋体 (正文)" w:eastAsia="宋体 (正文)" w:cs="宋体 (正文)"/>
          <w:color w:val="000000"/>
          <w:spacing w:val="-6"/>
          <w:sz w:val="32"/>
          <w:szCs w:val="32"/>
        </w:rPr>
        <w:t>目标任务</w:t>
      </w:r>
      <w:r>
        <w:rPr>
          <w:rFonts w:hint="eastAsia" w:ascii="宋体 (正文)" w:hAnsi="宋体 (正文)" w:eastAsia="宋体 (正文)" w:cs="宋体 (正文)"/>
          <w:color w:val="000000"/>
          <w:spacing w:val="-6"/>
          <w:sz w:val="32"/>
          <w:szCs w:val="32"/>
          <w:lang w:val="en-US" w:eastAsia="zh-CN"/>
        </w:rPr>
        <w:t>。</w:t>
      </w:r>
      <w:r>
        <w:rPr>
          <w:rFonts w:hint="eastAsia" w:ascii="宋体 (正文)" w:hAnsi="宋体 (正文)" w:eastAsia="宋体 (正文)" w:cs="宋体 (正文)"/>
          <w:color w:val="000000"/>
          <w:spacing w:val="-6"/>
          <w:sz w:val="32"/>
          <w:szCs w:val="32"/>
        </w:rPr>
        <w:t>其中，“安管人员”考核3850人次、特种作业人员考核1022人次、</w:t>
      </w:r>
      <w:r>
        <w:rPr>
          <w:rFonts w:hint="eastAsia" w:ascii="宋体 (正文)" w:hAnsi="宋体 (正文)" w:eastAsia="宋体 (正文)" w:cs="宋体 (正文)"/>
          <w:color w:val="000000"/>
          <w:spacing w:val="-6"/>
          <w:sz w:val="32"/>
          <w:szCs w:val="32"/>
          <w:lang w:eastAsia="zh-CN"/>
        </w:rPr>
        <w:t>“</w:t>
      </w:r>
      <w:r>
        <w:rPr>
          <w:rFonts w:hint="eastAsia" w:ascii="宋体 (正文)" w:hAnsi="宋体 (正文)" w:eastAsia="宋体 (正文)" w:cs="宋体 (正文)"/>
          <w:color w:val="000000"/>
          <w:spacing w:val="-6"/>
          <w:sz w:val="32"/>
          <w:szCs w:val="32"/>
          <w:lang w:val="en-US" w:eastAsia="zh-CN"/>
        </w:rPr>
        <w:t>八大员</w:t>
      </w:r>
      <w:r>
        <w:rPr>
          <w:rFonts w:hint="eastAsia" w:ascii="宋体 (正文)" w:hAnsi="宋体 (正文)" w:eastAsia="宋体 (正文)" w:cs="宋体 (正文)"/>
          <w:color w:val="000000"/>
          <w:spacing w:val="-6"/>
          <w:sz w:val="32"/>
          <w:szCs w:val="32"/>
          <w:lang w:eastAsia="zh-CN"/>
        </w:rPr>
        <w:t>”</w:t>
      </w:r>
      <w:r>
        <w:rPr>
          <w:rFonts w:hint="eastAsia" w:ascii="宋体 (正文)" w:hAnsi="宋体 (正文)" w:eastAsia="宋体 (正文)" w:cs="宋体 (正文)"/>
          <w:color w:val="000000"/>
          <w:spacing w:val="-6"/>
          <w:sz w:val="32"/>
          <w:szCs w:val="32"/>
        </w:rPr>
        <w:t>培训5003人次、土建</w:t>
      </w:r>
      <w:r>
        <w:rPr>
          <w:rFonts w:hint="eastAsia" w:ascii="宋体 (正文)" w:hAnsi="宋体 (正文)" w:eastAsia="宋体 (正文)" w:cs="宋体 (正文)"/>
          <w:color w:val="000000"/>
          <w:spacing w:val="-6"/>
          <w:sz w:val="32"/>
          <w:szCs w:val="32"/>
          <w:lang w:val="en-US" w:eastAsia="zh-CN"/>
        </w:rPr>
        <w:t>工程</w:t>
      </w:r>
      <w:r>
        <w:rPr>
          <w:rFonts w:hint="eastAsia" w:ascii="宋体 (正文)" w:hAnsi="宋体 (正文)" w:eastAsia="宋体 (正文)" w:cs="宋体 (正文)"/>
          <w:color w:val="000000"/>
          <w:spacing w:val="-6"/>
          <w:sz w:val="32"/>
          <w:szCs w:val="32"/>
        </w:rPr>
        <w:t>初中级职称考试737人</w:t>
      </w:r>
      <w:r>
        <w:rPr>
          <w:rFonts w:hint="eastAsia" w:ascii="宋体 (正文)" w:hAnsi="宋体 (正文)" w:eastAsia="宋体 (正文)" w:cs="宋体 (正文)"/>
          <w:color w:val="000000"/>
          <w:spacing w:val="-6"/>
          <w:sz w:val="32"/>
          <w:szCs w:val="32"/>
          <w:lang w:eastAsia="zh-CN"/>
        </w:rPr>
        <w:t>。</w:t>
      </w:r>
      <w:r>
        <w:rPr>
          <w:rFonts w:hint="eastAsia" w:ascii="宋体 (正文)" w:hAnsi="宋体 (正文)" w:eastAsia="宋体 (正文)" w:cs="宋体 (正文)"/>
          <w:color w:val="000000"/>
          <w:spacing w:val="-6"/>
          <w:sz w:val="32"/>
          <w:szCs w:val="32"/>
          <w:lang w:val="en-US" w:eastAsia="zh-CN"/>
        </w:rPr>
        <w:t>“考培分离”改革</w:t>
      </w:r>
      <w:r>
        <w:rPr>
          <w:rFonts w:hint="eastAsia" w:ascii="宋体 (正文)" w:hAnsi="宋体 (正文)" w:eastAsia="宋体 (正文)" w:cs="宋体 (正文)"/>
          <w:color w:val="000000"/>
          <w:spacing w:val="-6"/>
          <w:sz w:val="32"/>
          <w:szCs w:val="32"/>
        </w:rPr>
        <w:t>得到省住建厅</w:t>
      </w:r>
      <w:r>
        <w:rPr>
          <w:rFonts w:hint="eastAsia" w:ascii="宋体 (正文)" w:hAnsi="宋体 (正文)" w:eastAsia="宋体 (正文)" w:cs="宋体 (正文)"/>
          <w:color w:val="000000"/>
          <w:spacing w:val="-6"/>
          <w:sz w:val="32"/>
          <w:szCs w:val="32"/>
          <w:lang w:val="en-US" w:eastAsia="zh-CN"/>
        </w:rPr>
        <w:t>充分</w:t>
      </w:r>
      <w:r>
        <w:rPr>
          <w:rFonts w:hint="eastAsia" w:ascii="宋体 (正文)" w:hAnsi="宋体 (正文)" w:eastAsia="宋体 (正文)" w:cs="宋体 (正文)"/>
          <w:color w:val="000000"/>
          <w:spacing w:val="-6"/>
          <w:sz w:val="32"/>
          <w:szCs w:val="32"/>
        </w:rPr>
        <w:t>肯定</w:t>
      </w:r>
      <w:r>
        <w:rPr>
          <w:rFonts w:hint="eastAsia" w:ascii="宋体 (正文)" w:hAnsi="宋体 (正文)" w:eastAsia="宋体 (正文)" w:cs="宋体 (正文)"/>
          <w:color w:val="000000"/>
          <w:spacing w:val="-6"/>
          <w:sz w:val="32"/>
          <w:szCs w:val="32"/>
          <w:lang w:eastAsia="zh-CN"/>
        </w:rPr>
        <w:t>，</w:t>
      </w:r>
      <w:r>
        <w:rPr>
          <w:rFonts w:hint="eastAsia" w:ascii="宋体 (正文)" w:hAnsi="宋体 (正文)" w:eastAsia="宋体 (正文)" w:cs="宋体 (正文)"/>
          <w:color w:val="000000"/>
          <w:spacing w:val="-6"/>
          <w:sz w:val="32"/>
          <w:szCs w:val="32"/>
          <w:lang w:val="en-US" w:eastAsia="zh-CN"/>
        </w:rPr>
        <w:t>特别是特种作业人员培训考核工作被全省</w:t>
      </w:r>
      <w:r>
        <w:rPr>
          <w:rFonts w:hint="eastAsia" w:ascii="宋体 (正文)" w:hAnsi="宋体 (正文)" w:eastAsia="宋体 (正文)" w:cs="宋体 (正文)"/>
          <w:color w:val="000000"/>
          <w:spacing w:val="-6"/>
          <w:sz w:val="32"/>
          <w:szCs w:val="32"/>
        </w:rPr>
        <w:t>通报表扬</w:t>
      </w:r>
      <w:r>
        <w:rPr>
          <w:rFonts w:hint="eastAsia" w:ascii="宋体 (正文)" w:hAnsi="宋体 (正文)" w:eastAsia="宋体 (正文)" w:cs="宋体 (正文)"/>
          <w:color w:val="000000"/>
          <w:spacing w:val="-6"/>
          <w:sz w:val="32"/>
          <w:szCs w:val="32"/>
          <w:lang w:val="en-US" w:eastAsia="zh-CN"/>
        </w:rPr>
        <w:t>。由于考培工作形成示范效应，经省住建厅推介，</w:t>
      </w:r>
      <w:r>
        <w:rPr>
          <w:rFonts w:hint="eastAsia" w:ascii="宋体 (正文)" w:hAnsi="宋体 (正文)" w:eastAsia="宋体 (正文)" w:cs="宋体 (正文)"/>
          <w:color w:val="000000"/>
          <w:spacing w:val="-6"/>
          <w:sz w:val="32"/>
          <w:szCs w:val="32"/>
        </w:rPr>
        <w:t>省建设人力资源协会以及长沙市、永州市</w:t>
      </w:r>
      <w:r>
        <w:rPr>
          <w:rFonts w:hint="eastAsia" w:ascii="宋体 (正文)" w:hAnsi="宋体 (正文)" w:eastAsia="宋体 (正文)" w:cs="宋体 (正文)"/>
          <w:color w:val="000000"/>
          <w:spacing w:val="-6"/>
          <w:sz w:val="32"/>
          <w:szCs w:val="32"/>
          <w:lang w:val="en-US" w:eastAsia="zh-CN"/>
        </w:rPr>
        <w:t>等</w:t>
      </w:r>
      <w:r>
        <w:rPr>
          <w:rFonts w:hint="eastAsia" w:ascii="宋体 (正文)" w:hAnsi="宋体 (正文)" w:eastAsia="宋体 (正文)" w:cs="宋体 (正文)"/>
          <w:color w:val="000000"/>
          <w:spacing w:val="-6"/>
          <w:sz w:val="32"/>
          <w:szCs w:val="32"/>
        </w:rPr>
        <w:t>兄弟单位</w:t>
      </w:r>
      <w:r>
        <w:rPr>
          <w:rFonts w:hint="eastAsia" w:ascii="宋体 (正文)" w:hAnsi="宋体 (正文)" w:eastAsia="宋体 (正文)" w:cs="宋体 (正文)"/>
          <w:color w:val="000000"/>
          <w:spacing w:val="-6"/>
          <w:sz w:val="32"/>
          <w:szCs w:val="32"/>
          <w:lang w:val="en-US" w:eastAsia="zh-CN"/>
        </w:rPr>
        <w:t>纷纷来岳</w:t>
      </w:r>
      <w:r>
        <w:rPr>
          <w:rFonts w:hint="eastAsia" w:ascii="宋体 (正文)" w:hAnsi="宋体 (正文)" w:eastAsia="宋体 (正文)" w:cs="宋体 (正文)"/>
          <w:color w:val="000000"/>
          <w:spacing w:val="-6"/>
          <w:sz w:val="32"/>
          <w:szCs w:val="32"/>
        </w:rPr>
        <w:t>考察学习。</w:t>
      </w:r>
      <w:r>
        <w:rPr>
          <w:rFonts w:hint="eastAsia" w:ascii="宋体 (正文)" w:hAnsi="宋体 (正文)" w:eastAsia="宋体 (正文)" w:cs="宋体 (正文)"/>
          <w:color w:val="000000"/>
          <w:spacing w:val="-6"/>
          <w:sz w:val="32"/>
          <w:szCs w:val="32"/>
          <w:lang w:val="en-US" w:eastAsia="zh-CN"/>
        </w:rPr>
        <w:t>同时，</w:t>
      </w:r>
      <w:r>
        <w:rPr>
          <w:rFonts w:hint="eastAsia" w:ascii="宋体 (正文)" w:hAnsi="宋体 (正文)" w:eastAsia="宋体 (正文)" w:cs="宋体 (正文)"/>
          <w:color w:val="000000"/>
          <w:spacing w:val="-6"/>
          <w:sz w:val="32"/>
          <w:szCs w:val="32"/>
        </w:rPr>
        <w:t>基层党建、意识形态、政令畅通、队伍建设、平安建设</w:t>
      </w:r>
      <w:r>
        <w:rPr>
          <w:rFonts w:hint="eastAsia" w:ascii="宋体 (正文)" w:hAnsi="宋体 (正文)" w:eastAsia="宋体 (正文)" w:cs="宋体 (正文)"/>
          <w:color w:val="000000"/>
          <w:spacing w:val="-6"/>
          <w:sz w:val="32"/>
          <w:szCs w:val="32"/>
          <w:lang w:val="en-US" w:eastAsia="zh-CN"/>
        </w:rPr>
        <w:t>以及财务、工会、妇女</w:t>
      </w:r>
      <w:r>
        <w:rPr>
          <w:rFonts w:hint="eastAsia" w:ascii="宋体 (正文)" w:hAnsi="宋体 (正文)" w:eastAsia="宋体 (正文)" w:cs="宋体 (正文)"/>
          <w:color w:val="000000"/>
          <w:spacing w:val="-6"/>
          <w:sz w:val="32"/>
          <w:szCs w:val="32"/>
        </w:rPr>
        <w:t>等</w:t>
      </w:r>
      <w:r>
        <w:rPr>
          <w:rFonts w:hint="eastAsia" w:ascii="宋体 (正文)" w:hAnsi="宋体 (正文)" w:eastAsia="宋体 (正文)" w:cs="宋体 (正文)"/>
          <w:color w:val="000000"/>
          <w:spacing w:val="-6"/>
          <w:sz w:val="32"/>
          <w:szCs w:val="32"/>
          <w:lang w:val="en-US" w:eastAsia="zh-CN"/>
        </w:rPr>
        <w:t>工作</w:t>
      </w:r>
      <w:r>
        <w:rPr>
          <w:rFonts w:hint="eastAsia" w:ascii="宋体 (正文)" w:hAnsi="宋体 (正文)" w:eastAsia="宋体 (正文)" w:cs="宋体 (正文)"/>
          <w:color w:val="000000"/>
          <w:spacing w:val="-6"/>
          <w:sz w:val="32"/>
          <w:szCs w:val="32"/>
        </w:rPr>
        <w:t>得到全面有效落实</w:t>
      </w:r>
      <w:r>
        <w:rPr>
          <w:rFonts w:hint="eastAsia" w:ascii="宋体 (正文)" w:hAnsi="宋体 (正文)" w:eastAsia="宋体 (正文)" w:cs="宋体 (正文)"/>
          <w:color w:val="000000"/>
          <w:spacing w:val="-6"/>
          <w:sz w:val="32"/>
          <w:szCs w:val="32"/>
          <w:lang w:eastAsia="zh-CN"/>
        </w:rPr>
        <w:t>。</w:t>
      </w:r>
    </w:p>
    <w:p>
      <w:pPr>
        <w:autoSpaceDN w:val="0"/>
        <w:spacing w:line="320" w:lineRule="exact"/>
        <w:ind w:firstLine="640" w:firstLineChars="200"/>
        <w:jc w:val="left"/>
        <w:textAlignment w:val="center"/>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本单位无重点项目，故未开展重点项目自评，无重点项目自评结果。</w:t>
      </w:r>
    </w:p>
    <w:p>
      <w:pPr>
        <w:spacing w:beforeLines="0" w:afterLines="0" w:line="600" w:lineRule="exact"/>
        <w:ind w:firstLine="640" w:firstLineChars="200"/>
        <w:rPr>
          <w:rFonts w:hint="eastAsia" w:ascii="宋体" w:hAnsi="Times New Roman" w:eastAsia="宋体"/>
          <w:sz w:val="32"/>
          <w:szCs w:val="24"/>
          <w:highlight w:val="white"/>
        </w:rPr>
      </w:pPr>
      <w:r>
        <w:rPr>
          <w:rFonts w:hint="eastAsia" w:ascii="宋体" w:hAnsi="Times New Roman" w:eastAsia="宋体"/>
          <w:sz w:val="32"/>
          <w:szCs w:val="24"/>
          <w:highlight w:val="white"/>
        </w:rPr>
        <w:t>2021年度本</w:t>
      </w:r>
      <w:r>
        <w:rPr>
          <w:rFonts w:hint="eastAsia" w:ascii="宋体" w:hAnsi="Times New Roman" w:eastAsia="宋体"/>
          <w:sz w:val="32"/>
          <w:szCs w:val="24"/>
          <w:highlight w:val="white"/>
          <w:lang w:val="en-US" w:eastAsia="zh-CN"/>
        </w:rPr>
        <w:t>单位</w:t>
      </w:r>
      <w:r>
        <w:rPr>
          <w:rFonts w:hint="eastAsia" w:ascii="宋体" w:hAnsi="Times New Roman" w:eastAsia="宋体"/>
          <w:sz w:val="32"/>
          <w:szCs w:val="24"/>
          <w:highlight w:val="white"/>
        </w:rPr>
        <w:t>绩效任务有效执行，单位紧扣目标任务对部门整体支出全面开展绩效自评，评价等次为优秀。</w:t>
      </w:r>
    </w:p>
    <w:p>
      <w:pPr>
        <w:pStyle w:val="10"/>
        <w:ind w:firstLine="640" w:firstLineChars="200"/>
        <w:jc w:val="both"/>
        <w:rPr>
          <w:rFonts w:hint="eastAsia" w:asciiTheme="minorEastAsia" w:hAnsiTheme="minorEastAsia" w:eastAsiaTheme="minorEastAsia"/>
          <w:sz w:val="32"/>
          <w:szCs w:val="32"/>
          <w:lang w:val="en-US" w:eastAsia="zh-CN"/>
        </w:rPr>
      </w:pPr>
      <w:r>
        <w:rPr>
          <w:rFonts w:hint="eastAsia" w:ascii="宋体" w:hAnsi="Times New Roman" w:eastAsia="宋体"/>
          <w:sz w:val="32"/>
          <w:szCs w:val="24"/>
          <w:highlight w:val="white"/>
          <w:lang w:eastAsia="zh-CN"/>
        </w:rPr>
        <w:t>预算绩效管理开展情况、</w:t>
      </w:r>
      <w:bookmarkStart w:id="0" w:name="_GoBack"/>
      <w:r>
        <w:rPr>
          <w:rFonts w:hint="eastAsia" w:ascii="宋体" w:hAnsi="Times New Roman" w:eastAsia="宋体"/>
          <w:sz w:val="32"/>
          <w:szCs w:val="24"/>
          <w:highlight w:val="white"/>
          <w:lang w:val="en-US" w:eastAsia="zh-CN"/>
        </w:rPr>
        <w:t>单位整体绩效情况表</w:t>
      </w:r>
      <w:bookmarkEnd w:id="0"/>
      <w:r>
        <w:rPr>
          <w:rFonts w:hint="eastAsia" w:ascii="宋体" w:hAnsi="Times New Roman" w:eastAsia="宋体"/>
          <w:sz w:val="32"/>
          <w:szCs w:val="24"/>
          <w:highlight w:val="white"/>
          <w:lang w:eastAsia="zh-CN"/>
        </w:rPr>
        <w:t>一并作为附件公开。</w:t>
      </w: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cs="黑体" w:asciiTheme="minorEastAsia" w:hAnsiTheme="minorEastAsia" w:eastAsiaTheme="minorEastAsia"/>
          <w:color w:val="000000"/>
          <w:kern w:val="0"/>
          <w:sz w:val="32"/>
          <w:szCs w:val="32"/>
          <w:lang w:eastAsia="zh-CN"/>
        </w:rPr>
      </w:pPr>
      <w:r>
        <w:rPr>
          <w:rFonts w:hint="eastAsia" w:cs="黑体" w:asciiTheme="minorEastAsia" w:hAnsiTheme="minorEastAsia"/>
          <w:color w:val="000000"/>
          <w:kern w:val="0"/>
          <w:sz w:val="32"/>
          <w:szCs w:val="32"/>
        </w:rPr>
        <w:t>二、机关运行经费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hint="eastAsia" w:cs="黑体" w:asciiTheme="minorEastAsia" w:hAnsiTheme="minorEastAsia"/>
          <w:color w:val="000000"/>
          <w:kern w:val="0"/>
          <w:sz w:val="32"/>
          <w:szCs w:val="32"/>
          <w:lang w:eastAsia="zh-CN"/>
        </w:rPr>
        <w:t>机关运行费指行政单位和参照公务员法管理事业单位，不包括普通事业单位。</w:t>
      </w:r>
    </w:p>
    <w:p>
      <w:pPr>
        <w:keepNext/>
        <w:keepLines/>
        <w:autoSpaceDE w:val="0"/>
        <w:autoSpaceDN w:val="0"/>
        <w:adjustRightInd w:val="0"/>
        <w:spacing w:beforeLines="0" w:afterLines="0" w:line="560" w:lineRule="exact"/>
        <w:ind w:firstLine="640"/>
        <w:rPr>
          <w:rFonts w:hint="eastAsia" w:ascii="宋体" w:hAnsi="Times New Roman" w:eastAsia="宋体"/>
          <w:color w:val="000000"/>
          <w:kern w:val="0"/>
          <w:sz w:val="32"/>
        </w:rPr>
      </w:pPr>
      <w:r>
        <w:rPr>
          <w:rFonts w:hint="eastAsia" w:cs="黑体" w:asciiTheme="minorEastAsia" w:hAnsiTheme="minorEastAsia"/>
          <w:color w:val="000000"/>
          <w:kern w:val="0"/>
          <w:sz w:val="32"/>
          <w:szCs w:val="32"/>
        </w:rPr>
        <w:t>三、</w:t>
      </w:r>
      <w:r>
        <w:rPr>
          <w:rFonts w:hint="eastAsia" w:ascii="宋体" w:hAnsi="Times New Roman" w:eastAsia="宋体"/>
          <w:color w:val="000000"/>
          <w:kern w:val="0"/>
          <w:sz w:val="32"/>
        </w:rPr>
        <w:t>财政拨款收入</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指本级财政当年拨付的资金。</w:t>
      </w:r>
    </w:p>
    <w:p>
      <w:pPr>
        <w:keepNext/>
        <w:keepLines/>
        <w:autoSpaceDE w:val="0"/>
        <w:autoSpaceDN w:val="0"/>
        <w:adjustRightInd w:val="0"/>
        <w:spacing w:beforeLines="0" w:afterLines="0" w:line="560" w:lineRule="exact"/>
        <w:ind w:firstLine="640"/>
        <w:rPr>
          <w:rFonts w:hint="eastAsia" w:ascii="宋体" w:hAnsi="Times New Roman" w:eastAsia="宋体"/>
          <w:color w:val="000000"/>
          <w:kern w:val="0"/>
          <w:sz w:val="32"/>
        </w:rPr>
      </w:pPr>
      <w:r>
        <w:rPr>
          <w:rFonts w:hint="eastAsia" w:ascii="宋体" w:hAnsi="Times New Roman" w:eastAsia="宋体"/>
          <w:color w:val="000000"/>
          <w:kern w:val="0"/>
          <w:sz w:val="32"/>
          <w:lang w:eastAsia="zh-CN"/>
        </w:rPr>
        <w:t>四、</w:t>
      </w:r>
      <w:r>
        <w:rPr>
          <w:rFonts w:hint="eastAsia" w:ascii="宋体" w:hAnsi="Times New Roman" w:eastAsia="宋体"/>
          <w:color w:val="000000"/>
          <w:kern w:val="0"/>
          <w:sz w:val="32"/>
        </w:rPr>
        <w:t>基本支出</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指保障机构正常运转、完成支日常工作任务而发生的人员支出和公用支出。</w:t>
      </w:r>
    </w:p>
    <w:p>
      <w:pPr>
        <w:keepNext/>
        <w:keepLines/>
        <w:autoSpaceDE w:val="0"/>
        <w:autoSpaceDN w:val="0"/>
        <w:adjustRightInd w:val="0"/>
        <w:spacing w:beforeLines="0" w:afterLines="0" w:line="560" w:lineRule="exact"/>
        <w:ind w:firstLine="640"/>
        <w:rPr>
          <w:rFonts w:hint="eastAsia" w:ascii="宋体" w:hAnsi="Times New Roman" w:eastAsia="宋体"/>
          <w:color w:val="000000"/>
          <w:kern w:val="0"/>
          <w:sz w:val="32"/>
        </w:rPr>
      </w:pPr>
      <w:r>
        <w:rPr>
          <w:rFonts w:hint="eastAsia" w:ascii="宋体" w:hAnsi="Times New Roman" w:eastAsia="宋体"/>
          <w:color w:val="000000"/>
          <w:kern w:val="0"/>
          <w:sz w:val="32"/>
          <w:lang w:eastAsia="zh-CN"/>
        </w:rPr>
        <w:t>五、</w:t>
      </w:r>
      <w:r>
        <w:rPr>
          <w:rFonts w:hint="eastAsia" w:ascii="宋体" w:hAnsi="Times New Roman" w:eastAsia="宋体"/>
          <w:color w:val="000000"/>
          <w:kern w:val="0"/>
          <w:sz w:val="32"/>
        </w:rPr>
        <w:t>项目支出</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指在基本支出之外为完成特定行政任务和事业发展目标所发生的支出。</w:t>
      </w:r>
    </w:p>
    <w:p>
      <w:pPr>
        <w:ind w:firstLine="640" w:firstLineChars="200"/>
        <w:jc w:val="left"/>
        <w:rPr>
          <w:rFonts w:cs="黑体" w:asciiTheme="minorEastAsia" w:hAnsiTheme="minorEastAsia"/>
          <w:color w:val="000000"/>
          <w:kern w:val="0"/>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hint="eastAsia" w:cs="黑体" w:asciiTheme="minorEastAsia" w:hAnsiTheme="minorEastAsia" w:eastAsiaTheme="minorEastAsia"/>
          <w:b/>
          <w:color w:val="000000"/>
          <w:kern w:val="0"/>
          <w:sz w:val="32"/>
          <w:szCs w:val="32"/>
          <w:lang w:eastAsia="zh-CN"/>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w:t>
      </w:r>
      <w:r>
        <w:rPr>
          <w:rFonts w:hint="eastAsia" w:cs="黑体" w:asciiTheme="minorEastAsia" w:hAnsiTheme="minorEastAsia"/>
          <w:b/>
          <w:color w:val="000000"/>
          <w:kern w:val="0"/>
          <w:sz w:val="32"/>
          <w:szCs w:val="32"/>
          <w:lang w:eastAsia="zh-CN"/>
        </w:rPr>
        <w:t>情况表</w:t>
      </w:r>
    </w:p>
    <w:p>
      <w:pPr>
        <w:spacing w:line="800" w:lineRule="exact"/>
        <w:jc w:val="center"/>
        <w:rPr>
          <w:rFonts w:hint="eastAsia" w:eastAsia="方正小标宋简体"/>
          <w:bCs/>
          <w:sz w:val="46"/>
          <w:szCs w:val="46"/>
        </w:rPr>
      </w:pPr>
      <w:r>
        <w:rPr>
          <w:rFonts w:hint="eastAsia" w:eastAsia="方正小标宋简体"/>
          <w:bCs/>
          <w:sz w:val="46"/>
          <w:szCs w:val="46"/>
        </w:rPr>
        <w:t>岳阳市</w:t>
      </w:r>
      <w:r>
        <w:rPr>
          <w:rFonts w:hint="eastAsia" w:eastAsia="方正小标宋简体"/>
          <w:bCs/>
          <w:sz w:val="46"/>
          <w:szCs w:val="46"/>
          <w:u w:val="single"/>
        </w:rPr>
        <w:t>20</w:t>
      </w:r>
      <w:r>
        <w:rPr>
          <w:rFonts w:hint="eastAsia" w:eastAsia="方正小标宋简体"/>
          <w:bCs/>
          <w:sz w:val="46"/>
          <w:szCs w:val="46"/>
          <w:u w:val="single"/>
          <w:lang w:val="en-US" w:eastAsia="zh-CN"/>
        </w:rPr>
        <w:t>21</w:t>
      </w:r>
      <w:r>
        <w:rPr>
          <w:rFonts w:hint="eastAsia" w:eastAsia="方正小标宋简体"/>
          <w:bCs/>
          <w:sz w:val="46"/>
          <w:szCs w:val="46"/>
        </w:rPr>
        <w:t>年度</w:t>
      </w:r>
      <w:r>
        <w:rPr>
          <w:rFonts w:hint="eastAsia" w:eastAsia="方正小标宋简体"/>
          <w:bCs/>
          <w:sz w:val="46"/>
          <w:szCs w:val="46"/>
          <w:lang w:eastAsia="zh-CN"/>
        </w:rPr>
        <w:t>单位</w:t>
      </w:r>
      <w:r>
        <w:rPr>
          <w:rFonts w:hint="eastAsia" w:eastAsia="方正小标宋简体"/>
          <w:bCs/>
          <w:sz w:val="46"/>
          <w:szCs w:val="46"/>
        </w:rPr>
        <w:t>整体支出</w:t>
      </w:r>
    </w:p>
    <w:p>
      <w:pPr>
        <w:spacing w:line="800" w:lineRule="exact"/>
        <w:jc w:val="center"/>
        <w:rPr>
          <w:rFonts w:hint="eastAsia" w:eastAsia="方正小标宋简体"/>
          <w:bCs/>
          <w:sz w:val="46"/>
          <w:szCs w:val="46"/>
          <w:lang w:eastAsia="zh-CN"/>
        </w:rPr>
      </w:pPr>
      <w:r>
        <w:rPr>
          <w:rFonts w:hint="eastAsia" w:eastAsia="方正小标宋简体"/>
          <w:bCs/>
          <w:sz w:val="46"/>
          <w:szCs w:val="46"/>
        </w:rPr>
        <w:t>绩效</w:t>
      </w:r>
      <w:r>
        <w:rPr>
          <w:rFonts w:hint="eastAsia" w:eastAsia="方正小标宋简体"/>
          <w:bCs/>
          <w:sz w:val="46"/>
          <w:szCs w:val="46"/>
          <w:lang w:eastAsia="zh-CN"/>
        </w:rPr>
        <w:t>情况表</w:t>
      </w:r>
    </w:p>
    <w:tbl>
      <w:tblPr>
        <w:tblStyle w:val="6"/>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9"/>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w:t>
            </w:r>
          </w:p>
        </w:tc>
        <w:tc>
          <w:tcPr>
            <w:tcW w:w="71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464" w:type="dxa"/>
            <w:gridSpan w:val="7"/>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190"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7740" w:type="dxa"/>
            <w:gridSpan w:val="18"/>
            <w:noWrap w:val="0"/>
            <w:vAlign w:val="center"/>
          </w:tcPr>
          <w:p>
            <w:pPr>
              <w:numPr>
                <w:ilvl w:val="0"/>
                <w:numId w:val="4"/>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贯彻实施住房和城乡建设有关法律法规，负责制订实施全市住房城      乡建设领域从业人员岗位职责教育的发展规划和工作计划；                      2.负责全市住房城乡建设领域从业人员岗位资格、职业技能考试、审核、发证和继续教育、复检换证的组织实施；                      </w:t>
            </w:r>
          </w:p>
          <w:p>
            <w:pPr>
              <w:numPr>
                <w:ilvl w:val="0"/>
                <w:numId w:val="0"/>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rPr>
              <w:t xml:space="preserve">负责承办全市住房城乡建设领域特殊工种（起重机械、架子工等）作业人员资格考核认定事务性工作；                                  </w:t>
            </w:r>
          </w:p>
          <w:p>
            <w:pPr>
              <w:numPr>
                <w:ilvl w:val="0"/>
                <w:numId w:val="0"/>
              </w:numPr>
              <w:autoSpaceDN w:val="0"/>
              <w:spacing w:line="320" w:lineRule="exact"/>
              <w:ind w:leftChars="0"/>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协助做好全市土建类初、中级职称考试组织实施工作；协助做好建筑业企业安全管理人员（三类人员）审核、考试、考核和继续教育组织实施；</w:t>
            </w:r>
            <w:r>
              <w:rPr>
                <w:rFonts w:hint="eastAsia" w:ascii="仿宋_GB2312" w:hAnsi="仿宋_GB2312" w:eastAsia="仿宋_GB2312" w:cs="仿宋_GB2312"/>
                <w:color w:val="000000"/>
                <w:sz w:val="24"/>
                <w:lang w:eastAsia="zh-CN"/>
              </w:rPr>
              <w:t>指导全市建筑工人培训工作。</w:t>
            </w:r>
          </w:p>
          <w:p>
            <w:pPr>
              <w:numPr>
                <w:ilvl w:val="0"/>
                <w:numId w:val="0"/>
              </w:numPr>
              <w:autoSpaceDN w:val="0"/>
              <w:spacing w:line="320" w:lineRule="exact"/>
              <w:ind w:leftChars="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5.完成市住建局交办的其它工作。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33"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7740" w:type="dxa"/>
            <w:gridSpan w:val="18"/>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1.完成建筑施工安全生产管 理人员（ABC）类理论</w:t>
            </w:r>
            <w:r>
              <w:rPr>
                <w:rFonts w:hint="eastAsia" w:ascii="仿宋_GB2312" w:hAnsi="仿宋_GB2312" w:eastAsia="仿宋_GB2312" w:cs="仿宋_GB2312"/>
                <w:color w:val="000000"/>
                <w:sz w:val="24"/>
                <w:lang w:eastAsia="zh-CN"/>
              </w:rPr>
              <w:t>考核</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全市</w:t>
            </w:r>
            <w:r>
              <w:rPr>
                <w:rFonts w:hint="eastAsia" w:ascii="仿宋_GB2312" w:hAnsi="仿宋_GB2312" w:eastAsia="仿宋_GB2312" w:cs="仿宋_GB2312"/>
                <w:color w:val="000000"/>
                <w:sz w:val="24"/>
              </w:rPr>
              <w:t>建筑</w:t>
            </w:r>
            <w:r>
              <w:rPr>
                <w:rFonts w:hint="eastAsia" w:ascii="仿宋_GB2312" w:hAnsi="仿宋_GB2312" w:eastAsia="仿宋_GB2312" w:cs="仿宋_GB2312"/>
                <w:color w:val="000000"/>
                <w:sz w:val="24"/>
                <w:lang w:eastAsia="zh-CN"/>
              </w:rPr>
              <w:t>施工</w:t>
            </w:r>
            <w:r>
              <w:rPr>
                <w:rFonts w:hint="eastAsia" w:ascii="仿宋_GB2312" w:hAnsi="仿宋_GB2312" w:eastAsia="仿宋_GB2312" w:cs="仿宋_GB2312"/>
                <w:color w:val="000000"/>
                <w:sz w:val="24"/>
              </w:rPr>
              <w:t>特种作业</w:t>
            </w:r>
            <w:r>
              <w:rPr>
                <w:rFonts w:hint="eastAsia" w:ascii="仿宋_GB2312" w:hAnsi="仿宋_GB2312" w:eastAsia="仿宋_GB2312" w:cs="仿宋_GB2312"/>
                <w:color w:val="000000"/>
                <w:sz w:val="24"/>
                <w:lang w:eastAsia="zh-CN"/>
              </w:rPr>
              <w:t>人员</w:t>
            </w:r>
            <w:r>
              <w:rPr>
                <w:rFonts w:hint="eastAsia" w:ascii="仿宋_GB2312" w:hAnsi="仿宋_GB2312" w:eastAsia="仿宋_GB2312" w:cs="仿宋_GB2312"/>
                <w:color w:val="000000"/>
                <w:sz w:val="24"/>
              </w:rPr>
              <w:t>培训考核</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numPr>
                <w:ilvl w:val="0"/>
                <w:numId w:val="4"/>
              </w:numPr>
              <w:autoSpaceDN w:val="0"/>
              <w:spacing w:line="320" w:lineRule="exact"/>
              <w:ind w:left="0" w:leftChars="0" w:firstLine="0" w:firstLineChars="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完成市土建类中级职称组考                                                                                  </w:t>
            </w:r>
          </w:p>
          <w:p>
            <w:pPr>
              <w:numPr>
                <w:ilvl w:val="0"/>
                <w:numId w:val="0"/>
              </w:numPr>
              <w:autoSpaceDN w:val="0"/>
              <w:spacing w:line="320" w:lineRule="exact"/>
              <w:ind w:leftChars="0"/>
              <w:jc w:val="left"/>
              <w:textAlignment w:val="center"/>
              <w:rPr>
                <w:rFonts w:hint="eastAsia" w:ascii="仿宋_GB2312" w:hAnsi="仿宋_GB2312" w:eastAsia="仿宋_GB2312" w:cs="仿宋_GB2312"/>
                <w:color w:val="000000"/>
                <w:sz w:val="24"/>
                <w:lang w:val="en-US" w:eastAsia="zh-CN"/>
              </w:rPr>
            </w:pPr>
          </w:p>
          <w:p>
            <w:pPr>
              <w:numPr>
                <w:ilvl w:val="0"/>
                <w:numId w:val="0"/>
              </w:numPr>
              <w:autoSpaceDN w:val="0"/>
              <w:spacing w:line="320" w:lineRule="exact"/>
              <w:ind w:leftChars="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住建领域八大员培训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72"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总体运行情况及取得的成绩</w:t>
            </w:r>
          </w:p>
        </w:tc>
        <w:tc>
          <w:tcPr>
            <w:tcW w:w="7740" w:type="dxa"/>
            <w:gridSpan w:val="18"/>
            <w:noWrap w:val="0"/>
            <w:vAlign w:val="center"/>
          </w:tcPr>
          <w:p>
            <w:pPr>
              <w:autoSpaceDN w:val="0"/>
              <w:spacing w:line="320" w:lineRule="exact"/>
              <w:ind w:firstLine="456" w:firstLineChars="200"/>
              <w:jc w:val="left"/>
              <w:textAlignment w:val="center"/>
              <w:rPr>
                <w:rFonts w:hint="eastAsia" w:ascii="仿宋_GB2312" w:hAnsi="仿宋_GB2312" w:eastAsia="仿宋_GB2312" w:cs="仿宋_GB2312"/>
                <w:color w:val="000000"/>
                <w:spacing w:val="-6"/>
                <w:sz w:val="24"/>
                <w:lang w:eastAsia="zh-CN"/>
              </w:rPr>
            </w:pPr>
            <w:r>
              <w:rPr>
                <w:rFonts w:hint="eastAsia" w:ascii="仿宋_GB2312" w:hAnsi="仿宋_GB2312" w:eastAsia="仿宋_GB2312" w:cs="仿宋_GB2312"/>
                <w:color w:val="000000"/>
                <w:spacing w:val="-6"/>
                <w:sz w:val="24"/>
                <w:lang w:val="en-US" w:eastAsia="zh-CN"/>
              </w:rPr>
              <w:t>全年组织</w:t>
            </w:r>
            <w:r>
              <w:rPr>
                <w:rFonts w:hint="eastAsia" w:ascii="仿宋_GB2312" w:hAnsi="仿宋_GB2312" w:eastAsia="仿宋_GB2312" w:cs="仿宋_GB2312"/>
                <w:color w:val="000000"/>
                <w:spacing w:val="-6"/>
                <w:sz w:val="24"/>
              </w:rPr>
              <w:t>培训和考核1</w:t>
            </w:r>
            <w:r>
              <w:rPr>
                <w:rFonts w:hint="eastAsia" w:ascii="仿宋_GB2312" w:hAnsi="仿宋_GB2312" w:eastAsia="仿宋_GB2312" w:cs="仿宋_GB2312"/>
                <w:color w:val="000000"/>
                <w:spacing w:val="-6"/>
                <w:sz w:val="24"/>
                <w:lang w:val="en-US" w:eastAsia="zh-CN"/>
              </w:rPr>
              <w:t>.</w:t>
            </w:r>
            <w:r>
              <w:rPr>
                <w:rFonts w:hint="eastAsia" w:ascii="仿宋_GB2312" w:hAnsi="仿宋_GB2312" w:eastAsia="仿宋_GB2312" w:cs="仿宋_GB2312"/>
                <w:color w:val="000000"/>
                <w:spacing w:val="-6"/>
                <w:sz w:val="24"/>
              </w:rPr>
              <w:t>06</w:t>
            </w:r>
            <w:r>
              <w:rPr>
                <w:rFonts w:hint="eastAsia" w:ascii="仿宋_GB2312" w:hAnsi="仿宋_GB2312" w:eastAsia="仿宋_GB2312" w:cs="仿宋_GB2312"/>
                <w:color w:val="000000"/>
                <w:spacing w:val="-6"/>
                <w:sz w:val="24"/>
                <w:lang w:val="en-US" w:eastAsia="zh-CN"/>
              </w:rPr>
              <w:t>万</w:t>
            </w:r>
            <w:r>
              <w:rPr>
                <w:rFonts w:hint="eastAsia" w:ascii="仿宋_GB2312" w:hAnsi="仿宋_GB2312" w:eastAsia="仿宋_GB2312" w:cs="仿宋_GB2312"/>
                <w:color w:val="000000"/>
                <w:spacing w:val="-6"/>
                <w:sz w:val="24"/>
              </w:rPr>
              <w:t>人次</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rPr>
              <w:t>超额完成</w:t>
            </w:r>
            <w:r>
              <w:rPr>
                <w:rFonts w:hint="eastAsia" w:ascii="仿宋_GB2312" w:hAnsi="仿宋_GB2312" w:eastAsia="仿宋_GB2312" w:cs="仿宋_GB2312"/>
                <w:color w:val="000000"/>
                <w:spacing w:val="-6"/>
                <w:sz w:val="24"/>
                <w:lang w:val="en-US" w:eastAsia="zh-CN"/>
              </w:rPr>
              <w:t>《住建工作报告》</w:t>
            </w:r>
            <w:r>
              <w:rPr>
                <w:rFonts w:hint="eastAsia" w:ascii="仿宋_GB2312" w:hAnsi="仿宋_GB2312" w:eastAsia="仿宋_GB2312" w:cs="仿宋_GB2312"/>
                <w:color w:val="000000"/>
                <w:spacing w:val="-6"/>
                <w:sz w:val="24"/>
              </w:rPr>
              <w:t>目标任务</w:t>
            </w:r>
            <w:r>
              <w:rPr>
                <w:rFonts w:hint="eastAsia" w:ascii="仿宋_GB2312" w:hAnsi="仿宋_GB2312" w:eastAsia="仿宋_GB2312" w:cs="仿宋_GB2312"/>
                <w:color w:val="000000"/>
                <w:spacing w:val="-6"/>
                <w:sz w:val="24"/>
                <w:lang w:val="en-US" w:eastAsia="zh-CN"/>
              </w:rPr>
              <w:t>。</w:t>
            </w:r>
            <w:r>
              <w:rPr>
                <w:rFonts w:hint="eastAsia" w:ascii="仿宋_GB2312" w:hAnsi="仿宋_GB2312" w:eastAsia="仿宋_GB2312" w:cs="仿宋_GB2312"/>
                <w:color w:val="000000"/>
                <w:spacing w:val="-6"/>
                <w:sz w:val="24"/>
              </w:rPr>
              <w:t>其中，“安管人员”考核3850人次、特种作业人员考核1022人次、</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lang w:val="en-US" w:eastAsia="zh-CN"/>
              </w:rPr>
              <w:t>八大员</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rPr>
              <w:t>培训5003人次、土建</w:t>
            </w:r>
            <w:r>
              <w:rPr>
                <w:rFonts w:hint="eastAsia" w:ascii="仿宋_GB2312" w:hAnsi="仿宋_GB2312" w:eastAsia="仿宋_GB2312" w:cs="仿宋_GB2312"/>
                <w:color w:val="000000"/>
                <w:spacing w:val="-6"/>
                <w:sz w:val="24"/>
                <w:lang w:val="en-US" w:eastAsia="zh-CN"/>
              </w:rPr>
              <w:t>工程</w:t>
            </w:r>
            <w:r>
              <w:rPr>
                <w:rFonts w:hint="eastAsia" w:ascii="仿宋_GB2312" w:hAnsi="仿宋_GB2312" w:eastAsia="仿宋_GB2312" w:cs="仿宋_GB2312"/>
                <w:color w:val="000000"/>
                <w:spacing w:val="-6"/>
                <w:sz w:val="24"/>
              </w:rPr>
              <w:t>初中级职称考试737人</w:t>
            </w:r>
            <w:r>
              <w:rPr>
                <w:rFonts w:hint="eastAsia" w:ascii="仿宋_GB2312" w:hAnsi="仿宋_GB2312" w:eastAsia="仿宋_GB2312" w:cs="仿宋_GB2312"/>
                <w:color w:val="000000"/>
                <w:spacing w:val="-6"/>
                <w:sz w:val="24"/>
                <w:lang w:eastAsia="zh-CN"/>
              </w:rPr>
              <w:t>。</w:t>
            </w:r>
          </w:p>
          <w:p>
            <w:pPr>
              <w:autoSpaceDN w:val="0"/>
              <w:spacing w:line="320" w:lineRule="exact"/>
              <w:ind w:firstLine="456" w:firstLineChars="20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pacing w:val="-6"/>
                <w:sz w:val="24"/>
                <w:lang w:val="en-US" w:eastAsia="zh-CN"/>
              </w:rPr>
              <w:t>“考培分离”改革</w:t>
            </w:r>
            <w:r>
              <w:rPr>
                <w:rFonts w:hint="eastAsia" w:ascii="仿宋_GB2312" w:hAnsi="仿宋_GB2312" w:eastAsia="仿宋_GB2312" w:cs="仿宋_GB2312"/>
                <w:color w:val="000000"/>
                <w:spacing w:val="-6"/>
                <w:sz w:val="24"/>
              </w:rPr>
              <w:t>得到省住建厅</w:t>
            </w:r>
            <w:r>
              <w:rPr>
                <w:rFonts w:hint="eastAsia" w:ascii="仿宋_GB2312" w:hAnsi="仿宋_GB2312" w:eastAsia="仿宋_GB2312" w:cs="仿宋_GB2312"/>
                <w:color w:val="000000"/>
                <w:spacing w:val="-6"/>
                <w:sz w:val="24"/>
                <w:lang w:val="en-US" w:eastAsia="zh-CN"/>
              </w:rPr>
              <w:t>充分</w:t>
            </w:r>
            <w:r>
              <w:rPr>
                <w:rFonts w:hint="eastAsia" w:ascii="仿宋_GB2312" w:hAnsi="仿宋_GB2312" w:eastAsia="仿宋_GB2312" w:cs="仿宋_GB2312"/>
                <w:color w:val="000000"/>
                <w:spacing w:val="-6"/>
                <w:sz w:val="24"/>
              </w:rPr>
              <w:t>肯定</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lang w:val="en-US" w:eastAsia="zh-CN"/>
              </w:rPr>
              <w:t>特别是特种作业人员培训考核工作被全省</w:t>
            </w:r>
            <w:r>
              <w:rPr>
                <w:rFonts w:hint="eastAsia" w:ascii="仿宋_GB2312" w:hAnsi="仿宋_GB2312" w:eastAsia="仿宋_GB2312" w:cs="仿宋_GB2312"/>
                <w:color w:val="000000"/>
                <w:spacing w:val="-6"/>
                <w:sz w:val="24"/>
              </w:rPr>
              <w:t>通报表扬</w:t>
            </w:r>
            <w:r>
              <w:rPr>
                <w:rFonts w:hint="eastAsia" w:ascii="仿宋_GB2312" w:hAnsi="仿宋_GB2312" w:eastAsia="仿宋_GB2312" w:cs="仿宋_GB2312"/>
                <w:color w:val="000000"/>
                <w:spacing w:val="-6"/>
                <w:sz w:val="24"/>
                <w:lang w:val="en-US" w:eastAsia="zh-CN"/>
              </w:rPr>
              <w:t>。由于考培工作形成示范效应，经省住建厅推介，</w:t>
            </w:r>
            <w:r>
              <w:rPr>
                <w:rFonts w:hint="eastAsia" w:ascii="仿宋_GB2312" w:hAnsi="仿宋_GB2312" w:eastAsia="仿宋_GB2312" w:cs="仿宋_GB2312"/>
                <w:color w:val="000000"/>
                <w:spacing w:val="-6"/>
                <w:sz w:val="24"/>
              </w:rPr>
              <w:t>省建设人力资源协会以及长沙市、永州市</w:t>
            </w:r>
            <w:r>
              <w:rPr>
                <w:rFonts w:hint="eastAsia" w:ascii="仿宋_GB2312" w:hAnsi="仿宋_GB2312" w:eastAsia="仿宋_GB2312" w:cs="仿宋_GB2312"/>
                <w:color w:val="000000"/>
                <w:spacing w:val="-6"/>
                <w:sz w:val="24"/>
                <w:lang w:val="en-US" w:eastAsia="zh-CN"/>
              </w:rPr>
              <w:t>等</w:t>
            </w:r>
            <w:r>
              <w:rPr>
                <w:rFonts w:hint="eastAsia" w:ascii="仿宋_GB2312" w:hAnsi="仿宋_GB2312" w:eastAsia="仿宋_GB2312" w:cs="仿宋_GB2312"/>
                <w:color w:val="000000"/>
                <w:spacing w:val="-6"/>
                <w:sz w:val="24"/>
              </w:rPr>
              <w:t>兄弟单位</w:t>
            </w:r>
            <w:r>
              <w:rPr>
                <w:rFonts w:hint="eastAsia" w:ascii="仿宋_GB2312" w:hAnsi="仿宋_GB2312" w:eastAsia="仿宋_GB2312" w:cs="仿宋_GB2312"/>
                <w:color w:val="000000"/>
                <w:spacing w:val="-6"/>
                <w:sz w:val="24"/>
                <w:lang w:val="en-US" w:eastAsia="zh-CN"/>
              </w:rPr>
              <w:t>纷纷来岳</w:t>
            </w:r>
            <w:r>
              <w:rPr>
                <w:rFonts w:hint="eastAsia" w:ascii="仿宋_GB2312" w:hAnsi="仿宋_GB2312" w:eastAsia="仿宋_GB2312" w:cs="仿宋_GB2312"/>
                <w:color w:val="000000"/>
                <w:spacing w:val="-6"/>
                <w:sz w:val="24"/>
              </w:rPr>
              <w:t>考察学习。</w:t>
            </w:r>
            <w:r>
              <w:rPr>
                <w:rFonts w:hint="eastAsia" w:ascii="仿宋_GB2312" w:hAnsi="仿宋_GB2312" w:eastAsia="仿宋_GB2312" w:cs="仿宋_GB2312"/>
                <w:color w:val="000000"/>
                <w:spacing w:val="-6"/>
                <w:sz w:val="24"/>
                <w:lang w:val="en-US" w:eastAsia="zh-CN"/>
              </w:rPr>
              <w:t>同时，</w:t>
            </w:r>
            <w:r>
              <w:rPr>
                <w:rFonts w:hint="eastAsia" w:ascii="仿宋_GB2312" w:hAnsi="仿宋_GB2312" w:eastAsia="仿宋_GB2312" w:cs="仿宋_GB2312"/>
                <w:color w:val="000000"/>
                <w:spacing w:val="-6"/>
                <w:sz w:val="24"/>
              </w:rPr>
              <w:t>基层党建、意识形态、政令畅通、队伍建设、平安建设</w:t>
            </w:r>
            <w:r>
              <w:rPr>
                <w:rFonts w:hint="eastAsia" w:ascii="仿宋_GB2312" w:hAnsi="仿宋_GB2312" w:eastAsia="仿宋_GB2312" w:cs="仿宋_GB2312"/>
                <w:color w:val="000000"/>
                <w:spacing w:val="-6"/>
                <w:sz w:val="24"/>
                <w:lang w:val="en-US" w:eastAsia="zh-CN"/>
              </w:rPr>
              <w:t>以及财务、工会、妇女</w:t>
            </w:r>
            <w:r>
              <w:rPr>
                <w:rFonts w:hint="eastAsia" w:ascii="仿宋_GB2312" w:hAnsi="仿宋_GB2312" w:eastAsia="仿宋_GB2312" w:cs="仿宋_GB2312"/>
                <w:color w:val="000000"/>
                <w:spacing w:val="-6"/>
                <w:sz w:val="24"/>
              </w:rPr>
              <w:t>等</w:t>
            </w:r>
            <w:r>
              <w:rPr>
                <w:rFonts w:hint="eastAsia" w:ascii="仿宋_GB2312" w:hAnsi="仿宋_GB2312" w:eastAsia="仿宋_GB2312" w:cs="仿宋_GB2312"/>
                <w:color w:val="000000"/>
                <w:spacing w:val="-6"/>
                <w:sz w:val="24"/>
                <w:lang w:val="en-US" w:eastAsia="zh-CN"/>
              </w:rPr>
              <w:t>工作</w:t>
            </w:r>
            <w:r>
              <w:rPr>
                <w:rFonts w:hint="eastAsia" w:ascii="仿宋_GB2312" w:hAnsi="仿宋_GB2312" w:eastAsia="仿宋_GB2312" w:cs="仿宋_GB2312"/>
                <w:color w:val="000000"/>
                <w:spacing w:val="-6"/>
                <w:sz w:val="24"/>
              </w:rPr>
              <w:t>得到全面有效落实</w:t>
            </w:r>
            <w:r>
              <w:rPr>
                <w:rFonts w:hint="eastAsia" w:ascii="仿宋_GB2312" w:hAnsi="仿宋_GB2312" w:eastAsia="仿宋_GB2312" w:cs="仿宋_GB2312"/>
                <w:color w:val="000000"/>
                <w:spacing w:val="-6"/>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740" w:type="dxa"/>
            <w:gridSpan w:val="18"/>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654"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548"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拨款</w:t>
            </w:r>
          </w:p>
        </w:tc>
        <w:tc>
          <w:tcPr>
            <w:tcW w:w="1548"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9" w:hRule="atLeast"/>
          <w:jc w:val="center"/>
        </w:trPr>
        <w:tc>
          <w:tcPr>
            <w:tcW w:w="1654" w:type="dxa"/>
            <w:tcBorders>
              <w:righ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253.13</w:t>
            </w:r>
          </w:p>
        </w:tc>
        <w:tc>
          <w:tcPr>
            <w:tcW w:w="1548" w:type="dxa"/>
            <w:gridSpan w:val="4"/>
            <w:tcBorders>
              <w:lef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128.46</w:t>
            </w:r>
          </w:p>
        </w:tc>
        <w:tc>
          <w:tcPr>
            <w:tcW w:w="1548"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63.6</w:t>
            </w:r>
          </w:p>
        </w:tc>
        <w:tc>
          <w:tcPr>
            <w:tcW w:w="1548"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548"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44.37</w:t>
            </w:r>
          </w:p>
        </w:tc>
        <w:tc>
          <w:tcPr>
            <w:tcW w:w="1548" w:type="dxa"/>
            <w:gridSpan w:val="2"/>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394"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6"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1419" w:type="dxa"/>
            <w:gridSpan w:val="2"/>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811" w:type="dxa"/>
            <w:gridSpan w:val="8"/>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413" w:type="dxa"/>
            <w:gridSpan w:val="3"/>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2051"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19" w:type="dxa"/>
            <w:gridSpan w:val="2"/>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01" w:type="dxa"/>
            <w:gridSpan w:val="4"/>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410" w:type="dxa"/>
            <w:gridSpan w:val="4"/>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413"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61" w:type="dxa"/>
            <w:gridSpan w:val="3"/>
            <w:tcBorders>
              <w:top w:val="single" w:color="auto" w:sz="4" w:space="0"/>
              <w:left w:val="single" w:color="auto" w:sz="4" w:space="0"/>
              <w:right w:val="single" w:color="auto" w:sz="4" w:space="0"/>
            </w:tcBorders>
            <w:noWrap w:val="0"/>
            <w:vAlign w:val="center"/>
          </w:tcPr>
          <w:p>
            <w:pPr>
              <w:autoSpaceDN w:val="0"/>
              <w:spacing w:line="320" w:lineRule="exact"/>
              <w:jc w:val="both"/>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990" w:type="dxa"/>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253.13</w:t>
            </w:r>
          </w:p>
        </w:tc>
        <w:tc>
          <w:tcPr>
            <w:tcW w:w="1410" w:type="dxa"/>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200.62</w:t>
            </w:r>
          </w:p>
        </w:tc>
        <w:tc>
          <w:tcPr>
            <w:tcW w:w="1410" w:type="dxa"/>
            <w:gridSpan w:val="5"/>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174.43</w:t>
            </w:r>
          </w:p>
        </w:tc>
        <w:tc>
          <w:tcPr>
            <w:tcW w:w="1410"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26.19</w:t>
            </w:r>
          </w:p>
        </w:tc>
        <w:tc>
          <w:tcPr>
            <w:tcW w:w="1413" w:type="dxa"/>
            <w:gridSpan w:val="3"/>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52.51</w:t>
            </w:r>
          </w:p>
        </w:tc>
        <w:tc>
          <w:tcPr>
            <w:tcW w:w="1061" w:type="dxa"/>
            <w:gridSpan w:val="3"/>
            <w:tcBorders>
              <w:left w:val="single" w:color="auto" w:sz="4" w:space="0"/>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1.4</w:t>
            </w:r>
          </w:p>
        </w:tc>
        <w:tc>
          <w:tcPr>
            <w:tcW w:w="990" w:type="dxa"/>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三公经费合计</w:t>
            </w:r>
          </w:p>
        </w:tc>
        <w:tc>
          <w:tcPr>
            <w:tcW w:w="7694" w:type="dxa"/>
            <w:gridSpan w:val="17"/>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1925"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0.2</w:t>
            </w:r>
          </w:p>
        </w:tc>
        <w:tc>
          <w:tcPr>
            <w:tcW w:w="1923" w:type="dxa"/>
            <w:gridSpan w:val="4"/>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0.2</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925"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固定资产合计</w:t>
            </w:r>
          </w:p>
        </w:tc>
        <w:tc>
          <w:tcPr>
            <w:tcW w:w="5331" w:type="dxa"/>
            <w:gridSpan w:val="12"/>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2363" w:type="dxa"/>
            <w:gridSpan w:val="5"/>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665"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2363" w:type="dxa"/>
            <w:gridSpan w:val="5"/>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62.79</w:t>
            </w:r>
          </w:p>
        </w:tc>
        <w:tc>
          <w:tcPr>
            <w:tcW w:w="2665" w:type="dxa"/>
            <w:gridSpan w:val="5"/>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62.79</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363"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394" w:type="dxa"/>
            <w:gridSpan w:val="19"/>
            <w:noWrap w:val="0"/>
            <w:vAlign w:val="center"/>
          </w:tcPr>
          <w:p>
            <w:pPr>
              <w:keepNext w:val="0"/>
              <w:keepLines w:val="0"/>
              <w:pageBreakBefore w:val="0"/>
              <w:widowControl w:val="0"/>
              <w:kinsoku/>
              <w:wordWrap/>
              <w:overflowPunct/>
              <w:topLinePunct w:val="0"/>
              <w:autoSpaceDE/>
              <w:autoSpaceDN w:val="0"/>
              <w:bidi w:val="0"/>
              <w:adjustRightInd/>
              <w:snapToGrid/>
              <w:spacing w:before="157" w:beforeLines="50" w:line="320" w:lineRule="exact"/>
              <w:ind w:firstLine="240" w:firstLineChars="100"/>
              <w:jc w:val="left"/>
              <w:textAlignment w:val="center"/>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单位领导（</w:t>
            </w:r>
            <w:r>
              <w:rPr>
                <w:rFonts w:hint="eastAsia" w:ascii="仿宋_GB2312" w:hAnsi="仿宋_GB2312" w:eastAsia="仿宋_GB2312" w:cs="仿宋_GB2312"/>
                <w:color w:val="000000"/>
                <w:sz w:val="24"/>
              </w:rPr>
              <w:t>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ind w:firstLine="1920" w:firstLineChars="600"/>
              <w:jc w:val="left"/>
              <w:textAlignment w:val="center"/>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任</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勇</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                                                                 公章</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 </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lang w:val="en-US" w:eastAsia="zh-CN"/>
              </w:rPr>
              <w:t>2022</w:t>
            </w:r>
            <w:r>
              <w:rPr>
                <w:rFonts w:hint="eastAsia" w:ascii="仿宋_GB2312" w:hAnsi="仿宋_GB2312" w:eastAsia="仿宋_GB2312" w:cs="仿宋_GB2312"/>
                <w:color w:val="000000"/>
                <w:sz w:val="24"/>
              </w:rPr>
              <w:t xml:space="preserve">  年  </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 xml:space="preserve">  月  </w:t>
            </w: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 xml:space="preserve">  日</w:t>
            </w:r>
          </w:p>
          <w:p>
            <w:pPr>
              <w:autoSpaceDN w:val="0"/>
              <w:spacing w:line="320" w:lineRule="exact"/>
              <w:jc w:val="both"/>
              <w:textAlignment w:val="center"/>
              <w:rPr>
                <w:rFonts w:hint="eastAsia" w:ascii="仿宋_GB2312" w:hAnsi="仿宋_GB2312" w:eastAsia="仿宋_GB2312" w:cs="仿宋_GB2312"/>
                <w:color w:val="000000"/>
                <w:sz w:val="24"/>
              </w:rPr>
            </w:pPr>
          </w:p>
        </w:tc>
      </w:tr>
    </w:tbl>
    <w:p>
      <w:pPr>
        <w:rPr>
          <w:rFonts w:hint="default" w:eastAsia="仿宋_GB2312"/>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eastAsia="zh-CN"/>
        </w:rPr>
        <w:t>彭春华</w:t>
      </w:r>
      <w:r>
        <w:rPr>
          <w:rFonts w:hint="eastAsia" w:eastAsia="仿宋_GB2312" w:cs="仿宋_GB2312"/>
          <w:bCs/>
          <w:sz w:val="28"/>
          <w:szCs w:val="28"/>
        </w:rPr>
        <w:t xml:space="preserve">    </w:t>
      </w:r>
      <w:r>
        <w:rPr>
          <w:rFonts w:hint="eastAsia" w:eastAsia="仿宋_GB2312" w:cs="仿宋_GB2312"/>
          <w:bCs/>
          <w:sz w:val="28"/>
          <w:szCs w:val="28"/>
          <w:lang w:val="en-US" w:eastAsia="zh-CN"/>
        </w:rPr>
        <w:t xml:space="preserve">  </w:t>
      </w:r>
      <w:r>
        <w:rPr>
          <w:rFonts w:hint="eastAsia" w:eastAsia="仿宋_GB2312" w:cs="仿宋_GB2312"/>
          <w:bCs/>
          <w:sz w:val="28"/>
          <w:szCs w:val="28"/>
        </w:rPr>
        <w:t xml:space="preserve">      </w:t>
      </w:r>
      <w:r>
        <w:rPr>
          <w:rFonts w:hint="eastAsia" w:eastAsia="仿宋_GB2312" w:cs="仿宋_GB2312"/>
          <w:bCs/>
          <w:sz w:val="28"/>
          <w:szCs w:val="28"/>
          <w:lang w:val="en-US" w:eastAsia="zh-CN"/>
        </w:rPr>
        <w:t xml:space="preserve">  </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13975042505</w:t>
      </w:r>
    </w:p>
    <w:p>
      <w:pPr>
        <w:ind w:firstLine="640" w:firstLineChars="200"/>
        <w:jc w:val="left"/>
        <w:rPr>
          <w:rFonts w:hint="eastAsia" w:cs="黑体" w:asciiTheme="minorEastAsia" w:hAnsiTheme="minorEastAsia"/>
          <w:b/>
          <w:color w:val="000000"/>
          <w:kern w:val="0"/>
          <w:sz w:val="32"/>
          <w:szCs w:val="32"/>
        </w:rPr>
      </w:pPr>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宋体 (正文)">
    <w:altName w:val="宋体"/>
    <w:panose1 w:val="00000000000000000000"/>
    <w:charset w:val="00"/>
    <w:family w:val="auto"/>
    <w:pitch w:val="default"/>
    <w:sig w:usb0="00000000" w:usb1="00000000" w:usb2="00000000" w:usb3="00000000" w:csb0="0000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690E5"/>
    <w:multiLevelType w:val="singleLevel"/>
    <w:tmpl w:val="92D690E5"/>
    <w:lvl w:ilvl="0" w:tentative="0">
      <w:start w:val="1"/>
      <w:numFmt w:val="decimal"/>
      <w:suff w:val="nothing"/>
      <w:lvlText w:val="%1、"/>
      <w:lvlJc w:val="left"/>
    </w:lvl>
  </w:abstractNum>
  <w:abstractNum w:abstractNumId="1">
    <w:nsid w:val="B16A298D"/>
    <w:multiLevelType w:val="singleLevel"/>
    <w:tmpl w:val="B16A298D"/>
    <w:lvl w:ilvl="0" w:tentative="0">
      <w:start w:val="9"/>
      <w:numFmt w:val="chineseCounting"/>
      <w:suff w:val="nothing"/>
      <w:lvlText w:val="%1、"/>
      <w:lvlJc w:val="left"/>
      <w:rPr>
        <w:rFonts w:hint="eastAsia"/>
      </w:rPr>
    </w:lvl>
  </w:abstractNum>
  <w:abstractNum w:abstractNumId="2">
    <w:nsid w:val="CBEFC1A2"/>
    <w:multiLevelType w:val="singleLevel"/>
    <w:tmpl w:val="CBEFC1A2"/>
    <w:lvl w:ilvl="0" w:tentative="0">
      <w:start w:val="1"/>
      <w:numFmt w:val="decimal"/>
      <w:lvlText w:val="%1."/>
      <w:lvlJc w:val="left"/>
      <w:pPr>
        <w:tabs>
          <w:tab w:val="left" w:pos="312"/>
        </w:tabs>
      </w:p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Y2NjYWY0NDFlNmY3YWVjMmFlMWExMWMzMDYzZTM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9744B"/>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36732D"/>
    <w:rsid w:val="014A42D6"/>
    <w:rsid w:val="018A58CB"/>
    <w:rsid w:val="02994018"/>
    <w:rsid w:val="03004097"/>
    <w:rsid w:val="035D3297"/>
    <w:rsid w:val="03AF33C7"/>
    <w:rsid w:val="0430275A"/>
    <w:rsid w:val="053C512E"/>
    <w:rsid w:val="05633A58"/>
    <w:rsid w:val="05B31797"/>
    <w:rsid w:val="06206A3C"/>
    <w:rsid w:val="06B411F0"/>
    <w:rsid w:val="07414C7E"/>
    <w:rsid w:val="0781151E"/>
    <w:rsid w:val="07904FC2"/>
    <w:rsid w:val="087403E0"/>
    <w:rsid w:val="08964B56"/>
    <w:rsid w:val="089A2A5B"/>
    <w:rsid w:val="089D4E5C"/>
    <w:rsid w:val="08BB45BC"/>
    <w:rsid w:val="09BA4874"/>
    <w:rsid w:val="0A764C3F"/>
    <w:rsid w:val="0B016BFE"/>
    <w:rsid w:val="0BE56081"/>
    <w:rsid w:val="0CD657DE"/>
    <w:rsid w:val="0E707BF7"/>
    <w:rsid w:val="0F784FB5"/>
    <w:rsid w:val="0FC85F3C"/>
    <w:rsid w:val="10431354"/>
    <w:rsid w:val="10635C65"/>
    <w:rsid w:val="1092654A"/>
    <w:rsid w:val="10D66437"/>
    <w:rsid w:val="10DB3A4D"/>
    <w:rsid w:val="10E548CC"/>
    <w:rsid w:val="113D2012"/>
    <w:rsid w:val="12274A70"/>
    <w:rsid w:val="13A25147"/>
    <w:rsid w:val="13BE003E"/>
    <w:rsid w:val="13C609E5"/>
    <w:rsid w:val="14113911"/>
    <w:rsid w:val="14213E6D"/>
    <w:rsid w:val="142C45C0"/>
    <w:rsid w:val="1494657B"/>
    <w:rsid w:val="14BB6070"/>
    <w:rsid w:val="14FE5F5C"/>
    <w:rsid w:val="1505553D"/>
    <w:rsid w:val="17A87124"/>
    <w:rsid w:val="18A1557C"/>
    <w:rsid w:val="18DC0363"/>
    <w:rsid w:val="18FF1F0C"/>
    <w:rsid w:val="199E702E"/>
    <w:rsid w:val="1B09638A"/>
    <w:rsid w:val="1C7B4336"/>
    <w:rsid w:val="1CF06FD5"/>
    <w:rsid w:val="1D6372A4"/>
    <w:rsid w:val="1D8611E5"/>
    <w:rsid w:val="1F4B7FF0"/>
    <w:rsid w:val="2237485C"/>
    <w:rsid w:val="230A0DC9"/>
    <w:rsid w:val="23983A20"/>
    <w:rsid w:val="24C26FA6"/>
    <w:rsid w:val="257302A1"/>
    <w:rsid w:val="25F82554"/>
    <w:rsid w:val="26D03CF1"/>
    <w:rsid w:val="26DC3C24"/>
    <w:rsid w:val="27673E35"/>
    <w:rsid w:val="278E4F1E"/>
    <w:rsid w:val="27DB542D"/>
    <w:rsid w:val="27E45486"/>
    <w:rsid w:val="2822302F"/>
    <w:rsid w:val="2840299E"/>
    <w:rsid w:val="28D63020"/>
    <w:rsid w:val="28EA7994"/>
    <w:rsid w:val="298F2133"/>
    <w:rsid w:val="2A507DF2"/>
    <w:rsid w:val="2B675CEE"/>
    <w:rsid w:val="2BC730F4"/>
    <w:rsid w:val="2EE019C8"/>
    <w:rsid w:val="2F397E65"/>
    <w:rsid w:val="2F834BC2"/>
    <w:rsid w:val="2F900F59"/>
    <w:rsid w:val="30AB4D93"/>
    <w:rsid w:val="32382656"/>
    <w:rsid w:val="32B207D7"/>
    <w:rsid w:val="34050C5E"/>
    <w:rsid w:val="34760B6C"/>
    <w:rsid w:val="34B85CD0"/>
    <w:rsid w:val="3529097C"/>
    <w:rsid w:val="35853122"/>
    <w:rsid w:val="35CB1A33"/>
    <w:rsid w:val="366364DD"/>
    <w:rsid w:val="370B6762"/>
    <w:rsid w:val="37DF3574"/>
    <w:rsid w:val="387E0FDF"/>
    <w:rsid w:val="38BC14A7"/>
    <w:rsid w:val="38E17B53"/>
    <w:rsid w:val="39CD7B28"/>
    <w:rsid w:val="3A555D6F"/>
    <w:rsid w:val="3AA03E19"/>
    <w:rsid w:val="3B255741"/>
    <w:rsid w:val="3B4758AD"/>
    <w:rsid w:val="3B611077"/>
    <w:rsid w:val="3BC62A80"/>
    <w:rsid w:val="3C12216A"/>
    <w:rsid w:val="3C137C90"/>
    <w:rsid w:val="3DB73753"/>
    <w:rsid w:val="3E083824"/>
    <w:rsid w:val="3E0E070F"/>
    <w:rsid w:val="3E4F5C01"/>
    <w:rsid w:val="3EBA43F3"/>
    <w:rsid w:val="3EF86BC1"/>
    <w:rsid w:val="3F0D4E6A"/>
    <w:rsid w:val="3F966C0E"/>
    <w:rsid w:val="3FDB2873"/>
    <w:rsid w:val="401F6C03"/>
    <w:rsid w:val="40702C93"/>
    <w:rsid w:val="40E643A5"/>
    <w:rsid w:val="41200E85"/>
    <w:rsid w:val="412B070F"/>
    <w:rsid w:val="41A90E7A"/>
    <w:rsid w:val="438A4B35"/>
    <w:rsid w:val="44D70091"/>
    <w:rsid w:val="45091C30"/>
    <w:rsid w:val="454B3FF6"/>
    <w:rsid w:val="45513D03"/>
    <w:rsid w:val="45F9639D"/>
    <w:rsid w:val="461940F5"/>
    <w:rsid w:val="468A096C"/>
    <w:rsid w:val="477C2B8D"/>
    <w:rsid w:val="48EA29D2"/>
    <w:rsid w:val="48ED43E7"/>
    <w:rsid w:val="49EC3FFA"/>
    <w:rsid w:val="4AC705C3"/>
    <w:rsid w:val="4B3F0159"/>
    <w:rsid w:val="4C786019"/>
    <w:rsid w:val="4CDD09F6"/>
    <w:rsid w:val="507C59AC"/>
    <w:rsid w:val="50FA1E91"/>
    <w:rsid w:val="510065DD"/>
    <w:rsid w:val="53964FD7"/>
    <w:rsid w:val="54B410F9"/>
    <w:rsid w:val="56033F3B"/>
    <w:rsid w:val="57C07B10"/>
    <w:rsid w:val="58C522C7"/>
    <w:rsid w:val="5A663955"/>
    <w:rsid w:val="5AD37846"/>
    <w:rsid w:val="5BF44F90"/>
    <w:rsid w:val="5C937A1B"/>
    <w:rsid w:val="5CC42BB4"/>
    <w:rsid w:val="5EA45744"/>
    <w:rsid w:val="60A907EA"/>
    <w:rsid w:val="612105D5"/>
    <w:rsid w:val="6145544E"/>
    <w:rsid w:val="61B96A60"/>
    <w:rsid w:val="63A454EE"/>
    <w:rsid w:val="64D218C4"/>
    <w:rsid w:val="64DB2291"/>
    <w:rsid w:val="6686712D"/>
    <w:rsid w:val="66D02DF2"/>
    <w:rsid w:val="675953B9"/>
    <w:rsid w:val="678E44EB"/>
    <w:rsid w:val="687436E1"/>
    <w:rsid w:val="68DF0AF3"/>
    <w:rsid w:val="69AD3543"/>
    <w:rsid w:val="6BC77FCB"/>
    <w:rsid w:val="6C680D93"/>
    <w:rsid w:val="6C821ACA"/>
    <w:rsid w:val="6C9E2A6B"/>
    <w:rsid w:val="6D940381"/>
    <w:rsid w:val="6D9C0CD0"/>
    <w:rsid w:val="6DB025EB"/>
    <w:rsid w:val="6DD91EA5"/>
    <w:rsid w:val="6F6A1399"/>
    <w:rsid w:val="6FCE7B7A"/>
    <w:rsid w:val="700F3CEF"/>
    <w:rsid w:val="70761250"/>
    <w:rsid w:val="70EA1164"/>
    <w:rsid w:val="71327C95"/>
    <w:rsid w:val="71B819CB"/>
    <w:rsid w:val="72414CB1"/>
    <w:rsid w:val="735C36EF"/>
    <w:rsid w:val="750C6A4F"/>
    <w:rsid w:val="758D7B90"/>
    <w:rsid w:val="76674885"/>
    <w:rsid w:val="774E15A1"/>
    <w:rsid w:val="782D11B6"/>
    <w:rsid w:val="79226841"/>
    <w:rsid w:val="7A4D1FE3"/>
    <w:rsid w:val="7AF406B1"/>
    <w:rsid w:val="7BCE0F02"/>
    <w:rsid w:val="7C127041"/>
    <w:rsid w:val="7C5B09E8"/>
    <w:rsid w:val="7CCC3693"/>
    <w:rsid w:val="7E4F1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default"/>
      <w:sz w:val="21"/>
      <w:szCs w:val="24"/>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4042</Words>
  <Characters>4423</Characters>
  <Lines>69</Lines>
  <Paragraphs>19</Paragraphs>
  <TotalTime>0</TotalTime>
  <ScaleCrop>false</ScaleCrop>
  <LinksUpToDate>false</LinksUpToDate>
  <CharactersWithSpaces>4529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何蔚</cp:lastModifiedBy>
  <cp:lastPrinted>2022-07-27T12:55:00Z</cp:lastPrinted>
  <dcterms:modified xsi:type="dcterms:W3CDTF">2023-09-22T16:56:30Z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C02081F76A1C414C807C3137DC2EA958</vt:lpwstr>
  </property>
</Properties>
</file>