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5000" w:type="pct"/>
        <w:tblInd w:w="0" w:type="dxa"/>
        <w:tblLayout w:type="autofit"/>
        <w:tblCellMar>
          <w:top w:w="0" w:type="dxa"/>
          <w:left w:w="108" w:type="dxa"/>
          <w:bottom w:w="0" w:type="dxa"/>
          <w:right w:w="108" w:type="dxa"/>
        </w:tblCellMar>
      </w:tblPr>
      <w:tblGrid>
        <w:gridCol w:w="8522"/>
      </w:tblGrid>
      <w:tr>
        <w:tblPrEx>
          <w:tblCellMar>
            <w:top w:w="0" w:type="dxa"/>
            <w:left w:w="108" w:type="dxa"/>
            <w:bottom w:w="0" w:type="dxa"/>
            <w:right w:w="108" w:type="dxa"/>
          </w:tblCellMar>
        </w:tblPrEx>
        <w:trPr>
          <w:trHeight w:val="1380" w:hRule="atLeast"/>
        </w:trPr>
        <w:tc>
          <w:tcPr>
            <w:tcW w:w="5000" w:type="pct"/>
            <w:tcBorders>
              <w:top w:val="nil"/>
              <w:left w:val="nil"/>
              <w:bottom w:val="nil"/>
              <w:right w:val="nil"/>
            </w:tcBorders>
            <w:shd w:val="clear" w:color="auto" w:fill="auto"/>
            <w:vAlign w:val="center"/>
          </w:tcPr>
          <w:p>
            <w:pPr>
              <w:widowControl/>
              <w:jc w:val="center"/>
              <w:rPr>
                <w:rFonts w:ascii="方正小标宋_GBK" w:hAnsi="宋体" w:eastAsia="方正小标宋_GBK" w:cs="宋体"/>
                <w:color w:val="000000"/>
                <w:kern w:val="0"/>
                <w:sz w:val="40"/>
                <w:szCs w:val="40"/>
              </w:rPr>
            </w:pPr>
            <w:r>
              <w:rPr>
                <w:rFonts w:hint="eastAsia" w:ascii="方正小标宋_GBK" w:hAnsi="宋体" w:eastAsia="方正小标宋_GBK" w:cs="宋体"/>
                <w:color w:val="000000"/>
                <w:kern w:val="0"/>
                <w:sz w:val="40"/>
                <w:szCs w:val="40"/>
              </w:rPr>
              <w:t>岳阳市污水处理监督中心</w:t>
            </w:r>
            <w:bookmarkStart w:id="0" w:name="_GoBack"/>
            <w:bookmarkEnd w:id="0"/>
            <w:r>
              <w:rPr>
                <w:rFonts w:hint="eastAsia" w:ascii="方正小标宋_GBK" w:hAnsi="宋体" w:eastAsia="方正小标宋_GBK" w:cs="宋体"/>
                <w:color w:val="000000"/>
                <w:kern w:val="0"/>
                <w:sz w:val="40"/>
                <w:szCs w:val="40"/>
              </w:rPr>
              <w:t>2022年度单位预算</w:t>
            </w:r>
          </w:p>
        </w:tc>
      </w:tr>
      <w:tr>
        <w:tblPrEx>
          <w:tblCellMar>
            <w:top w:w="0" w:type="dxa"/>
            <w:left w:w="108" w:type="dxa"/>
            <w:bottom w:w="0" w:type="dxa"/>
            <w:right w:w="108" w:type="dxa"/>
          </w:tblCellMar>
        </w:tblPrEx>
        <w:trPr>
          <w:trHeight w:val="642" w:hRule="atLeast"/>
        </w:trPr>
        <w:tc>
          <w:tcPr>
            <w:tcW w:w="5000" w:type="pct"/>
            <w:tcBorders>
              <w:top w:val="nil"/>
              <w:left w:val="nil"/>
              <w:bottom w:val="nil"/>
              <w:right w:val="nil"/>
            </w:tcBorders>
            <w:shd w:val="clear" w:color="auto" w:fill="auto"/>
            <w:vAlign w:val="center"/>
          </w:tcPr>
          <w:p>
            <w:pPr>
              <w:widowControl/>
              <w:jc w:val="center"/>
              <w:rPr>
                <w:rFonts w:ascii="黑体" w:hAnsi="黑体" w:eastAsia="黑体" w:cs="宋体"/>
                <w:kern w:val="0"/>
                <w:sz w:val="36"/>
                <w:szCs w:val="36"/>
              </w:rPr>
            </w:pPr>
            <w:r>
              <w:rPr>
                <w:rFonts w:hint="eastAsia" w:ascii="黑体" w:hAnsi="黑体" w:eastAsia="黑体" w:cs="宋体"/>
                <w:kern w:val="0"/>
                <w:sz w:val="36"/>
                <w:szCs w:val="36"/>
              </w:rPr>
              <w:t>目录</w:t>
            </w:r>
          </w:p>
        </w:tc>
      </w:tr>
      <w:tr>
        <w:tblPrEx>
          <w:tblCellMar>
            <w:top w:w="0" w:type="dxa"/>
            <w:left w:w="108" w:type="dxa"/>
            <w:bottom w:w="0" w:type="dxa"/>
            <w:right w:w="108" w:type="dxa"/>
          </w:tblCellMar>
        </w:tblPrEx>
        <w:trPr>
          <w:trHeight w:val="375" w:hRule="atLeast"/>
        </w:trPr>
        <w:tc>
          <w:tcPr>
            <w:tcW w:w="5000" w:type="pct"/>
            <w:tcBorders>
              <w:top w:val="nil"/>
              <w:left w:val="nil"/>
              <w:bottom w:val="nil"/>
              <w:right w:val="nil"/>
            </w:tcBorders>
            <w:shd w:val="clear" w:color="auto" w:fill="auto"/>
            <w:vAlign w:val="center"/>
          </w:tcPr>
          <w:p>
            <w:pPr>
              <w:widowControl/>
              <w:jc w:val="left"/>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第一部分  2022年单位预算说明</w:t>
            </w:r>
          </w:p>
        </w:tc>
      </w:tr>
      <w:tr>
        <w:tblPrEx>
          <w:tblCellMar>
            <w:top w:w="0" w:type="dxa"/>
            <w:left w:w="108" w:type="dxa"/>
            <w:bottom w:w="0" w:type="dxa"/>
            <w:right w:w="108" w:type="dxa"/>
          </w:tblCellMar>
        </w:tblPrEx>
        <w:trPr>
          <w:trHeight w:val="600" w:hRule="atLeast"/>
        </w:trPr>
        <w:tc>
          <w:tcPr>
            <w:tcW w:w="5000" w:type="pct"/>
            <w:tcBorders>
              <w:top w:val="nil"/>
              <w:left w:val="nil"/>
              <w:bottom w:val="nil"/>
              <w:right w:val="nil"/>
            </w:tcBorders>
            <w:shd w:val="clear" w:color="auto" w:fill="auto"/>
            <w:vAlign w:val="center"/>
          </w:tcPr>
          <w:p>
            <w:pPr>
              <w:widowControl/>
              <w:jc w:val="left"/>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第二部分  2022年单位预算公开表格</w:t>
            </w:r>
          </w:p>
        </w:tc>
      </w:tr>
      <w:tr>
        <w:tblPrEx>
          <w:tblCellMar>
            <w:top w:w="0" w:type="dxa"/>
            <w:left w:w="108" w:type="dxa"/>
            <w:bottom w:w="0" w:type="dxa"/>
            <w:right w:w="108" w:type="dxa"/>
          </w:tblCellMar>
        </w:tblPrEx>
        <w:trPr>
          <w:trHeight w:val="4482" w:hRule="atLeast"/>
        </w:trPr>
        <w:tc>
          <w:tcPr>
            <w:tcW w:w="5000" w:type="pct"/>
            <w:vMerge w:val="restart"/>
            <w:tcBorders>
              <w:top w:val="nil"/>
              <w:left w:val="nil"/>
              <w:bottom w:val="nil"/>
              <w:right w:val="nil"/>
            </w:tcBorders>
            <w:shd w:val="clear" w:color="auto" w:fill="auto"/>
            <w:vAlign w:val="center"/>
          </w:tcPr>
          <w:p>
            <w:pPr>
              <w:widowControl/>
              <w:jc w:val="left"/>
              <w:rPr>
                <w:rFonts w:hint="eastAsia"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1、收支总表</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2、收入总表</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3、支出总表</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4、支出预算分类汇总表（按政府预算经济分类）</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5、支出预算分类汇总表（按部门预算经济分类）</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6、财政拨款收支总表</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7、一般公共预算支出表</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8、一般公共预算基本支出表-人员经费（工资福利支出）（按政府预算经济分类）</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9、一般公共预算基本支出表-人员经费（工资福利支出）（按部门预算经济分类）</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10、一般公共预算基本支出表-人员经费（对个人和家庭的补助）（按政府预算经济分类）</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11、一般公共预算基本支出表-人员经费（对个人和家庭的补助）（按部门预算经济分类）</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12、一般公共预算基本支出表-</w:t>
            </w:r>
            <w:r>
              <w:rPr>
                <w:rFonts w:hint="eastAsia" w:ascii="仿宋_GB2312" w:hAnsi="宋体" w:eastAsia="仿宋_GB2312" w:cs="宋体"/>
                <w:color w:val="000000"/>
                <w:kern w:val="0"/>
                <w:sz w:val="28"/>
                <w:szCs w:val="28"/>
                <w:lang w:val="en-US" w:eastAsia="zh-CN"/>
              </w:rPr>
              <w:t>公用</w:t>
            </w:r>
            <w:r>
              <w:rPr>
                <w:rFonts w:hint="eastAsia" w:ascii="仿宋_GB2312" w:hAnsi="宋体" w:eastAsia="仿宋_GB2312" w:cs="宋体"/>
                <w:color w:val="000000"/>
                <w:kern w:val="0"/>
                <w:sz w:val="28"/>
                <w:szCs w:val="28"/>
              </w:rPr>
              <w:t>经费（商品和服务支出）（按政府预算经济分类）</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13、一般公共预算基本支出表-</w:t>
            </w:r>
            <w:r>
              <w:rPr>
                <w:rFonts w:hint="eastAsia" w:ascii="仿宋_GB2312" w:hAnsi="宋体" w:eastAsia="仿宋_GB2312" w:cs="宋体"/>
                <w:color w:val="000000"/>
                <w:kern w:val="0"/>
                <w:sz w:val="28"/>
                <w:szCs w:val="28"/>
                <w:lang w:val="en-US" w:eastAsia="zh-CN"/>
              </w:rPr>
              <w:t>公用</w:t>
            </w:r>
            <w:r>
              <w:rPr>
                <w:rFonts w:hint="eastAsia" w:ascii="仿宋_GB2312" w:hAnsi="宋体" w:eastAsia="仿宋_GB2312" w:cs="宋体"/>
                <w:color w:val="000000"/>
                <w:kern w:val="0"/>
                <w:sz w:val="28"/>
                <w:szCs w:val="28"/>
              </w:rPr>
              <w:t>经费（商品和服务支出）（按部门预算经济分类）</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14、一般公共预算“三公”经费支出表</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15、政府性基金预算支出表</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16、政府性基金预算支出分类汇总表（按政府预算经济分类）</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17、政府性基金预算支出分类汇总表（按部门预算经济分类）</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18、国有资本经营预算支出表</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19、财政专户管理资金预算支出表</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20、专项资金预算汇总表</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21、项目支出绩效目标表</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22、整体支出绩效目标表</w:t>
            </w:r>
          </w:p>
          <w:p>
            <w:pPr>
              <w:widowControl/>
              <w:jc w:val="left"/>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lang w:val="en-US" w:eastAsia="zh-CN"/>
              </w:rPr>
              <w:t>23、一般公共预算基本支出表</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注：以上单位预算公开报表中，空表表示本单位无相关收支情况。</w:t>
            </w:r>
          </w:p>
        </w:tc>
      </w:tr>
      <w:tr>
        <w:tblPrEx>
          <w:tblCellMar>
            <w:top w:w="0" w:type="dxa"/>
            <w:left w:w="108" w:type="dxa"/>
            <w:bottom w:w="0" w:type="dxa"/>
            <w:right w:w="108" w:type="dxa"/>
          </w:tblCellMar>
        </w:tblPrEx>
        <w:trPr>
          <w:trHeight w:val="4482" w:hRule="atLeast"/>
        </w:trPr>
        <w:tc>
          <w:tcPr>
            <w:tcW w:w="5000" w:type="pct"/>
            <w:vMerge w:val="continue"/>
            <w:tcBorders>
              <w:top w:val="nil"/>
              <w:left w:val="nil"/>
              <w:bottom w:val="nil"/>
              <w:right w:val="nil"/>
            </w:tcBorders>
            <w:vAlign w:val="center"/>
          </w:tcPr>
          <w:p>
            <w:pPr>
              <w:widowControl/>
              <w:jc w:val="left"/>
              <w:rPr>
                <w:rFonts w:ascii="仿宋_GB2312" w:hAnsi="宋体" w:eastAsia="仿宋_GB2312" w:cs="宋体"/>
                <w:color w:val="000000"/>
                <w:kern w:val="0"/>
                <w:sz w:val="28"/>
                <w:szCs w:val="28"/>
              </w:rPr>
            </w:pPr>
          </w:p>
        </w:tc>
      </w:tr>
      <w:tr>
        <w:tblPrEx>
          <w:tblCellMar>
            <w:top w:w="0" w:type="dxa"/>
            <w:left w:w="108" w:type="dxa"/>
            <w:bottom w:w="0" w:type="dxa"/>
            <w:right w:w="108" w:type="dxa"/>
          </w:tblCellMar>
        </w:tblPrEx>
        <w:trPr>
          <w:trHeight w:val="840" w:hRule="atLeast"/>
        </w:trPr>
        <w:tc>
          <w:tcPr>
            <w:tcW w:w="5000" w:type="pct"/>
            <w:tcBorders>
              <w:top w:val="nil"/>
              <w:left w:val="nil"/>
              <w:bottom w:val="nil"/>
              <w:right w:val="nil"/>
            </w:tcBorders>
            <w:shd w:val="clear" w:color="auto" w:fill="auto"/>
            <w:vAlign w:val="center"/>
          </w:tcPr>
          <w:p>
            <w:pPr>
              <w:widowControl/>
              <w:jc w:val="center"/>
              <w:rPr>
                <w:rFonts w:hint="eastAsia" w:ascii="黑体" w:hAnsi="黑体" w:eastAsia="黑体" w:cs="宋体"/>
                <w:color w:val="000000"/>
                <w:kern w:val="0"/>
                <w:sz w:val="36"/>
                <w:szCs w:val="36"/>
              </w:rPr>
            </w:pPr>
          </w:p>
          <w:p>
            <w:pPr>
              <w:widowControl/>
              <w:jc w:val="center"/>
              <w:rPr>
                <w:rFonts w:hint="eastAsia" w:ascii="黑体" w:hAnsi="黑体" w:eastAsia="黑体" w:cs="宋体"/>
                <w:color w:val="000000"/>
                <w:kern w:val="0"/>
                <w:sz w:val="36"/>
                <w:szCs w:val="36"/>
              </w:rPr>
            </w:pPr>
          </w:p>
          <w:p>
            <w:pPr>
              <w:widowControl/>
              <w:jc w:val="center"/>
              <w:rPr>
                <w:rFonts w:hint="eastAsia" w:ascii="黑体" w:hAnsi="黑体" w:eastAsia="黑体" w:cs="宋体"/>
                <w:color w:val="000000"/>
                <w:kern w:val="0"/>
                <w:sz w:val="36"/>
                <w:szCs w:val="36"/>
              </w:rPr>
            </w:pPr>
          </w:p>
          <w:p>
            <w:pPr>
              <w:widowControl/>
              <w:jc w:val="center"/>
              <w:rPr>
                <w:rFonts w:hint="eastAsia" w:ascii="黑体" w:hAnsi="黑体" w:eastAsia="黑体" w:cs="宋体"/>
                <w:color w:val="000000"/>
                <w:kern w:val="0"/>
                <w:sz w:val="36"/>
                <w:szCs w:val="36"/>
              </w:rPr>
            </w:pPr>
          </w:p>
          <w:p>
            <w:pPr>
              <w:widowControl/>
              <w:jc w:val="center"/>
              <w:rPr>
                <w:rFonts w:hint="eastAsia" w:ascii="黑体" w:hAnsi="黑体" w:eastAsia="黑体" w:cs="宋体"/>
                <w:color w:val="000000"/>
                <w:kern w:val="0"/>
                <w:sz w:val="36"/>
                <w:szCs w:val="36"/>
              </w:rPr>
            </w:pPr>
          </w:p>
          <w:p>
            <w:pPr>
              <w:widowControl/>
              <w:jc w:val="center"/>
              <w:rPr>
                <w:rFonts w:hint="eastAsia" w:ascii="黑体" w:hAnsi="黑体" w:eastAsia="黑体" w:cs="宋体"/>
                <w:color w:val="000000"/>
                <w:kern w:val="0"/>
                <w:sz w:val="36"/>
                <w:szCs w:val="36"/>
              </w:rPr>
            </w:pPr>
          </w:p>
          <w:p>
            <w:pPr>
              <w:widowControl/>
              <w:jc w:val="center"/>
              <w:rPr>
                <w:rFonts w:hint="eastAsia" w:ascii="黑体" w:hAnsi="黑体" w:eastAsia="黑体" w:cs="宋体"/>
                <w:color w:val="000000"/>
                <w:kern w:val="0"/>
                <w:sz w:val="36"/>
                <w:szCs w:val="36"/>
              </w:rPr>
            </w:pPr>
          </w:p>
          <w:p>
            <w:pPr>
              <w:widowControl/>
              <w:jc w:val="center"/>
              <w:rPr>
                <w:rFonts w:hint="eastAsia" w:ascii="黑体" w:hAnsi="黑体" w:eastAsia="黑体" w:cs="宋体"/>
                <w:color w:val="000000"/>
                <w:kern w:val="0"/>
                <w:sz w:val="36"/>
                <w:szCs w:val="36"/>
              </w:rPr>
            </w:pPr>
          </w:p>
          <w:p>
            <w:pPr>
              <w:widowControl/>
              <w:jc w:val="center"/>
              <w:rPr>
                <w:rFonts w:hint="eastAsia" w:ascii="黑体" w:hAnsi="黑体" w:eastAsia="黑体" w:cs="宋体"/>
                <w:color w:val="000000"/>
                <w:kern w:val="0"/>
                <w:sz w:val="36"/>
                <w:szCs w:val="36"/>
              </w:rPr>
            </w:pPr>
          </w:p>
          <w:p>
            <w:pPr>
              <w:widowControl/>
              <w:jc w:val="center"/>
              <w:rPr>
                <w:rFonts w:ascii="黑体" w:hAnsi="黑体" w:eastAsia="黑体" w:cs="宋体"/>
                <w:color w:val="000000"/>
                <w:kern w:val="0"/>
                <w:sz w:val="36"/>
                <w:szCs w:val="36"/>
              </w:rPr>
            </w:pPr>
            <w:r>
              <w:rPr>
                <w:rFonts w:hint="eastAsia" w:ascii="黑体" w:hAnsi="黑体" w:eastAsia="黑体" w:cs="宋体"/>
                <w:color w:val="000000"/>
                <w:kern w:val="0"/>
                <w:sz w:val="36"/>
                <w:szCs w:val="36"/>
              </w:rPr>
              <w:t>第一部分  2022年单位预算说明</w:t>
            </w:r>
          </w:p>
        </w:tc>
      </w:tr>
      <w:tr>
        <w:tblPrEx>
          <w:tblCellMar>
            <w:top w:w="0" w:type="dxa"/>
            <w:left w:w="108" w:type="dxa"/>
            <w:bottom w:w="0" w:type="dxa"/>
            <w:right w:w="108" w:type="dxa"/>
          </w:tblCellMar>
        </w:tblPrEx>
        <w:trPr>
          <w:trHeight w:val="2625" w:hRule="atLeast"/>
        </w:trPr>
        <w:tc>
          <w:tcPr>
            <w:tcW w:w="5000" w:type="pct"/>
            <w:tcBorders>
              <w:top w:val="nil"/>
              <w:left w:val="nil"/>
              <w:bottom w:val="nil"/>
              <w:right w:val="nil"/>
            </w:tcBorders>
            <w:shd w:val="clear" w:color="auto" w:fill="auto"/>
            <w:vAlign w:val="center"/>
          </w:tcPr>
          <w:p>
            <w:pPr>
              <w:widowControl/>
              <w:spacing w:line="600" w:lineRule="exact"/>
              <w:ind w:firstLine="560" w:firstLineChars="200"/>
              <w:jc w:val="both"/>
              <w:rPr>
                <w:rFonts w:hint="eastAsia" w:ascii="黑体" w:hAnsi="黑体" w:eastAsia="黑体" w:cs="黑体"/>
                <w:color w:val="000000"/>
                <w:kern w:val="0"/>
                <w:sz w:val="28"/>
                <w:szCs w:val="28"/>
              </w:rPr>
            </w:pPr>
            <w:r>
              <w:rPr>
                <w:rFonts w:hint="eastAsia" w:ascii="黑体" w:hAnsi="黑体" w:eastAsia="黑体" w:cs="黑体"/>
                <w:color w:val="000000"/>
                <w:kern w:val="0"/>
                <w:sz w:val="28"/>
                <w:szCs w:val="28"/>
              </w:rPr>
              <w:t>一、单位基本概况</w:t>
            </w:r>
          </w:p>
          <w:p>
            <w:pPr>
              <w:widowControl/>
              <w:spacing w:line="600" w:lineRule="exact"/>
              <w:ind w:firstLine="560" w:firstLineChars="200"/>
              <w:jc w:val="both"/>
              <w:rPr>
                <w:rFonts w:hint="eastAsia" w:ascii="楷体_GB2312" w:hAnsi="楷体_GB2312" w:eastAsia="楷体_GB2312" w:cs="楷体_GB2312"/>
                <w:color w:val="000000"/>
                <w:kern w:val="0"/>
                <w:sz w:val="28"/>
                <w:szCs w:val="28"/>
              </w:rPr>
            </w:pPr>
            <w:r>
              <w:rPr>
                <w:rFonts w:hint="eastAsia" w:ascii="楷体_GB2312" w:hAnsi="楷体_GB2312" w:eastAsia="楷体_GB2312" w:cs="楷体_GB2312"/>
                <w:color w:val="000000"/>
                <w:kern w:val="0"/>
                <w:sz w:val="28"/>
                <w:szCs w:val="28"/>
              </w:rPr>
              <w:t>（一）职能职责</w:t>
            </w:r>
          </w:p>
          <w:p>
            <w:pPr>
              <w:widowControl/>
              <w:spacing w:line="600" w:lineRule="exact"/>
              <w:ind w:firstLine="560" w:firstLineChars="200"/>
              <w:jc w:val="both"/>
              <w:rPr>
                <w:rFonts w:hint="eastAsia"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1、负责贯彻执行国家有关城市污水处理的法律法规和相关政策。</w:t>
            </w:r>
          </w:p>
          <w:p>
            <w:pPr>
              <w:widowControl/>
              <w:spacing w:line="600" w:lineRule="exact"/>
              <w:ind w:firstLine="560" w:firstLineChars="200"/>
              <w:jc w:val="both"/>
              <w:rPr>
                <w:rFonts w:hint="eastAsia"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2、负责全市城市污水处理地方规范性文件的拟订与实施；参与制定全市城市污水处理规划。</w:t>
            </w:r>
          </w:p>
          <w:p>
            <w:pPr>
              <w:widowControl/>
              <w:spacing w:line="600" w:lineRule="exact"/>
              <w:ind w:firstLine="560" w:firstLineChars="200"/>
              <w:jc w:val="both"/>
              <w:rPr>
                <w:rFonts w:hint="eastAsia"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3、负责对城区排入排水管网的污水以及接入污水管网的管道进行监督管理。</w:t>
            </w:r>
          </w:p>
          <w:p>
            <w:pPr>
              <w:widowControl/>
              <w:spacing w:line="600" w:lineRule="exact"/>
              <w:ind w:firstLine="560" w:firstLineChars="200"/>
              <w:jc w:val="both"/>
              <w:rPr>
                <w:rFonts w:hint="eastAsia"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4、负责全市城市污水处理厂的监督与管理。</w:t>
            </w:r>
          </w:p>
          <w:p>
            <w:pPr>
              <w:widowControl/>
              <w:spacing w:line="600" w:lineRule="exact"/>
              <w:ind w:firstLine="560" w:firstLineChars="200"/>
              <w:jc w:val="both"/>
              <w:rPr>
                <w:rFonts w:hint="eastAsia"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5、负责对市区污水处理厂污水处理水量的核定及出水水质的监测，核定污水处理厂的污水处理服务费。</w:t>
            </w:r>
          </w:p>
          <w:p>
            <w:pPr>
              <w:widowControl/>
              <w:spacing w:line="600" w:lineRule="exact"/>
              <w:ind w:firstLine="560" w:firstLineChars="200"/>
              <w:jc w:val="both"/>
              <w:rPr>
                <w:rFonts w:hint="eastAsia"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6、负责市区范围内污水处理设施的新建、扩建改造工作；负责市区污水处理站的运行管理及维护。</w:t>
            </w:r>
          </w:p>
          <w:p>
            <w:pPr>
              <w:widowControl/>
              <w:spacing w:line="600" w:lineRule="exact"/>
              <w:ind w:firstLine="560" w:firstLineChars="200"/>
              <w:jc w:val="both"/>
              <w:rPr>
                <w:rFonts w:hint="eastAsia"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7、参与审定市区范围内居民小区污水处理设施的规划、设计、竣工验收工作及建成后的运行监督管理。</w:t>
            </w:r>
          </w:p>
          <w:p>
            <w:pPr>
              <w:widowControl/>
              <w:spacing w:line="600" w:lineRule="exact"/>
              <w:ind w:firstLine="560" w:firstLineChars="200"/>
              <w:jc w:val="both"/>
              <w:rPr>
                <w:rFonts w:hint="eastAsia"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8、负责全市污水处理行业管理和技术指导；负责专业技术人员和岗位操作人员的培训。</w:t>
            </w:r>
          </w:p>
          <w:p>
            <w:pPr>
              <w:widowControl/>
              <w:spacing w:line="600" w:lineRule="exact"/>
              <w:ind w:firstLine="560" w:firstLineChars="200"/>
              <w:jc w:val="both"/>
              <w:rPr>
                <w:rFonts w:hint="eastAsia"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9、负责收缴市区傍水征收的污水处理费及市区范围内自备水源单位的污水处理费。配合物价部门定期测算污水处理厂的运行成本，监督污水处理运行经费的使用。</w:t>
            </w:r>
          </w:p>
          <w:p>
            <w:pPr>
              <w:widowControl/>
              <w:spacing w:line="600" w:lineRule="exact"/>
              <w:ind w:firstLine="560" w:firstLineChars="200"/>
              <w:jc w:val="both"/>
              <w:rPr>
                <w:rFonts w:hint="eastAsia"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10、负责统计全市污水处理行业运行数据及运行情况综合呈报。</w:t>
            </w:r>
          </w:p>
          <w:p>
            <w:pPr>
              <w:widowControl/>
              <w:spacing w:line="600" w:lineRule="exact"/>
              <w:ind w:firstLine="560" w:firstLineChars="200"/>
              <w:jc w:val="both"/>
              <w:rPr>
                <w:rFonts w:hint="eastAsia"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11、承办上级主管部门交办的其他事项。</w:t>
            </w:r>
          </w:p>
          <w:p>
            <w:pPr>
              <w:widowControl/>
              <w:spacing w:line="600" w:lineRule="exact"/>
              <w:ind w:firstLine="560" w:firstLineChars="200"/>
              <w:jc w:val="both"/>
              <w:rPr>
                <w:rFonts w:hint="eastAsia" w:ascii="楷体_GB2312" w:hAnsi="楷体_GB2312" w:eastAsia="楷体_GB2312" w:cs="楷体_GB2312"/>
                <w:color w:val="000000"/>
                <w:kern w:val="0"/>
                <w:sz w:val="28"/>
                <w:szCs w:val="28"/>
              </w:rPr>
            </w:pPr>
            <w:r>
              <w:rPr>
                <w:rFonts w:hint="eastAsia" w:ascii="楷体_GB2312" w:hAnsi="楷体_GB2312" w:eastAsia="楷体_GB2312" w:cs="楷体_GB2312"/>
                <w:color w:val="000000"/>
                <w:kern w:val="0"/>
                <w:sz w:val="28"/>
                <w:szCs w:val="28"/>
              </w:rPr>
              <w:t>（二）机构设置</w:t>
            </w:r>
          </w:p>
          <w:p>
            <w:pPr>
              <w:widowControl/>
              <w:spacing w:line="600" w:lineRule="exact"/>
              <w:ind w:firstLine="560" w:firstLineChars="200"/>
              <w:jc w:val="both"/>
              <w:rPr>
                <w:rFonts w:hint="eastAsia"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岳阳市污水处理监督中心内设机构：人秘股、财务股、排水许可管理股、污水处理费稽查管理股、污水处理监督管理股、水质监测监督管理股。岳阳市污水处理监督中心为正科级一类公益性事业单位，核定全额财政拨款事业编制23人，其中主任1人，副主任2人。现在编在职23人，退休11人。</w:t>
            </w:r>
          </w:p>
          <w:p>
            <w:pPr>
              <w:widowControl/>
              <w:numPr>
                <w:ilvl w:val="0"/>
                <w:numId w:val="0"/>
              </w:numPr>
              <w:spacing w:line="600" w:lineRule="exact"/>
              <w:ind w:firstLine="560" w:firstLineChars="200"/>
              <w:jc w:val="both"/>
              <w:rPr>
                <w:rFonts w:hint="eastAsia" w:ascii="黑体" w:hAnsi="黑体" w:eastAsia="黑体" w:cs="黑体"/>
                <w:color w:val="000000"/>
                <w:kern w:val="0"/>
                <w:sz w:val="28"/>
                <w:szCs w:val="28"/>
              </w:rPr>
            </w:pPr>
            <w:r>
              <w:rPr>
                <w:rFonts w:hint="eastAsia" w:ascii="黑体" w:hAnsi="黑体" w:eastAsia="黑体" w:cs="黑体"/>
                <w:color w:val="000000"/>
                <w:kern w:val="0"/>
                <w:sz w:val="28"/>
                <w:szCs w:val="28"/>
                <w:lang w:val="en-US" w:eastAsia="zh-CN"/>
              </w:rPr>
              <w:t>二、</w:t>
            </w:r>
            <w:r>
              <w:rPr>
                <w:rFonts w:hint="eastAsia" w:ascii="黑体" w:hAnsi="黑体" w:eastAsia="黑体" w:cs="黑体"/>
                <w:color w:val="000000"/>
                <w:kern w:val="0"/>
                <w:sz w:val="28"/>
                <w:szCs w:val="28"/>
              </w:rPr>
              <w:t>单位预算单位构成</w:t>
            </w:r>
          </w:p>
          <w:p>
            <w:pPr>
              <w:pStyle w:val="2"/>
              <w:spacing w:before="0" w:after="0" w:line="240" w:lineRule="auto"/>
              <w:ind w:firstLine="560" w:firstLineChars="200"/>
              <w:jc w:val="both"/>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本单位预算仅含本级预算</w:t>
            </w:r>
          </w:p>
        </w:tc>
      </w:tr>
      <w:tr>
        <w:tblPrEx>
          <w:tblCellMar>
            <w:top w:w="0" w:type="dxa"/>
            <w:left w:w="108" w:type="dxa"/>
            <w:bottom w:w="0" w:type="dxa"/>
            <w:right w:w="108" w:type="dxa"/>
          </w:tblCellMar>
        </w:tblPrEx>
        <w:trPr>
          <w:trHeight w:val="499" w:hRule="atLeast"/>
        </w:trPr>
        <w:tc>
          <w:tcPr>
            <w:tcW w:w="5000" w:type="pct"/>
            <w:tcBorders>
              <w:top w:val="nil"/>
              <w:left w:val="nil"/>
              <w:bottom w:val="nil"/>
              <w:right w:val="nil"/>
            </w:tcBorders>
            <w:shd w:val="clear" w:color="auto" w:fill="auto"/>
            <w:vAlign w:val="center"/>
          </w:tcPr>
          <w:p>
            <w:pPr>
              <w:widowControl/>
              <w:ind w:firstLine="560" w:firstLineChars="200"/>
              <w:jc w:val="both"/>
              <w:rPr>
                <w:rFonts w:ascii="仿宋_GB2312" w:hAnsi="宋体" w:eastAsia="仿宋_GB2312" w:cs="宋体"/>
                <w:color w:val="000000"/>
                <w:kern w:val="0"/>
                <w:sz w:val="28"/>
                <w:szCs w:val="28"/>
              </w:rPr>
            </w:pPr>
            <w:r>
              <w:rPr>
                <w:rFonts w:hint="eastAsia" w:ascii="黑体" w:hAnsi="黑体" w:eastAsia="黑体" w:cs="黑体"/>
                <w:color w:val="000000"/>
                <w:kern w:val="0"/>
                <w:sz w:val="28"/>
                <w:szCs w:val="28"/>
              </w:rPr>
              <w:t>三、单位收支总体情况</w:t>
            </w:r>
          </w:p>
        </w:tc>
      </w:tr>
      <w:tr>
        <w:tblPrEx>
          <w:tblCellMar>
            <w:top w:w="0" w:type="dxa"/>
            <w:left w:w="108" w:type="dxa"/>
            <w:bottom w:w="0" w:type="dxa"/>
            <w:right w:w="108" w:type="dxa"/>
          </w:tblCellMar>
        </w:tblPrEx>
        <w:trPr>
          <w:trHeight w:val="499" w:hRule="atLeast"/>
        </w:trPr>
        <w:tc>
          <w:tcPr>
            <w:tcW w:w="5000" w:type="pct"/>
            <w:tcBorders>
              <w:top w:val="nil"/>
              <w:left w:val="nil"/>
              <w:bottom w:val="nil"/>
              <w:right w:val="nil"/>
            </w:tcBorders>
            <w:shd w:val="clear" w:color="auto" w:fill="auto"/>
            <w:vAlign w:val="center"/>
          </w:tcPr>
          <w:p>
            <w:pPr>
              <w:widowControl/>
              <w:ind w:firstLine="560" w:firstLineChars="200"/>
              <w:jc w:val="both"/>
              <w:rPr>
                <w:rFonts w:ascii="仿宋_GB2312" w:hAnsi="宋体" w:eastAsia="仿宋_GB2312" w:cs="宋体"/>
                <w:color w:val="000000"/>
                <w:kern w:val="0"/>
                <w:sz w:val="28"/>
                <w:szCs w:val="28"/>
              </w:rPr>
            </w:pPr>
            <w:r>
              <w:rPr>
                <w:rFonts w:hint="eastAsia" w:ascii="楷体_GB2312" w:hAnsi="楷体_GB2312" w:eastAsia="楷体_GB2312" w:cs="楷体_GB2312"/>
                <w:color w:val="000000"/>
                <w:kern w:val="0"/>
                <w:sz w:val="28"/>
                <w:szCs w:val="28"/>
              </w:rPr>
              <w:t>（一）收入预算</w:t>
            </w:r>
          </w:p>
        </w:tc>
      </w:tr>
      <w:tr>
        <w:tblPrEx>
          <w:tblCellMar>
            <w:top w:w="0" w:type="dxa"/>
            <w:left w:w="108" w:type="dxa"/>
            <w:bottom w:w="0" w:type="dxa"/>
            <w:right w:w="108" w:type="dxa"/>
          </w:tblCellMar>
        </w:tblPrEx>
        <w:trPr>
          <w:trHeight w:val="2250" w:hRule="atLeast"/>
        </w:trPr>
        <w:tc>
          <w:tcPr>
            <w:tcW w:w="5000" w:type="pct"/>
            <w:tcBorders>
              <w:top w:val="nil"/>
              <w:left w:val="nil"/>
              <w:bottom w:val="nil"/>
              <w:right w:val="nil"/>
            </w:tcBorders>
            <w:shd w:val="clear" w:color="auto" w:fill="auto"/>
            <w:vAlign w:val="center"/>
          </w:tcPr>
          <w:p>
            <w:pPr>
              <w:widowControl/>
              <w:jc w:val="both"/>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 xml:space="preserve">    包括一般公共预算、政府性基金、国有资本经营预算等财政拨款收入，以及经营收入、事业收入等单位资金。2022年本单位收入预算339.79万元，其中，一般公共预算拨款339.79万元，政府性基金预算拨款0万元，所以公开的附件15-17（政府性基金预算）为空,国有资本经营预算拨款0万元，所以公开的附表18（国有资本经营预算）为空,财政专户管理资金0万元，所以公开的附表19表（财政专户管理资金预算）为空，上级补助收入0万元，事业单位经营收入0万元，上年结转结余0万元。</w:t>
            </w:r>
          </w:p>
        </w:tc>
      </w:tr>
      <w:tr>
        <w:tblPrEx>
          <w:tblCellMar>
            <w:top w:w="0" w:type="dxa"/>
            <w:left w:w="108" w:type="dxa"/>
            <w:bottom w:w="0" w:type="dxa"/>
            <w:right w:w="108" w:type="dxa"/>
          </w:tblCellMar>
        </w:tblPrEx>
        <w:trPr>
          <w:trHeight w:val="499" w:hRule="atLeast"/>
        </w:trPr>
        <w:tc>
          <w:tcPr>
            <w:tcW w:w="5000" w:type="pct"/>
            <w:tcBorders>
              <w:top w:val="nil"/>
              <w:left w:val="nil"/>
              <w:bottom w:val="nil"/>
              <w:right w:val="nil"/>
            </w:tcBorders>
            <w:shd w:val="clear" w:color="auto" w:fill="auto"/>
            <w:vAlign w:val="center"/>
          </w:tcPr>
          <w:p>
            <w:pPr>
              <w:widowControl/>
              <w:ind w:firstLine="560" w:firstLineChars="200"/>
              <w:jc w:val="both"/>
              <w:rPr>
                <w:rFonts w:ascii="仿宋_GB2312" w:hAnsi="宋体" w:eastAsia="仿宋_GB2312" w:cs="宋体"/>
                <w:kern w:val="0"/>
                <w:sz w:val="28"/>
                <w:szCs w:val="28"/>
              </w:rPr>
            </w:pPr>
            <w:r>
              <w:rPr>
                <w:rFonts w:hint="eastAsia" w:ascii="仿宋_GB2312" w:hAnsi="宋体" w:eastAsia="仿宋_GB2312" w:cs="宋体"/>
                <w:kern w:val="0"/>
                <w:sz w:val="28"/>
                <w:szCs w:val="28"/>
              </w:rPr>
              <w:t>收入较去年增加157.39万元，主要是因为2022年度本单位绩效工资全额纳入财政预算，并增加了项目支出预算。</w:t>
            </w:r>
          </w:p>
        </w:tc>
      </w:tr>
      <w:tr>
        <w:tblPrEx>
          <w:tblCellMar>
            <w:top w:w="0" w:type="dxa"/>
            <w:left w:w="108" w:type="dxa"/>
            <w:bottom w:w="0" w:type="dxa"/>
            <w:right w:w="108" w:type="dxa"/>
          </w:tblCellMar>
        </w:tblPrEx>
        <w:trPr>
          <w:trHeight w:val="499" w:hRule="atLeast"/>
        </w:trPr>
        <w:tc>
          <w:tcPr>
            <w:tcW w:w="5000" w:type="pct"/>
            <w:tcBorders>
              <w:top w:val="nil"/>
              <w:left w:val="nil"/>
              <w:bottom w:val="nil"/>
              <w:right w:val="nil"/>
            </w:tcBorders>
            <w:shd w:val="clear" w:color="auto" w:fill="auto"/>
            <w:vAlign w:val="center"/>
          </w:tcPr>
          <w:p>
            <w:pPr>
              <w:widowControl/>
              <w:ind w:firstLine="560" w:firstLineChars="200"/>
              <w:jc w:val="both"/>
              <w:rPr>
                <w:rFonts w:ascii="仿宋_GB2312" w:hAnsi="宋体" w:eastAsia="仿宋_GB2312" w:cs="宋体"/>
                <w:color w:val="000000"/>
                <w:kern w:val="0"/>
                <w:sz w:val="28"/>
                <w:szCs w:val="28"/>
              </w:rPr>
            </w:pPr>
            <w:r>
              <w:rPr>
                <w:rFonts w:hint="eastAsia" w:ascii="楷体_GB2312" w:hAnsi="楷体_GB2312" w:eastAsia="楷体_GB2312" w:cs="楷体_GB2312"/>
                <w:color w:val="000000"/>
                <w:kern w:val="0"/>
                <w:sz w:val="28"/>
                <w:szCs w:val="28"/>
              </w:rPr>
              <w:t>（二）支出预算</w:t>
            </w:r>
          </w:p>
        </w:tc>
      </w:tr>
      <w:tr>
        <w:tblPrEx>
          <w:tblCellMar>
            <w:top w:w="0" w:type="dxa"/>
            <w:left w:w="108" w:type="dxa"/>
            <w:bottom w:w="0" w:type="dxa"/>
            <w:right w:w="108" w:type="dxa"/>
          </w:tblCellMar>
        </w:tblPrEx>
        <w:trPr>
          <w:trHeight w:val="1125" w:hRule="atLeast"/>
        </w:trPr>
        <w:tc>
          <w:tcPr>
            <w:tcW w:w="5000" w:type="pct"/>
            <w:tcBorders>
              <w:top w:val="nil"/>
              <w:left w:val="nil"/>
              <w:bottom w:val="nil"/>
              <w:right w:val="nil"/>
            </w:tcBorders>
            <w:shd w:val="clear" w:color="auto" w:fill="auto"/>
            <w:vAlign w:val="center"/>
          </w:tcPr>
          <w:p>
            <w:pPr>
              <w:widowControl/>
              <w:ind w:firstLine="560"/>
              <w:jc w:val="both"/>
              <w:rPr>
                <w:rFonts w:hint="eastAsia" w:ascii="仿宋_GB2312" w:hAnsi="宋体" w:eastAsia="仿宋_GB2312" w:cs="宋体"/>
                <w:kern w:val="0"/>
                <w:sz w:val="28"/>
                <w:szCs w:val="28"/>
              </w:rPr>
            </w:pPr>
            <w:r>
              <w:rPr>
                <w:rFonts w:hint="eastAsia" w:ascii="仿宋_GB2312" w:hAnsi="宋体" w:eastAsia="仿宋_GB2312" w:cs="宋体"/>
                <w:kern w:val="0"/>
                <w:sz w:val="28"/>
                <w:szCs w:val="28"/>
              </w:rPr>
              <w:t>2022年本单位支出预算339.79万元，其中，社会保障和就业支出24.23万元，占比7.13%，卫生健康支出12.4万元，占比3.65%，资源勘探工业信息等支出284.99万元，占比83.87%，住房保障支出18.17万元，占比5.35%。支出较去年增加157.39万元，其中基本支出增加53.35万元，项目支出增加104.04万元。其中基本支出较上年增加主要是因为2022年本单位绩效工资全额纳入财政预算，项目支出增加主要是因为2022年本单位运转类（其他）项目（工会节日福利、基础绩效奖、物业补贴、中餐补助）全额纳入财政预算。</w:t>
            </w:r>
          </w:p>
          <w:p>
            <w:pPr>
              <w:widowControl/>
              <w:ind w:firstLine="560"/>
              <w:jc w:val="both"/>
              <w:rPr>
                <w:rFonts w:hint="default" w:ascii="仿宋_GB2312" w:hAnsi="宋体" w:eastAsia="仿宋_GB2312" w:cs="宋体"/>
                <w:kern w:val="0"/>
                <w:sz w:val="28"/>
                <w:szCs w:val="28"/>
                <w:lang w:val="en-US" w:eastAsia="zh-CN"/>
              </w:rPr>
            </w:pPr>
            <w:r>
              <w:rPr>
                <w:rFonts w:hint="eastAsia" w:ascii="仿宋_GB2312" w:hAnsi="宋体" w:eastAsia="仿宋_GB2312" w:cs="宋体"/>
                <w:kern w:val="0"/>
                <w:sz w:val="28"/>
                <w:szCs w:val="28"/>
                <w:lang w:val="en-US" w:eastAsia="zh-CN"/>
              </w:rPr>
              <w:t>说明：2022年预算公开文档第三大点（对应表3）、第四大点（对应表7）中的金额和百分比，由于预算编制时金额明细到了“分</w:t>
            </w:r>
            <w:r>
              <w:rPr>
                <w:rFonts w:hint="default" w:ascii="仿宋_GB2312" w:hAnsi="宋体" w:eastAsia="仿宋_GB2312" w:cs="宋体"/>
                <w:kern w:val="0"/>
                <w:sz w:val="28"/>
                <w:szCs w:val="28"/>
                <w:lang w:val="en-US" w:eastAsia="zh-CN"/>
              </w:rPr>
              <w:t>”</w:t>
            </w:r>
            <w:r>
              <w:rPr>
                <w:rFonts w:hint="eastAsia" w:ascii="仿宋_GB2312" w:hAnsi="宋体" w:eastAsia="仿宋_GB2312" w:cs="宋体"/>
                <w:kern w:val="0"/>
                <w:sz w:val="28"/>
                <w:szCs w:val="28"/>
                <w:lang w:val="en-US" w:eastAsia="zh-CN"/>
              </w:rPr>
              <w:t>，而公开表格显示和公文档取数只到“百元”，可能导致0.01的尾数差异。</w:t>
            </w:r>
          </w:p>
        </w:tc>
      </w:tr>
      <w:tr>
        <w:tblPrEx>
          <w:tblCellMar>
            <w:top w:w="0" w:type="dxa"/>
            <w:left w:w="108" w:type="dxa"/>
            <w:bottom w:w="0" w:type="dxa"/>
            <w:right w:w="108" w:type="dxa"/>
          </w:tblCellMar>
        </w:tblPrEx>
        <w:trPr>
          <w:trHeight w:val="499" w:hRule="atLeast"/>
        </w:trPr>
        <w:tc>
          <w:tcPr>
            <w:tcW w:w="5000" w:type="pct"/>
            <w:tcBorders>
              <w:top w:val="nil"/>
              <w:left w:val="nil"/>
              <w:bottom w:val="nil"/>
              <w:right w:val="nil"/>
            </w:tcBorders>
            <w:shd w:val="clear" w:color="auto" w:fill="auto"/>
            <w:vAlign w:val="center"/>
          </w:tcPr>
          <w:p>
            <w:pPr>
              <w:widowControl/>
              <w:ind w:firstLine="560" w:firstLineChars="200"/>
              <w:jc w:val="both"/>
              <w:rPr>
                <w:rFonts w:ascii="仿宋_GB2312" w:hAnsi="宋体" w:eastAsia="仿宋_GB2312" w:cs="宋体"/>
                <w:color w:val="000000"/>
                <w:kern w:val="0"/>
                <w:sz w:val="28"/>
                <w:szCs w:val="28"/>
              </w:rPr>
            </w:pPr>
            <w:r>
              <w:rPr>
                <w:rFonts w:hint="eastAsia" w:ascii="黑体" w:hAnsi="黑体" w:eastAsia="黑体" w:cs="黑体"/>
                <w:color w:val="000000"/>
                <w:kern w:val="0"/>
                <w:sz w:val="28"/>
                <w:szCs w:val="28"/>
              </w:rPr>
              <w:t>四、一般公共预算拨款支出预算</w:t>
            </w:r>
          </w:p>
        </w:tc>
      </w:tr>
      <w:tr>
        <w:tblPrEx>
          <w:tblCellMar>
            <w:top w:w="0" w:type="dxa"/>
            <w:left w:w="108" w:type="dxa"/>
            <w:bottom w:w="0" w:type="dxa"/>
            <w:right w:w="108" w:type="dxa"/>
          </w:tblCellMar>
        </w:tblPrEx>
        <w:trPr>
          <w:trHeight w:val="1260" w:hRule="atLeast"/>
        </w:trPr>
        <w:tc>
          <w:tcPr>
            <w:tcW w:w="5000" w:type="pct"/>
            <w:tcBorders>
              <w:top w:val="nil"/>
              <w:left w:val="nil"/>
              <w:bottom w:val="nil"/>
              <w:right w:val="nil"/>
            </w:tcBorders>
            <w:shd w:val="clear" w:color="auto" w:fill="auto"/>
            <w:vAlign w:val="center"/>
          </w:tcPr>
          <w:p>
            <w:pPr>
              <w:widowControl/>
              <w:jc w:val="both"/>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 xml:space="preserve">    2022年本单位一般公共预算拨款支出预算339.79万元，其中，社会保障和就业支出24.23万元，占比7.13%，卫生健康支出12.4万元，占比3.65%，资源勘探工业信息等支出284.99万元，占比83.87%，住房保障支出18.17万元，占比5.35%。具体安排情况如下：</w:t>
            </w:r>
          </w:p>
        </w:tc>
      </w:tr>
      <w:tr>
        <w:tblPrEx>
          <w:tblCellMar>
            <w:top w:w="0" w:type="dxa"/>
            <w:left w:w="108" w:type="dxa"/>
            <w:bottom w:w="0" w:type="dxa"/>
            <w:right w:w="108" w:type="dxa"/>
          </w:tblCellMar>
        </w:tblPrEx>
        <w:trPr>
          <w:trHeight w:val="1125" w:hRule="atLeast"/>
        </w:trPr>
        <w:tc>
          <w:tcPr>
            <w:tcW w:w="5000" w:type="pct"/>
            <w:tcBorders>
              <w:top w:val="nil"/>
              <w:left w:val="nil"/>
              <w:bottom w:val="nil"/>
              <w:right w:val="nil"/>
            </w:tcBorders>
            <w:shd w:val="clear" w:color="auto" w:fill="auto"/>
            <w:vAlign w:val="center"/>
          </w:tcPr>
          <w:p>
            <w:pPr>
              <w:widowControl/>
              <w:jc w:val="both"/>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 xml:space="preserve">    </w:t>
            </w:r>
            <w:r>
              <w:rPr>
                <w:rFonts w:hint="eastAsia" w:ascii="楷体_GB2312" w:hAnsi="楷体_GB2312" w:eastAsia="楷体_GB2312" w:cs="楷体_GB2312"/>
                <w:color w:val="000000"/>
                <w:kern w:val="0"/>
                <w:sz w:val="28"/>
                <w:szCs w:val="28"/>
              </w:rPr>
              <w:t>（一）基本支出：</w:t>
            </w:r>
            <w:r>
              <w:rPr>
                <w:rFonts w:hint="eastAsia" w:ascii="仿宋_GB2312" w:hAnsi="宋体" w:eastAsia="仿宋_GB2312" w:cs="宋体"/>
                <w:color w:val="000000"/>
                <w:kern w:val="0"/>
                <w:sz w:val="28"/>
                <w:szCs w:val="28"/>
              </w:rPr>
              <w:t>2022年基本支出年初预算数为235.75万元（数据来源见表7），是指为保障单位机构正常运转、完成日常工作任务而发生的各项支出，包括用于基本工资、津贴补贴等人员经费以及办公费、印刷费、水电费、差旅费等日常公用经费。</w:t>
            </w:r>
          </w:p>
        </w:tc>
      </w:tr>
      <w:tr>
        <w:tblPrEx>
          <w:tblCellMar>
            <w:top w:w="0" w:type="dxa"/>
            <w:left w:w="108" w:type="dxa"/>
            <w:bottom w:w="0" w:type="dxa"/>
            <w:right w:w="108" w:type="dxa"/>
          </w:tblCellMar>
        </w:tblPrEx>
        <w:trPr>
          <w:trHeight w:val="1500" w:hRule="atLeast"/>
        </w:trPr>
        <w:tc>
          <w:tcPr>
            <w:tcW w:w="5000" w:type="pct"/>
            <w:tcBorders>
              <w:top w:val="nil"/>
              <w:left w:val="nil"/>
              <w:bottom w:val="nil"/>
              <w:right w:val="nil"/>
            </w:tcBorders>
            <w:shd w:val="clear" w:color="auto" w:fill="auto"/>
            <w:vAlign w:val="center"/>
          </w:tcPr>
          <w:p>
            <w:pPr>
              <w:widowControl/>
              <w:jc w:val="both"/>
              <w:rPr>
                <w:rFonts w:ascii="仿宋_GB2312" w:hAnsi="宋体" w:eastAsia="仿宋_GB2312" w:cs="宋体"/>
                <w:kern w:val="0"/>
                <w:sz w:val="28"/>
                <w:szCs w:val="28"/>
              </w:rPr>
            </w:pPr>
            <w:r>
              <w:rPr>
                <w:rFonts w:hint="eastAsia" w:ascii="仿宋_GB2312" w:hAnsi="宋体" w:eastAsia="仿宋_GB2312" w:cs="宋体"/>
                <w:kern w:val="0"/>
                <w:sz w:val="28"/>
                <w:szCs w:val="28"/>
              </w:rPr>
              <w:t xml:space="preserve">    </w:t>
            </w:r>
            <w:r>
              <w:rPr>
                <w:rFonts w:hint="eastAsia" w:ascii="楷体_GB2312" w:hAnsi="楷体_GB2312" w:eastAsia="楷体_GB2312" w:cs="楷体_GB2312"/>
                <w:kern w:val="0"/>
                <w:sz w:val="28"/>
                <w:szCs w:val="28"/>
              </w:rPr>
              <w:t>（二）项目支出：</w:t>
            </w:r>
            <w:r>
              <w:rPr>
                <w:rFonts w:hint="eastAsia" w:ascii="仿宋_GB2312" w:hAnsi="宋体" w:eastAsia="仿宋_GB2312" w:cs="宋体"/>
                <w:kern w:val="0"/>
                <w:sz w:val="28"/>
                <w:szCs w:val="28"/>
              </w:rPr>
              <w:t>2022年项目支出年初预算数为104.04万元，是指单位为完成特定行政工作任务或事业发展目标而发生的支出，包括有关业务工作经费、运行维护经费等。其中：工会节日福利10.2万元，主要用于单位职工工会节日福利的发放；基础绩效奖68万元，主要用于单位职工基础绩效奖的发放等；物业补贴12.24万元，主要用于单位职工物业补贴的发放；中餐补助13.6万元，主要用于单位职工中餐补助的发放。</w:t>
            </w:r>
          </w:p>
        </w:tc>
      </w:tr>
      <w:tr>
        <w:tblPrEx>
          <w:tblCellMar>
            <w:top w:w="0" w:type="dxa"/>
            <w:left w:w="108" w:type="dxa"/>
            <w:bottom w:w="0" w:type="dxa"/>
            <w:right w:w="108" w:type="dxa"/>
          </w:tblCellMar>
        </w:tblPrEx>
        <w:trPr>
          <w:trHeight w:val="499" w:hRule="atLeast"/>
        </w:trPr>
        <w:tc>
          <w:tcPr>
            <w:tcW w:w="5000" w:type="pct"/>
            <w:tcBorders>
              <w:top w:val="nil"/>
              <w:left w:val="nil"/>
              <w:bottom w:val="nil"/>
              <w:right w:val="nil"/>
            </w:tcBorders>
            <w:shd w:val="clear" w:color="auto" w:fill="auto"/>
            <w:vAlign w:val="center"/>
          </w:tcPr>
          <w:p>
            <w:pPr>
              <w:widowControl/>
              <w:ind w:firstLine="560" w:firstLineChars="200"/>
              <w:jc w:val="both"/>
              <w:rPr>
                <w:rFonts w:ascii="仿宋_GB2312" w:hAnsi="宋体" w:eastAsia="仿宋_GB2312" w:cs="宋体"/>
                <w:color w:val="000000"/>
                <w:kern w:val="0"/>
                <w:sz w:val="28"/>
                <w:szCs w:val="28"/>
              </w:rPr>
            </w:pPr>
            <w:r>
              <w:rPr>
                <w:rFonts w:hint="eastAsia" w:ascii="黑体" w:hAnsi="黑体" w:eastAsia="黑体" w:cs="黑体"/>
                <w:color w:val="000000"/>
                <w:kern w:val="0"/>
                <w:sz w:val="28"/>
                <w:szCs w:val="28"/>
              </w:rPr>
              <w:t>五、政府性基金预算支出</w:t>
            </w:r>
          </w:p>
        </w:tc>
      </w:tr>
      <w:tr>
        <w:tblPrEx>
          <w:tblCellMar>
            <w:top w:w="0" w:type="dxa"/>
            <w:left w:w="108" w:type="dxa"/>
            <w:bottom w:w="0" w:type="dxa"/>
            <w:right w:w="108" w:type="dxa"/>
          </w:tblCellMar>
        </w:tblPrEx>
        <w:trPr>
          <w:trHeight w:val="499" w:hRule="atLeast"/>
        </w:trPr>
        <w:tc>
          <w:tcPr>
            <w:tcW w:w="5000" w:type="pct"/>
            <w:tcBorders>
              <w:top w:val="nil"/>
              <w:left w:val="nil"/>
              <w:bottom w:val="nil"/>
              <w:right w:val="nil"/>
            </w:tcBorders>
            <w:shd w:val="clear" w:color="auto" w:fill="auto"/>
            <w:vAlign w:val="center"/>
          </w:tcPr>
          <w:p>
            <w:pPr>
              <w:widowControl/>
              <w:jc w:val="both"/>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 xml:space="preserve">    2022年度本单位无政府性基金安排的支出，所以公开的附件15-17（政府性基金预算）为空。</w:t>
            </w:r>
          </w:p>
        </w:tc>
      </w:tr>
      <w:tr>
        <w:tblPrEx>
          <w:tblCellMar>
            <w:top w:w="0" w:type="dxa"/>
            <w:left w:w="108" w:type="dxa"/>
            <w:bottom w:w="0" w:type="dxa"/>
            <w:right w:w="108" w:type="dxa"/>
          </w:tblCellMar>
        </w:tblPrEx>
        <w:trPr>
          <w:trHeight w:val="499" w:hRule="atLeast"/>
        </w:trPr>
        <w:tc>
          <w:tcPr>
            <w:tcW w:w="5000" w:type="pct"/>
            <w:tcBorders>
              <w:top w:val="nil"/>
              <w:left w:val="nil"/>
              <w:bottom w:val="nil"/>
              <w:right w:val="nil"/>
            </w:tcBorders>
            <w:shd w:val="clear" w:color="auto" w:fill="auto"/>
            <w:vAlign w:val="center"/>
          </w:tcPr>
          <w:p>
            <w:pPr>
              <w:widowControl/>
              <w:ind w:firstLine="560" w:firstLineChars="200"/>
              <w:jc w:val="both"/>
              <w:rPr>
                <w:rFonts w:ascii="仿宋_GB2312" w:hAnsi="宋体" w:eastAsia="仿宋_GB2312" w:cs="宋体"/>
                <w:color w:val="000000"/>
                <w:kern w:val="0"/>
                <w:sz w:val="28"/>
                <w:szCs w:val="28"/>
              </w:rPr>
            </w:pPr>
            <w:r>
              <w:rPr>
                <w:rFonts w:hint="eastAsia" w:ascii="黑体" w:hAnsi="黑体" w:eastAsia="黑体" w:cs="黑体"/>
                <w:color w:val="000000"/>
                <w:kern w:val="0"/>
                <w:sz w:val="28"/>
                <w:szCs w:val="28"/>
              </w:rPr>
              <w:t>六、其他重要事项的情况说明</w:t>
            </w:r>
          </w:p>
        </w:tc>
      </w:tr>
      <w:tr>
        <w:tblPrEx>
          <w:tblCellMar>
            <w:top w:w="0" w:type="dxa"/>
            <w:left w:w="108" w:type="dxa"/>
            <w:bottom w:w="0" w:type="dxa"/>
            <w:right w:w="108" w:type="dxa"/>
          </w:tblCellMar>
        </w:tblPrEx>
        <w:trPr>
          <w:trHeight w:val="499" w:hRule="atLeast"/>
        </w:trPr>
        <w:tc>
          <w:tcPr>
            <w:tcW w:w="5000" w:type="pct"/>
            <w:tcBorders>
              <w:top w:val="nil"/>
              <w:left w:val="nil"/>
              <w:bottom w:val="nil"/>
              <w:right w:val="nil"/>
            </w:tcBorders>
            <w:shd w:val="clear" w:color="auto" w:fill="auto"/>
            <w:vAlign w:val="center"/>
          </w:tcPr>
          <w:p>
            <w:pPr>
              <w:widowControl/>
              <w:ind w:firstLine="560" w:firstLineChars="200"/>
              <w:jc w:val="both"/>
              <w:rPr>
                <w:rFonts w:ascii="仿宋_GB2312" w:hAnsi="宋体" w:eastAsia="仿宋_GB2312" w:cs="宋体"/>
                <w:color w:val="000000"/>
                <w:kern w:val="0"/>
                <w:sz w:val="28"/>
                <w:szCs w:val="28"/>
              </w:rPr>
            </w:pPr>
            <w:r>
              <w:rPr>
                <w:rFonts w:hint="eastAsia" w:ascii="楷体_GB2312" w:hAnsi="楷体_GB2312" w:eastAsia="楷体_GB2312" w:cs="楷体_GB2312"/>
                <w:color w:val="000000"/>
                <w:kern w:val="0"/>
                <w:sz w:val="28"/>
                <w:szCs w:val="28"/>
              </w:rPr>
              <w:t>（一）机关运行经费</w:t>
            </w:r>
          </w:p>
        </w:tc>
      </w:tr>
      <w:tr>
        <w:tblPrEx>
          <w:tblCellMar>
            <w:top w:w="0" w:type="dxa"/>
            <w:left w:w="108" w:type="dxa"/>
            <w:bottom w:w="0" w:type="dxa"/>
            <w:right w:w="108" w:type="dxa"/>
          </w:tblCellMar>
        </w:tblPrEx>
        <w:trPr>
          <w:trHeight w:val="859" w:hRule="atLeast"/>
        </w:trPr>
        <w:tc>
          <w:tcPr>
            <w:tcW w:w="5000" w:type="pct"/>
            <w:tcBorders>
              <w:top w:val="nil"/>
              <w:left w:val="nil"/>
              <w:bottom w:val="nil"/>
              <w:right w:val="nil"/>
            </w:tcBorders>
            <w:shd w:val="clear" w:color="auto" w:fill="auto"/>
            <w:vAlign w:val="center"/>
          </w:tcPr>
          <w:p>
            <w:pPr>
              <w:widowControl/>
              <w:jc w:val="both"/>
              <w:rPr>
                <w:rFonts w:hint="default" w:ascii="仿宋_GB2312" w:hAnsi="宋体" w:eastAsia="仿宋_GB2312" w:cs="宋体"/>
                <w:color w:val="FF0000"/>
                <w:kern w:val="0"/>
                <w:sz w:val="28"/>
                <w:szCs w:val="28"/>
                <w:lang w:val="en-US" w:eastAsia="zh-CN"/>
              </w:rPr>
            </w:pPr>
            <w:r>
              <w:rPr>
                <w:rFonts w:hint="eastAsia" w:ascii="仿宋_GB2312" w:hAnsi="宋体" w:eastAsia="仿宋_GB2312" w:cs="宋体"/>
                <w:color w:val="FF0000"/>
                <w:kern w:val="0"/>
                <w:sz w:val="28"/>
                <w:szCs w:val="28"/>
              </w:rPr>
              <w:t xml:space="preserve">   </w:t>
            </w:r>
            <w:r>
              <w:rPr>
                <w:rFonts w:hint="eastAsia" w:ascii="仿宋_GB2312" w:hAnsi="宋体" w:eastAsia="仿宋_GB2312" w:cs="宋体"/>
                <w:color w:val="auto"/>
                <w:kern w:val="0"/>
                <w:sz w:val="28"/>
                <w:szCs w:val="28"/>
              </w:rPr>
              <w:t xml:space="preserve"> 2022年本单位的机关运行经费26.98万元（数据来源见表12），比上一年增加</w:t>
            </w:r>
            <w:r>
              <w:rPr>
                <w:rFonts w:hint="eastAsia" w:ascii="仿宋_GB2312" w:hAnsi="宋体" w:eastAsia="仿宋_GB2312" w:cs="宋体"/>
                <w:color w:val="auto"/>
                <w:kern w:val="0"/>
                <w:sz w:val="28"/>
                <w:szCs w:val="28"/>
                <w:lang w:val="en-US" w:eastAsia="zh-CN"/>
              </w:rPr>
              <w:t>0.76</w:t>
            </w:r>
            <w:r>
              <w:rPr>
                <w:rFonts w:hint="eastAsia" w:ascii="仿宋_GB2312" w:hAnsi="宋体" w:eastAsia="仿宋_GB2312" w:cs="宋体"/>
                <w:color w:val="auto"/>
                <w:kern w:val="0"/>
                <w:sz w:val="28"/>
                <w:szCs w:val="28"/>
              </w:rPr>
              <w:t>万元，增加</w:t>
            </w:r>
            <w:r>
              <w:rPr>
                <w:rFonts w:hint="eastAsia" w:ascii="仿宋_GB2312" w:hAnsi="宋体" w:eastAsia="仿宋_GB2312" w:cs="宋体"/>
                <w:color w:val="auto"/>
                <w:kern w:val="0"/>
                <w:sz w:val="28"/>
                <w:szCs w:val="28"/>
                <w:lang w:val="en-US" w:eastAsia="zh-CN"/>
              </w:rPr>
              <w:t>2.9</w:t>
            </w:r>
            <w:r>
              <w:rPr>
                <w:rFonts w:hint="eastAsia" w:ascii="仿宋_GB2312" w:hAnsi="宋体" w:eastAsia="仿宋_GB2312" w:cs="宋体"/>
                <w:color w:val="auto"/>
                <w:kern w:val="0"/>
                <w:sz w:val="28"/>
                <w:szCs w:val="28"/>
              </w:rPr>
              <w:t>%。主要原因是</w:t>
            </w:r>
            <w:r>
              <w:rPr>
                <w:rFonts w:hint="eastAsia" w:ascii="仿宋_GB2312" w:hAnsi="宋体" w:eastAsia="仿宋_GB2312" w:cs="宋体"/>
                <w:color w:val="auto"/>
                <w:kern w:val="0"/>
                <w:sz w:val="28"/>
                <w:szCs w:val="28"/>
                <w:lang w:val="en-US" w:eastAsia="zh-CN"/>
              </w:rPr>
              <w:t>单位人员工资总额较上年度有所增加，其对应的公用经费中的工会经费及福利费等费用相应增加。</w:t>
            </w:r>
          </w:p>
        </w:tc>
      </w:tr>
      <w:tr>
        <w:tblPrEx>
          <w:tblCellMar>
            <w:top w:w="0" w:type="dxa"/>
            <w:left w:w="108" w:type="dxa"/>
            <w:bottom w:w="0" w:type="dxa"/>
            <w:right w:w="108" w:type="dxa"/>
          </w:tblCellMar>
        </w:tblPrEx>
        <w:trPr>
          <w:trHeight w:val="499" w:hRule="atLeast"/>
        </w:trPr>
        <w:tc>
          <w:tcPr>
            <w:tcW w:w="5000" w:type="pct"/>
            <w:tcBorders>
              <w:top w:val="nil"/>
              <w:left w:val="nil"/>
              <w:bottom w:val="nil"/>
              <w:right w:val="nil"/>
            </w:tcBorders>
            <w:shd w:val="clear" w:color="auto" w:fill="auto"/>
            <w:vAlign w:val="center"/>
          </w:tcPr>
          <w:p>
            <w:pPr>
              <w:widowControl/>
              <w:ind w:firstLine="560" w:firstLineChars="200"/>
              <w:jc w:val="both"/>
              <w:rPr>
                <w:rFonts w:ascii="仿宋_GB2312" w:hAnsi="宋体" w:eastAsia="仿宋_GB2312" w:cs="宋体"/>
                <w:color w:val="000000"/>
                <w:kern w:val="0"/>
                <w:sz w:val="28"/>
                <w:szCs w:val="28"/>
              </w:rPr>
            </w:pPr>
            <w:r>
              <w:rPr>
                <w:rFonts w:hint="eastAsia" w:ascii="楷体_GB2312" w:hAnsi="楷体_GB2312" w:eastAsia="楷体_GB2312" w:cs="楷体_GB2312"/>
                <w:color w:val="000000"/>
                <w:kern w:val="0"/>
                <w:sz w:val="28"/>
                <w:szCs w:val="28"/>
              </w:rPr>
              <w:t>（二）“三公”经费预算</w:t>
            </w:r>
          </w:p>
        </w:tc>
      </w:tr>
      <w:tr>
        <w:tblPrEx>
          <w:tblCellMar>
            <w:top w:w="0" w:type="dxa"/>
            <w:left w:w="108" w:type="dxa"/>
            <w:bottom w:w="0" w:type="dxa"/>
            <w:right w:w="108" w:type="dxa"/>
          </w:tblCellMar>
        </w:tblPrEx>
        <w:trPr>
          <w:trHeight w:val="1125" w:hRule="atLeast"/>
        </w:trPr>
        <w:tc>
          <w:tcPr>
            <w:tcW w:w="5000" w:type="pct"/>
            <w:tcBorders>
              <w:top w:val="nil"/>
              <w:left w:val="nil"/>
              <w:bottom w:val="nil"/>
              <w:right w:val="nil"/>
            </w:tcBorders>
            <w:shd w:val="clear" w:color="auto" w:fill="auto"/>
            <w:vAlign w:val="center"/>
          </w:tcPr>
          <w:p>
            <w:pPr>
              <w:widowControl/>
              <w:jc w:val="both"/>
              <w:rPr>
                <w:rFonts w:ascii="仿宋_GB2312" w:hAnsi="宋体" w:eastAsia="仿宋_GB2312" w:cs="宋体"/>
                <w:kern w:val="0"/>
                <w:sz w:val="28"/>
                <w:szCs w:val="28"/>
              </w:rPr>
            </w:pPr>
            <w:r>
              <w:rPr>
                <w:rFonts w:hint="eastAsia" w:ascii="仿宋_GB2312" w:hAnsi="宋体" w:eastAsia="仿宋_GB2312" w:cs="宋体"/>
                <w:kern w:val="0"/>
                <w:sz w:val="28"/>
                <w:szCs w:val="28"/>
              </w:rPr>
              <w:t xml:space="preserve">    本单位2022年“三公”经费预算数3万元，其中，公务接待费0万元，因公出国（境）费0万元，公务用车购置及运行费0万元，其中公务用车购置费0万元，公务用车运行费3万元。2022年三公经费预算较上年比较未增加，主要原因是</w:t>
            </w:r>
            <w:r>
              <w:rPr>
                <w:rFonts w:hint="eastAsia" w:ascii="仿宋_GB2312" w:hAnsi="宋体" w:eastAsia="仿宋_GB2312" w:cs="宋体"/>
                <w:kern w:val="0"/>
                <w:sz w:val="28"/>
                <w:szCs w:val="28"/>
                <w:lang w:val="en-US" w:eastAsia="zh-CN"/>
              </w:rPr>
              <w:t>单位公务用车未有增减</w:t>
            </w:r>
            <w:r>
              <w:rPr>
                <w:rFonts w:hint="eastAsia" w:ascii="仿宋_GB2312" w:hAnsi="宋体" w:eastAsia="仿宋_GB2312" w:cs="宋体"/>
                <w:kern w:val="0"/>
                <w:sz w:val="28"/>
                <w:szCs w:val="28"/>
              </w:rPr>
              <w:t>。</w:t>
            </w:r>
          </w:p>
        </w:tc>
      </w:tr>
      <w:tr>
        <w:tblPrEx>
          <w:tblCellMar>
            <w:top w:w="0" w:type="dxa"/>
            <w:left w:w="108" w:type="dxa"/>
            <w:bottom w:w="0" w:type="dxa"/>
            <w:right w:w="108" w:type="dxa"/>
          </w:tblCellMar>
        </w:tblPrEx>
        <w:trPr>
          <w:trHeight w:val="499" w:hRule="atLeast"/>
        </w:trPr>
        <w:tc>
          <w:tcPr>
            <w:tcW w:w="5000" w:type="pct"/>
            <w:tcBorders>
              <w:top w:val="nil"/>
              <w:left w:val="nil"/>
              <w:bottom w:val="nil"/>
              <w:right w:val="nil"/>
            </w:tcBorders>
            <w:shd w:val="clear" w:color="auto" w:fill="auto"/>
            <w:vAlign w:val="center"/>
          </w:tcPr>
          <w:p>
            <w:pPr>
              <w:widowControl/>
              <w:ind w:firstLine="560" w:firstLineChars="200"/>
              <w:jc w:val="both"/>
              <w:rPr>
                <w:rFonts w:ascii="仿宋_GB2312" w:hAnsi="宋体" w:eastAsia="仿宋_GB2312" w:cs="宋体"/>
                <w:color w:val="000000"/>
                <w:kern w:val="0"/>
                <w:sz w:val="28"/>
                <w:szCs w:val="28"/>
              </w:rPr>
            </w:pPr>
            <w:r>
              <w:rPr>
                <w:rFonts w:hint="eastAsia" w:ascii="楷体_GB2312" w:hAnsi="楷体_GB2312" w:eastAsia="楷体_GB2312" w:cs="楷体_GB2312"/>
                <w:color w:val="000000"/>
                <w:kern w:val="0"/>
                <w:sz w:val="28"/>
                <w:szCs w:val="28"/>
              </w:rPr>
              <w:t>（三）一般性支出情况</w:t>
            </w:r>
          </w:p>
        </w:tc>
      </w:tr>
      <w:tr>
        <w:tblPrEx>
          <w:tblCellMar>
            <w:top w:w="0" w:type="dxa"/>
            <w:left w:w="108" w:type="dxa"/>
            <w:bottom w:w="0" w:type="dxa"/>
            <w:right w:w="108" w:type="dxa"/>
          </w:tblCellMar>
        </w:tblPrEx>
        <w:trPr>
          <w:trHeight w:val="1200" w:hRule="atLeast"/>
        </w:trPr>
        <w:tc>
          <w:tcPr>
            <w:tcW w:w="5000" w:type="pct"/>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ascii="仿宋_GB2312" w:hAnsi="宋体" w:eastAsia="仿宋_GB2312" w:cs="宋体"/>
                <w:kern w:val="0"/>
                <w:sz w:val="28"/>
                <w:szCs w:val="28"/>
              </w:rPr>
            </w:pPr>
            <w:r>
              <w:rPr>
                <w:rFonts w:hint="eastAsia" w:ascii="仿宋_GB2312" w:hAnsi="宋体" w:eastAsia="仿宋_GB2312" w:cs="宋体"/>
                <w:kern w:val="0"/>
                <w:sz w:val="28"/>
                <w:szCs w:val="28"/>
              </w:rPr>
              <w:t xml:space="preserve">    本单位2022年会议费预算0万元。2022年度本单位未计划安排会议、培训，未计划举办节庆、晚会、论坛、赛事活动。</w:t>
            </w:r>
          </w:p>
        </w:tc>
      </w:tr>
      <w:tr>
        <w:tblPrEx>
          <w:tblCellMar>
            <w:top w:w="0" w:type="dxa"/>
            <w:left w:w="108" w:type="dxa"/>
            <w:bottom w:w="0" w:type="dxa"/>
            <w:right w:w="108" w:type="dxa"/>
          </w:tblCellMar>
        </w:tblPrEx>
        <w:trPr>
          <w:trHeight w:val="750" w:hRule="atLeast"/>
        </w:trPr>
        <w:tc>
          <w:tcPr>
            <w:tcW w:w="5000" w:type="pct"/>
            <w:tcBorders>
              <w:top w:val="nil"/>
              <w:left w:val="nil"/>
              <w:bottom w:val="nil"/>
              <w:right w:val="nil"/>
            </w:tcBorders>
            <w:shd w:val="clear" w:color="auto" w:fill="auto"/>
            <w:vAlign w:val="center"/>
          </w:tcPr>
          <w:p>
            <w:pPr>
              <w:widowControl/>
              <w:ind w:firstLine="560" w:firstLineChars="200"/>
              <w:jc w:val="both"/>
              <w:rPr>
                <w:rFonts w:hint="eastAsia" w:ascii="仿宋_GB2312" w:hAnsi="宋体" w:eastAsia="仿宋_GB2312" w:cs="宋体"/>
                <w:kern w:val="0"/>
                <w:sz w:val="28"/>
                <w:szCs w:val="28"/>
              </w:rPr>
            </w:pPr>
            <w:r>
              <w:rPr>
                <w:rFonts w:hint="eastAsia" w:ascii="楷体_GB2312" w:hAnsi="楷体_GB2312" w:eastAsia="楷体_GB2312" w:cs="楷体_GB2312"/>
                <w:sz w:val="28"/>
                <w:szCs w:val="28"/>
              </w:rPr>
              <w:t>（四）政府采购情况</w:t>
            </w:r>
          </w:p>
          <w:p>
            <w:pPr>
              <w:widowControl/>
              <w:ind w:firstLine="560" w:firstLineChars="200"/>
              <w:jc w:val="both"/>
              <w:rPr>
                <w:rFonts w:ascii="仿宋_GB2312" w:hAnsi="宋体" w:eastAsia="仿宋_GB2312" w:cs="宋体"/>
                <w:kern w:val="0"/>
                <w:sz w:val="28"/>
                <w:szCs w:val="28"/>
              </w:rPr>
            </w:pPr>
            <w:r>
              <w:rPr>
                <w:rFonts w:hint="eastAsia" w:ascii="仿宋_GB2312" w:hAnsi="宋体" w:eastAsia="仿宋_GB2312" w:cs="宋体"/>
                <w:kern w:val="0"/>
                <w:sz w:val="28"/>
                <w:szCs w:val="28"/>
              </w:rPr>
              <w:t>本单位2022年政府采购预算总额55万元，其中工程类0万元，货物类22万元，服务类33万元。</w:t>
            </w:r>
          </w:p>
        </w:tc>
      </w:tr>
      <w:tr>
        <w:tblPrEx>
          <w:tblCellMar>
            <w:top w:w="0" w:type="dxa"/>
            <w:left w:w="108" w:type="dxa"/>
            <w:bottom w:w="0" w:type="dxa"/>
            <w:right w:w="108" w:type="dxa"/>
          </w:tblCellMar>
        </w:tblPrEx>
        <w:trPr>
          <w:trHeight w:val="499" w:hRule="atLeast"/>
        </w:trPr>
        <w:tc>
          <w:tcPr>
            <w:tcW w:w="5000" w:type="pct"/>
            <w:tcBorders>
              <w:top w:val="nil"/>
              <w:left w:val="nil"/>
              <w:bottom w:val="nil"/>
              <w:right w:val="nil"/>
            </w:tcBorders>
            <w:shd w:val="clear" w:color="auto" w:fill="auto"/>
            <w:vAlign w:val="center"/>
          </w:tcPr>
          <w:p>
            <w:pPr>
              <w:widowControl/>
              <w:ind w:firstLine="560" w:firstLineChars="200"/>
              <w:jc w:val="both"/>
              <w:rPr>
                <w:rFonts w:ascii="仿宋_GB2312" w:hAnsi="宋体" w:eastAsia="仿宋_GB2312" w:cs="宋体"/>
                <w:color w:val="000000"/>
                <w:kern w:val="0"/>
                <w:sz w:val="28"/>
                <w:szCs w:val="28"/>
              </w:rPr>
            </w:pPr>
            <w:r>
              <w:rPr>
                <w:rFonts w:hint="eastAsia" w:ascii="楷体_GB2312" w:hAnsi="楷体_GB2312" w:eastAsia="楷体_GB2312" w:cs="楷体_GB2312"/>
                <w:color w:val="000000"/>
                <w:kern w:val="0"/>
                <w:sz w:val="28"/>
                <w:szCs w:val="28"/>
              </w:rPr>
              <w:t>（五）国有资产占有使用及新增资产配置情况</w:t>
            </w:r>
          </w:p>
        </w:tc>
      </w:tr>
      <w:tr>
        <w:tblPrEx>
          <w:tblCellMar>
            <w:top w:w="0" w:type="dxa"/>
            <w:left w:w="108" w:type="dxa"/>
            <w:bottom w:w="0" w:type="dxa"/>
            <w:right w:w="108" w:type="dxa"/>
          </w:tblCellMar>
        </w:tblPrEx>
        <w:trPr>
          <w:trHeight w:val="3000" w:hRule="atLeast"/>
        </w:trPr>
        <w:tc>
          <w:tcPr>
            <w:tcW w:w="5000" w:type="pct"/>
            <w:tcBorders>
              <w:top w:val="nil"/>
              <w:left w:val="nil"/>
              <w:bottom w:val="nil"/>
              <w:right w:val="nil"/>
            </w:tcBorders>
            <w:shd w:val="clear" w:color="auto" w:fill="auto"/>
            <w:vAlign w:val="center"/>
          </w:tcPr>
          <w:p>
            <w:pPr>
              <w:widowControl/>
              <w:ind w:firstLine="560" w:firstLineChars="200"/>
              <w:jc w:val="both"/>
              <w:rPr>
                <w:rFonts w:hint="eastAsia" w:ascii="仿宋_GB2312" w:hAnsi="宋体" w:eastAsia="仿宋_GB2312" w:cs="宋体"/>
                <w:kern w:val="0"/>
                <w:sz w:val="28"/>
                <w:szCs w:val="28"/>
              </w:rPr>
            </w:pPr>
            <w:r>
              <w:rPr>
                <w:rFonts w:hint="eastAsia" w:ascii="仿宋_GB2312" w:hAnsi="宋体" w:eastAsia="仿宋_GB2312" w:cs="宋体"/>
                <w:kern w:val="0"/>
                <w:sz w:val="28"/>
                <w:szCs w:val="28"/>
              </w:rPr>
              <w:t>截至上年底，本单位共有车辆2辆，其中领导干部用车0辆，一般公务用车0辆，其他用车2辆(一辆执法执勤用车、一辆特种专业技术用车)。单位价值50万元以上通用设备0台，单位价值100万元以上专用设备1台。</w:t>
            </w:r>
          </w:p>
          <w:p>
            <w:pPr>
              <w:widowControl/>
              <w:ind w:firstLine="560" w:firstLineChars="200"/>
              <w:jc w:val="both"/>
              <w:rPr>
                <w:rFonts w:hint="eastAsia" w:ascii="仿宋_GB2312" w:hAnsi="宋体" w:eastAsia="仿宋_GB2312" w:cs="宋体"/>
                <w:kern w:val="0"/>
                <w:sz w:val="28"/>
                <w:szCs w:val="28"/>
              </w:rPr>
            </w:pPr>
            <w:r>
              <w:rPr>
                <w:rFonts w:hint="eastAsia" w:ascii="仿宋_GB2312" w:hAnsi="宋体" w:eastAsia="仿宋_GB2312" w:cs="宋体"/>
                <w:kern w:val="0"/>
                <w:sz w:val="28"/>
                <w:szCs w:val="28"/>
              </w:rPr>
              <w:t>2022年拟报废处置公务用车0辆，拟新增配置车辆0辆，其中领导干部用车0辆，一般公务用车0辆，其他用车0辆。</w:t>
            </w:r>
          </w:p>
          <w:p>
            <w:pPr>
              <w:widowControl/>
              <w:ind w:firstLine="560" w:firstLineChars="200"/>
              <w:jc w:val="both"/>
              <w:rPr>
                <w:rFonts w:ascii="仿宋_GB2312" w:hAnsi="宋体" w:eastAsia="仿宋_GB2312" w:cs="宋体"/>
                <w:kern w:val="0"/>
                <w:sz w:val="28"/>
                <w:szCs w:val="28"/>
              </w:rPr>
            </w:pPr>
            <w:r>
              <w:rPr>
                <w:rFonts w:hint="eastAsia" w:ascii="仿宋_GB2312" w:hAnsi="宋体" w:eastAsia="仿宋_GB2312" w:cs="宋体"/>
                <w:kern w:val="0"/>
                <w:sz w:val="28"/>
                <w:szCs w:val="28"/>
              </w:rPr>
              <w:t>2022年度本单位未计划新增车辆、设备等。</w:t>
            </w:r>
          </w:p>
        </w:tc>
      </w:tr>
      <w:tr>
        <w:tblPrEx>
          <w:tblCellMar>
            <w:top w:w="0" w:type="dxa"/>
            <w:left w:w="108" w:type="dxa"/>
            <w:bottom w:w="0" w:type="dxa"/>
            <w:right w:w="108" w:type="dxa"/>
          </w:tblCellMar>
        </w:tblPrEx>
        <w:trPr>
          <w:trHeight w:val="499" w:hRule="atLeast"/>
        </w:trPr>
        <w:tc>
          <w:tcPr>
            <w:tcW w:w="5000" w:type="pct"/>
            <w:tcBorders>
              <w:top w:val="nil"/>
              <w:left w:val="nil"/>
              <w:bottom w:val="nil"/>
              <w:right w:val="nil"/>
            </w:tcBorders>
            <w:shd w:val="clear" w:color="auto" w:fill="auto"/>
            <w:vAlign w:val="center"/>
          </w:tcPr>
          <w:p>
            <w:pPr>
              <w:widowControl/>
              <w:ind w:firstLine="560" w:firstLineChars="200"/>
              <w:jc w:val="both"/>
              <w:rPr>
                <w:rFonts w:ascii="仿宋_GB2312" w:hAnsi="宋体" w:eastAsia="仿宋_GB2312" w:cs="宋体"/>
                <w:color w:val="000000"/>
                <w:kern w:val="0"/>
                <w:sz w:val="28"/>
                <w:szCs w:val="28"/>
              </w:rPr>
            </w:pPr>
            <w:r>
              <w:rPr>
                <w:rFonts w:hint="eastAsia" w:ascii="楷体_GB2312" w:hAnsi="楷体_GB2312" w:eastAsia="楷体_GB2312" w:cs="楷体_GB2312"/>
                <w:color w:val="000000"/>
                <w:kern w:val="0"/>
                <w:sz w:val="28"/>
                <w:szCs w:val="28"/>
              </w:rPr>
              <w:t>（六）预算绩效目标说明</w:t>
            </w:r>
          </w:p>
        </w:tc>
      </w:tr>
      <w:tr>
        <w:tblPrEx>
          <w:tblCellMar>
            <w:top w:w="0" w:type="dxa"/>
            <w:left w:w="108" w:type="dxa"/>
            <w:bottom w:w="0" w:type="dxa"/>
            <w:right w:w="108" w:type="dxa"/>
          </w:tblCellMar>
        </w:tblPrEx>
        <w:trPr>
          <w:trHeight w:val="1125" w:hRule="atLeast"/>
        </w:trPr>
        <w:tc>
          <w:tcPr>
            <w:tcW w:w="5000" w:type="pct"/>
            <w:tcBorders>
              <w:top w:val="nil"/>
              <w:left w:val="nil"/>
              <w:bottom w:val="nil"/>
              <w:right w:val="nil"/>
            </w:tcBorders>
            <w:shd w:val="clear" w:color="auto" w:fill="auto"/>
            <w:vAlign w:val="center"/>
          </w:tcPr>
          <w:p>
            <w:pPr>
              <w:widowControl/>
              <w:jc w:val="both"/>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 xml:space="preserve">    本单位所有支出实行绩效目标管理。纳入2022年部门整体支出绩效目标的金额为339.79万元，其中，基本支出235.75万元，项目支出104.04万元，详见文尾附表中单位预算公开表格的表21-22。</w:t>
            </w:r>
          </w:p>
        </w:tc>
      </w:tr>
      <w:tr>
        <w:tblPrEx>
          <w:tblCellMar>
            <w:top w:w="0" w:type="dxa"/>
            <w:left w:w="108" w:type="dxa"/>
            <w:bottom w:w="0" w:type="dxa"/>
            <w:right w:w="108" w:type="dxa"/>
          </w:tblCellMar>
        </w:tblPrEx>
        <w:trPr>
          <w:trHeight w:val="499" w:hRule="atLeast"/>
        </w:trPr>
        <w:tc>
          <w:tcPr>
            <w:tcW w:w="5000" w:type="pct"/>
            <w:tcBorders>
              <w:top w:val="nil"/>
              <w:left w:val="nil"/>
              <w:bottom w:val="nil"/>
              <w:right w:val="nil"/>
            </w:tcBorders>
            <w:shd w:val="clear" w:color="auto" w:fill="auto"/>
            <w:vAlign w:val="center"/>
          </w:tcPr>
          <w:p>
            <w:pPr>
              <w:widowControl/>
              <w:ind w:firstLine="560" w:firstLineChars="200"/>
              <w:jc w:val="both"/>
              <w:rPr>
                <w:rFonts w:ascii="仿宋_GB2312" w:hAnsi="宋体" w:eastAsia="仿宋_GB2312" w:cs="宋体"/>
                <w:color w:val="000000"/>
                <w:kern w:val="0"/>
                <w:sz w:val="28"/>
                <w:szCs w:val="28"/>
              </w:rPr>
            </w:pPr>
            <w:r>
              <w:rPr>
                <w:rFonts w:hint="eastAsia" w:ascii="黑体" w:hAnsi="黑体" w:eastAsia="黑体" w:cs="黑体"/>
                <w:color w:val="000000"/>
                <w:kern w:val="0"/>
                <w:sz w:val="28"/>
                <w:szCs w:val="28"/>
              </w:rPr>
              <w:t>七、名词解释</w:t>
            </w:r>
          </w:p>
        </w:tc>
      </w:tr>
      <w:tr>
        <w:tblPrEx>
          <w:tblCellMar>
            <w:top w:w="0" w:type="dxa"/>
            <w:left w:w="108" w:type="dxa"/>
            <w:bottom w:w="0" w:type="dxa"/>
            <w:right w:w="108" w:type="dxa"/>
          </w:tblCellMar>
        </w:tblPrEx>
        <w:trPr>
          <w:trHeight w:val="3000" w:hRule="atLeast"/>
        </w:trPr>
        <w:tc>
          <w:tcPr>
            <w:tcW w:w="5000" w:type="pct"/>
            <w:tcBorders>
              <w:top w:val="nil"/>
              <w:left w:val="nil"/>
              <w:bottom w:val="nil"/>
              <w:right w:val="nil"/>
            </w:tcBorders>
            <w:shd w:val="clear" w:color="auto" w:fill="auto"/>
            <w:vAlign w:val="center"/>
          </w:tcPr>
          <w:p>
            <w:pPr>
              <w:widowControl/>
              <w:jc w:val="left"/>
              <w:rPr>
                <w:rFonts w:hint="eastAsia"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1、机关运行经费：是指各部门的公用经费，包括办公及印刷费、邮电费、差旅费、会议费、福利费、日常维修费、专用资料及一般设备购置费、办公用房水电费、办公用房取暖费、办公用房物业管理费、公务用车运行维护费以及其他费用。</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 xml:space="preserve"> 2、“三公”经费：纳入财政预算管理的“三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pPr>
              <w:widowControl/>
              <w:jc w:val="left"/>
              <w:rPr>
                <w:rFonts w:hint="eastAsia" w:ascii="仿宋_GB2312" w:hAnsi="宋体" w:eastAsia="仿宋_GB2312" w:cs="宋体"/>
                <w:color w:val="000000"/>
                <w:kern w:val="0"/>
                <w:sz w:val="28"/>
                <w:szCs w:val="28"/>
              </w:rPr>
            </w:pPr>
          </w:p>
          <w:p>
            <w:pPr>
              <w:widowControl/>
              <w:jc w:val="left"/>
              <w:rPr>
                <w:rFonts w:hint="eastAsia" w:ascii="仿宋_GB2312" w:hAnsi="宋体" w:eastAsia="仿宋_GB2312" w:cs="宋体"/>
                <w:color w:val="000000"/>
                <w:kern w:val="0"/>
                <w:sz w:val="28"/>
                <w:szCs w:val="28"/>
              </w:rPr>
            </w:pPr>
          </w:p>
          <w:p>
            <w:pPr>
              <w:widowControl/>
              <w:jc w:val="left"/>
              <w:rPr>
                <w:rFonts w:hint="eastAsia" w:ascii="仿宋_GB2312" w:hAnsi="宋体" w:eastAsia="仿宋_GB2312" w:cs="宋体"/>
                <w:color w:val="000000"/>
                <w:kern w:val="0"/>
                <w:sz w:val="28"/>
                <w:szCs w:val="28"/>
              </w:rPr>
            </w:pPr>
          </w:p>
          <w:p>
            <w:pPr>
              <w:widowControl/>
              <w:jc w:val="left"/>
              <w:rPr>
                <w:rFonts w:hint="eastAsia" w:ascii="仿宋_GB2312" w:hAnsi="宋体" w:eastAsia="仿宋_GB2312" w:cs="宋体"/>
                <w:color w:val="000000"/>
                <w:kern w:val="0"/>
                <w:sz w:val="28"/>
                <w:szCs w:val="28"/>
              </w:rPr>
            </w:pPr>
          </w:p>
          <w:p>
            <w:pPr>
              <w:widowControl/>
              <w:jc w:val="left"/>
              <w:rPr>
                <w:rFonts w:hint="eastAsia" w:ascii="仿宋_GB2312" w:hAnsi="宋体" w:eastAsia="仿宋_GB2312" w:cs="宋体"/>
                <w:color w:val="000000"/>
                <w:kern w:val="0"/>
                <w:sz w:val="28"/>
                <w:szCs w:val="28"/>
              </w:rPr>
            </w:pPr>
          </w:p>
          <w:p>
            <w:pPr>
              <w:widowControl/>
              <w:jc w:val="left"/>
              <w:rPr>
                <w:rFonts w:hint="eastAsia" w:ascii="仿宋_GB2312" w:hAnsi="宋体" w:eastAsia="仿宋_GB2312" w:cs="宋体"/>
                <w:color w:val="000000"/>
                <w:kern w:val="0"/>
                <w:sz w:val="28"/>
                <w:szCs w:val="28"/>
              </w:rPr>
            </w:pPr>
          </w:p>
          <w:p>
            <w:pPr>
              <w:widowControl/>
              <w:jc w:val="left"/>
              <w:rPr>
                <w:rFonts w:hint="eastAsia" w:ascii="仿宋_GB2312" w:hAnsi="宋体" w:eastAsia="仿宋_GB2312" w:cs="宋体"/>
                <w:color w:val="000000"/>
                <w:kern w:val="0"/>
                <w:sz w:val="28"/>
                <w:szCs w:val="28"/>
              </w:rPr>
            </w:pPr>
          </w:p>
          <w:p>
            <w:pPr>
              <w:widowControl/>
              <w:jc w:val="left"/>
              <w:rPr>
                <w:rFonts w:hint="eastAsia" w:ascii="仿宋_GB2312" w:hAnsi="宋体" w:eastAsia="仿宋_GB2312" w:cs="宋体"/>
                <w:color w:val="000000"/>
                <w:kern w:val="0"/>
                <w:sz w:val="28"/>
                <w:szCs w:val="28"/>
              </w:rPr>
            </w:pPr>
          </w:p>
          <w:p>
            <w:pPr>
              <w:widowControl/>
              <w:jc w:val="left"/>
              <w:rPr>
                <w:rFonts w:hint="eastAsia" w:ascii="仿宋_GB2312" w:hAnsi="宋体" w:eastAsia="仿宋_GB2312" w:cs="宋体"/>
                <w:color w:val="000000"/>
                <w:kern w:val="0"/>
                <w:sz w:val="28"/>
                <w:szCs w:val="28"/>
              </w:rPr>
            </w:pPr>
          </w:p>
          <w:p>
            <w:pPr>
              <w:widowControl/>
              <w:jc w:val="left"/>
              <w:rPr>
                <w:rFonts w:hint="eastAsia" w:ascii="仿宋_GB2312" w:hAnsi="宋体" w:eastAsia="仿宋_GB2312" w:cs="宋体"/>
                <w:color w:val="000000"/>
                <w:kern w:val="0"/>
                <w:sz w:val="28"/>
                <w:szCs w:val="28"/>
              </w:rPr>
            </w:pPr>
          </w:p>
        </w:tc>
      </w:tr>
      <w:tr>
        <w:tblPrEx>
          <w:tblCellMar>
            <w:top w:w="0" w:type="dxa"/>
            <w:left w:w="108" w:type="dxa"/>
            <w:bottom w:w="0" w:type="dxa"/>
            <w:right w:w="108" w:type="dxa"/>
          </w:tblCellMar>
        </w:tblPrEx>
        <w:trPr>
          <w:trHeight w:val="900" w:hRule="atLeast"/>
        </w:trPr>
        <w:tc>
          <w:tcPr>
            <w:tcW w:w="5000" w:type="pct"/>
            <w:tcBorders>
              <w:top w:val="nil"/>
              <w:left w:val="nil"/>
              <w:bottom w:val="nil"/>
              <w:right w:val="nil"/>
            </w:tcBorders>
            <w:shd w:val="clear" w:color="auto" w:fill="auto"/>
            <w:vAlign w:val="center"/>
          </w:tcPr>
          <w:p>
            <w:pPr>
              <w:widowControl/>
              <w:jc w:val="center"/>
              <w:rPr>
                <w:rFonts w:ascii="黑体" w:hAnsi="黑体" w:eastAsia="黑体" w:cs="宋体"/>
                <w:color w:val="000000"/>
                <w:kern w:val="0"/>
                <w:sz w:val="36"/>
                <w:szCs w:val="36"/>
              </w:rPr>
            </w:pPr>
            <w:r>
              <w:rPr>
                <w:rFonts w:hint="eastAsia" w:ascii="黑体" w:hAnsi="黑体" w:eastAsia="黑体" w:cs="宋体"/>
                <w:color w:val="000000"/>
                <w:kern w:val="0"/>
                <w:sz w:val="36"/>
                <w:szCs w:val="36"/>
              </w:rPr>
              <w:t>第二部分  2022年单位预算公开表格</w:t>
            </w:r>
          </w:p>
        </w:tc>
      </w:tr>
      <w:tr>
        <w:tblPrEx>
          <w:tblCellMar>
            <w:top w:w="0" w:type="dxa"/>
            <w:left w:w="108" w:type="dxa"/>
            <w:bottom w:w="0" w:type="dxa"/>
            <w:right w:w="108" w:type="dxa"/>
          </w:tblCellMar>
        </w:tblPrEx>
        <w:trPr>
          <w:trHeight w:val="8190" w:hRule="atLeast"/>
        </w:trPr>
        <w:tc>
          <w:tcPr>
            <w:tcW w:w="5000" w:type="pct"/>
            <w:tcBorders>
              <w:top w:val="nil"/>
              <w:left w:val="nil"/>
              <w:bottom w:val="nil"/>
              <w:right w:val="nil"/>
            </w:tcBorders>
            <w:shd w:val="clear" w:color="auto" w:fill="auto"/>
            <w:vAlign w:val="center"/>
          </w:tcPr>
          <w:p>
            <w:pPr>
              <w:widowControl/>
              <w:jc w:val="left"/>
              <w:rPr>
                <w:rFonts w:hint="eastAsia"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1、收支总表</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2、收入总表</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3、支出总表</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4、支出预算分类汇总表（按政府预算经济分类）</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5、支出预算分类汇总表（按部门预算经济分类）</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6、财政拨款收支总表</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7、一般公共预算支出表</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8、一般公共预算基本支出表-人员经费（工资福利支出）（按政府预算经济分类）</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9、一般公共预算基本支出表-人员经费（工资福利支出）（按部门预算经济分类）</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10、一般公共预算基本支出表-人员经费（对个人和家庭的补助）（按政府预算经济分类）</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11、一般公共预算基本支出表-人员经费（对个人和家庭的补助）（按部门预算经济分类）</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12、一般公共预算基本支出表-</w:t>
            </w:r>
            <w:r>
              <w:rPr>
                <w:rFonts w:hint="eastAsia" w:ascii="仿宋_GB2312" w:hAnsi="宋体" w:eastAsia="仿宋_GB2312" w:cs="宋体"/>
                <w:color w:val="000000"/>
                <w:kern w:val="0"/>
                <w:sz w:val="28"/>
                <w:szCs w:val="28"/>
                <w:lang w:val="en-US" w:eastAsia="zh-CN"/>
              </w:rPr>
              <w:t>公用</w:t>
            </w:r>
            <w:r>
              <w:rPr>
                <w:rFonts w:hint="eastAsia" w:ascii="仿宋_GB2312" w:hAnsi="宋体" w:eastAsia="仿宋_GB2312" w:cs="宋体"/>
                <w:color w:val="000000"/>
                <w:kern w:val="0"/>
                <w:sz w:val="28"/>
                <w:szCs w:val="28"/>
              </w:rPr>
              <w:t>经费（商品和服务支出）（按政府预算经济分类）</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13、一般公共预算基本支出表-</w:t>
            </w:r>
            <w:r>
              <w:rPr>
                <w:rFonts w:hint="eastAsia" w:ascii="仿宋_GB2312" w:hAnsi="宋体" w:eastAsia="仿宋_GB2312" w:cs="宋体"/>
                <w:color w:val="000000"/>
                <w:kern w:val="0"/>
                <w:sz w:val="28"/>
                <w:szCs w:val="28"/>
                <w:lang w:val="en-US" w:eastAsia="zh-CN"/>
              </w:rPr>
              <w:t>公用</w:t>
            </w:r>
            <w:r>
              <w:rPr>
                <w:rFonts w:hint="eastAsia" w:ascii="仿宋_GB2312" w:hAnsi="宋体" w:eastAsia="仿宋_GB2312" w:cs="宋体"/>
                <w:color w:val="000000"/>
                <w:kern w:val="0"/>
                <w:sz w:val="28"/>
                <w:szCs w:val="28"/>
              </w:rPr>
              <w:t>经费（商品和服务支出）（按部门预算经济分类）</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14、一般公共预算“三公”经费支出表</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15、政府性基金预算支出表</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16、政府性基金预算支出分类汇总表（按政府预算经济分类）</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17、政府性基金预算支出分类汇总表（按部门预算经济分类）</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18、国有资本经营预算支出表</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19、财政专户管理资金预算支出表</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20、专项资金预算汇总表</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21、项目支出绩效目标表</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22、整体支出绩效目标表</w:t>
            </w:r>
          </w:p>
          <w:p>
            <w:pPr>
              <w:widowControl/>
              <w:jc w:val="left"/>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lang w:val="en-US" w:eastAsia="zh-CN"/>
              </w:rPr>
              <w:t>23、一般公共预算基本支出表</w:t>
            </w:r>
            <w:r>
              <w:rPr>
                <w:rFonts w:hint="eastAsia" w:ascii="仿宋_GB2312" w:hAnsi="宋体" w:eastAsia="仿宋_GB2312" w:cs="宋体"/>
                <w:color w:val="000000"/>
                <w:kern w:val="0"/>
                <w:sz w:val="28"/>
                <w:szCs w:val="28"/>
              </w:rPr>
              <w:br w:type="textWrapping"/>
            </w:r>
            <w:r>
              <w:rPr>
                <w:rFonts w:hint="eastAsia" w:ascii="仿宋_GB2312" w:hAnsi="宋体" w:eastAsia="仿宋_GB2312" w:cs="宋体"/>
                <w:color w:val="000000"/>
                <w:kern w:val="0"/>
                <w:sz w:val="28"/>
                <w:szCs w:val="28"/>
              </w:rPr>
              <w:t>注：以上单位预算公开报表中，空表表示本单位无相关收支情况。</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小标宋_GBK">
    <w:altName w:val="宋体"/>
    <w:panose1 w:val="00000000000000000000"/>
    <w:charset w:val="86"/>
    <w:family w:val="roman"/>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8F3513"/>
    <w:rsid w:val="006C304D"/>
    <w:rsid w:val="008F3513"/>
    <w:rsid w:val="0091327D"/>
    <w:rsid w:val="073A09DD"/>
    <w:rsid w:val="37C268AB"/>
    <w:rsid w:val="3C1A378D"/>
    <w:rsid w:val="46523C6D"/>
    <w:rsid w:val="47241DC7"/>
    <w:rsid w:val="5A8A0FBC"/>
    <w:rsid w:val="616139F1"/>
    <w:rsid w:val="6CB23063"/>
    <w:rsid w:val="70025A76"/>
    <w:rsid w:val="73815910"/>
    <w:rsid w:val="7B6F18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qFormat="1" w:unhideWhenUsed="0" w:uiPriority="99"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toa heading"/>
    <w:basedOn w:val="1"/>
    <w:next w:val="1"/>
    <w:qFormat/>
    <w:uiPriority w:val="99"/>
    <w:pPr>
      <w:spacing w:before="120" w:after="200" w:line="276" w:lineRule="auto"/>
    </w:pPr>
    <w:rPr>
      <w:rFonts w:ascii="Arial" w:hAnsi="Arial" w:eastAsia="宋体" w:cs="Times New Roman"/>
      <w:sz w:val="24"/>
      <w:szCs w:val="21"/>
    </w:rPr>
  </w:style>
  <w:style w:type="paragraph" w:styleId="3">
    <w:name w:val="footer"/>
    <w:basedOn w:val="1"/>
    <w:link w:val="8"/>
    <w:semiHidden/>
    <w:unhideWhenUsed/>
    <w:qFormat/>
    <w:uiPriority w:val="99"/>
    <w:pPr>
      <w:tabs>
        <w:tab w:val="center" w:pos="4153"/>
        <w:tab w:val="right" w:pos="8306"/>
      </w:tabs>
      <w:snapToGrid w:val="0"/>
      <w:jc w:val="left"/>
    </w:pPr>
    <w:rPr>
      <w:sz w:val="18"/>
      <w:szCs w:val="18"/>
    </w:rPr>
  </w:style>
  <w:style w:type="paragraph" w:styleId="4">
    <w:name w:val="header"/>
    <w:basedOn w:val="1"/>
    <w:link w:val="7"/>
    <w:semiHidden/>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semiHidden/>
    <w:qFormat/>
    <w:uiPriority w:val="99"/>
    <w:rPr>
      <w:sz w:val="18"/>
      <w:szCs w:val="18"/>
    </w:rPr>
  </w:style>
  <w:style w:type="character" w:customStyle="1" w:styleId="8">
    <w:name w:val="页脚 Char"/>
    <w:basedOn w:val="6"/>
    <w:link w:val="3"/>
    <w:semiHidden/>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9</Pages>
  <Words>581</Words>
  <Characters>3314</Characters>
  <Lines>27</Lines>
  <Paragraphs>7</Paragraphs>
  <TotalTime>9</TotalTime>
  <ScaleCrop>false</ScaleCrop>
  <LinksUpToDate>false</LinksUpToDate>
  <CharactersWithSpaces>3888</CharactersWithSpaces>
  <Application>WPS Office_11.8.6.11825_F1E327BC-269C-435d-A152-05C5408002CA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2023-06-05T04:32:00Z</dcterms:created>
  <dc:creator>微软用户</dc:creator>
  <cp:lastModifiedBy>Tashi Norbu</cp:lastModifiedBy>
  <dcterms:modified xsi:type="dcterms:W3CDTF">2023-09-23T00:33:30Z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ICV">
    <vt:lpwstr>4541FB18A1294F48ACCC00FE3D4EFFD6</vt:lpwstr>
  </property>
</Properties>
</file>