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hint="eastAsia"/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2021年度</w:t>
      </w: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岳阳市交通培训中心</w:t>
      </w:r>
      <w:r>
        <w:rPr>
          <w:rFonts w:hint="eastAsia"/>
          <w:sz w:val="84"/>
          <w:szCs w:val="84"/>
        </w:rPr>
        <w:t>部门决算</w:t>
      </w: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56"/>
          <w:szCs w:val="56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jc w:val="center"/>
        <w:rPr>
          <w:sz w:val="32"/>
          <w:szCs w:val="32"/>
        </w:rPr>
      </w:pPr>
    </w:p>
    <w:p>
      <w:pPr>
        <w:pStyle w:val="12"/>
        <w:spacing w:line="540" w:lineRule="exact"/>
        <w:jc w:val="center"/>
        <w:rPr>
          <w:sz w:val="56"/>
          <w:szCs w:val="56"/>
        </w:rPr>
      </w:pPr>
    </w:p>
    <w:p>
      <w:pPr>
        <w:pStyle w:val="12"/>
        <w:spacing w:line="500" w:lineRule="exact"/>
        <w:jc w:val="center"/>
        <w:rPr>
          <w:b/>
          <w:sz w:val="36"/>
          <w:szCs w:val="28"/>
        </w:rPr>
      </w:pPr>
    </w:p>
    <w:p>
      <w:pPr>
        <w:pStyle w:val="12"/>
        <w:spacing w:line="500" w:lineRule="exact"/>
        <w:jc w:val="center"/>
        <w:rPr>
          <w:b/>
          <w:sz w:val="36"/>
          <w:szCs w:val="28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center"/>
        <w:textAlignment w:val="auto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岳阳市交通培训中心</w:t>
      </w:r>
      <w:r>
        <w:rPr>
          <w:rFonts w:hint="eastAsia"/>
          <w:b/>
          <w:sz w:val="28"/>
          <w:szCs w:val="28"/>
        </w:rPr>
        <w:t>概况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一、部门职责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二、机构设置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及决算单位构成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第二部分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二、收入决算表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三、支出决算表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四、财政拨款收入支出决算总表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五、一般公共预算财政拨款支出决算表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六、一般公共预算财政拨款基本支出决算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明细</w:t>
      </w:r>
      <w:r>
        <w:rPr>
          <w:rFonts w:cs="仿宋_GB2312" w:asciiTheme="minorEastAsia" w:hAnsiTheme="minorEastAsia" w:eastAsiaTheme="minorEastAsia"/>
          <w:sz w:val="28"/>
          <w:szCs w:val="28"/>
        </w:rPr>
        <w:t>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七、一般公共预算财政拨款“三公”经费支出决算表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八、政府性基金预算财政拨款收入支出决算表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九、国有资本经营预算财政拨款支出决算表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仿宋_GB2312" w:hAnsi="仿宋_GB2312" w:cs="仿宋_GB2312"/>
          <w:b/>
          <w:sz w:val="28"/>
          <w:szCs w:val="28"/>
        </w:rPr>
      </w:pPr>
      <w:r>
        <w:rPr>
          <w:rFonts w:hint="eastAsia" w:hAnsi="仿宋_GB2312"/>
          <w:b/>
          <w:sz w:val="28"/>
          <w:szCs w:val="28"/>
        </w:rPr>
        <w:t>第三部分</w:t>
      </w:r>
      <w:r>
        <w:rPr>
          <w:rFonts w:hint="eastAsia" w:hAnsi="仿宋_GB2312"/>
          <w:b/>
          <w:sz w:val="28"/>
          <w:szCs w:val="28"/>
          <w:lang w:val="en-US" w:eastAsia="zh-CN"/>
        </w:rPr>
        <w:t xml:space="preserve">  </w:t>
      </w:r>
      <w:r>
        <w:rPr>
          <w:rFonts w:hAnsi="仿宋_GB2312"/>
          <w:b/>
          <w:sz w:val="28"/>
          <w:szCs w:val="28"/>
        </w:rPr>
        <w:t>20</w:t>
      </w:r>
      <w:r>
        <w:rPr>
          <w:rFonts w:hint="eastAsia" w:hAnsi="仿宋_GB2312"/>
          <w:b/>
          <w:sz w:val="28"/>
          <w:szCs w:val="28"/>
        </w:rPr>
        <w:t>21年度部门决算情况说明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一、收入支出决算总体情况说明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>二、收入决算情况说明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七、一般公共预算财政拨款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“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三公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八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cs="仿宋_GB2312" w:eastAsia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九</w:t>
      </w:r>
      <w:r>
        <w:rPr>
          <w:rFonts w:ascii="仿宋_GB2312" w:hAnsi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国有资本经营预算财政拨款支出决算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十、机关运行经费支出说明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十二、</w:t>
      </w:r>
      <w:r>
        <w:rPr>
          <w:rFonts w:hint="eastAsia" w:ascii="仿宋_GB2312" w:hAnsi="仿宋_GB2312" w:cs="仿宋_GB2312"/>
          <w:color w:val="000000"/>
          <w:kern w:val="0"/>
          <w:sz w:val="28"/>
          <w:szCs w:val="28"/>
        </w:rPr>
        <w:t>政府采购支出说明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十三、国有资产占用情况说明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</w:pP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十四、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2021年</w:t>
      </w:r>
      <w:r>
        <w:rPr>
          <w:rFonts w:hint="eastAsia" w:ascii="仿宋_GB2312" w:hAnsi="仿宋_GB2312" w:cs="仿宋_GB2312" w:eastAsiaTheme="minorEastAsia"/>
          <w:sz w:val="28"/>
          <w:szCs w:val="28"/>
        </w:rPr>
        <w:t>度预算绩效情况说明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黑体"/>
          <w:b/>
          <w:color w:val="000000"/>
          <w:kern w:val="0"/>
          <w:sz w:val="28"/>
          <w:szCs w:val="28"/>
        </w:rPr>
      </w:pP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第四部分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黑体" w:hAnsi="黑体" w:eastAsia="黑体" w:cs="黑体"/>
          <w:b/>
          <w:color w:val="000000"/>
          <w:kern w:val="0"/>
          <w:sz w:val="28"/>
          <w:szCs w:val="28"/>
        </w:rPr>
        <w:t>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ascii="黑体" w:hAnsi="黑体" w:eastAsia="黑体" w:cs="仿宋_GB2312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第五部分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20" w:lineRule="exact"/>
        <w:jc w:val="center"/>
        <w:textAlignment w:val="auto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rPr>
          <w:sz w:val="72"/>
          <w:szCs w:val="72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第一部分</w:t>
      </w:r>
      <w:r>
        <w:rPr>
          <w:sz w:val="84"/>
          <w:szCs w:val="84"/>
        </w:rPr>
        <w:t xml:space="preserve"> </w:t>
      </w:r>
    </w:p>
    <w:p>
      <w:pPr>
        <w:pStyle w:val="12"/>
        <w:jc w:val="center"/>
        <w:rPr>
          <w:sz w:val="84"/>
          <w:szCs w:val="84"/>
        </w:rPr>
      </w:pPr>
    </w:p>
    <w:p>
      <w:pPr>
        <w:pStyle w:val="12"/>
        <w:jc w:val="center"/>
        <w:rPr>
          <w:sz w:val="84"/>
          <w:szCs w:val="84"/>
        </w:rPr>
      </w:pPr>
      <w:r>
        <w:rPr>
          <w:rFonts w:hint="eastAsia"/>
          <w:sz w:val="84"/>
          <w:szCs w:val="84"/>
          <w:lang w:eastAsia="zh-CN"/>
        </w:rPr>
        <w:t>岳阳市交通培训中心</w:t>
      </w:r>
      <w:r>
        <w:rPr>
          <w:rFonts w:hint="eastAsia"/>
          <w:sz w:val="84"/>
          <w:szCs w:val="84"/>
        </w:rPr>
        <w:t>概况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pStyle w:val="13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3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3"/>
        <w:ind w:left="720" w:firstLine="0" w:firstLineChars="0"/>
        <w:jc w:val="left"/>
        <w:rPr>
          <w:rFonts w:ascii="黑体" w:hAnsi="黑体" w:eastAsia="黑体"/>
          <w:sz w:val="32"/>
          <w:szCs w:val="32"/>
        </w:rPr>
      </w:pPr>
    </w:p>
    <w:p>
      <w:pPr>
        <w:pStyle w:val="13"/>
        <w:numPr>
          <w:ilvl w:val="0"/>
          <w:numId w:val="1"/>
        </w:numPr>
        <w:ind w:firstLineChars="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部门职责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Theme="minorEastAsia" w:hAnsiTheme="minorEastAsia" w:eastAsiaTheme="minorEastAsia" w:cstheme="minorBidi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Cs/>
          <w:kern w:val="0"/>
          <w:sz w:val="32"/>
          <w:szCs w:val="32"/>
          <w:lang w:val="en-US" w:eastAsia="zh-CN" w:bidi="ar-SA"/>
        </w:rPr>
        <w:t>从事机动车驾驶员培训、从业资格证培训和交通运输工程建设标准化考评；教练场地经营，房屋租赁。 </w:t>
      </w:r>
    </w:p>
    <w:p>
      <w:pPr>
        <w:widowControl/>
        <w:spacing w:line="600" w:lineRule="exact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二、机构设置及决算单位构成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Theme="minorEastAsia" w:hAnsiTheme="minorEastAsia" w:eastAsiaTheme="minorEastAsia" w:cstheme="minorBidi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（一）内设机构设置。</w:t>
      </w:r>
      <w:r>
        <w:rPr>
          <w:rFonts w:hint="eastAsia" w:asciiTheme="minorEastAsia" w:hAnsiTheme="minorEastAsia" w:eastAsiaTheme="minorEastAsia" w:cstheme="minorBidi"/>
          <w:bCs/>
          <w:kern w:val="0"/>
          <w:sz w:val="32"/>
          <w:szCs w:val="32"/>
          <w:lang w:val="en-US" w:eastAsia="zh-CN" w:bidi="ar-SA"/>
        </w:rPr>
        <w:t>岳阳市交通培训中心内设机构包括：办公室、财务科、从业科、后勤科、纪检监察室。</w:t>
      </w:r>
    </w:p>
    <w:p>
      <w:pPr>
        <w:widowControl/>
        <w:spacing w:line="600" w:lineRule="exact"/>
        <w:ind w:firstLine="960" w:firstLineChars="300"/>
        <w:rPr>
          <w:rFonts w:hint="eastAsia" w:asciiTheme="minorEastAsia" w:hAnsiTheme="minorEastAsia" w:eastAsiaTheme="minorEastAsia"/>
          <w:bCs/>
          <w:i/>
          <w:iCs/>
          <w:color w:val="FF0000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2"/>
        </w:numPr>
        <w:spacing w:line="600" w:lineRule="exact"/>
        <w:rPr>
          <w:rFonts w:asciiTheme="minorEastAsia" w:hAnsiTheme="minorEastAsia"/>
          <w:bCs/>
          <w:kern w:val="0"/>
          <w:sz w:val="32"/>
          <w:szCs w:val="32"/>
        </w:rPr>
      </w:pPr>
      <w:r>
        <w:rPr>
          <w:rFonts w:hint="eastAsia" w:asciiTheme="minorEastAsia" w:hAnsiTheme="minorEastAsia"/>
          <w:bCs/>
          <w:kern w:val="0"/>
          <w:sz w:val="32"/>
          <w:szCs w:val="32"/>
        </w:rPr>
        <w:t>决算单位构成。</w:t>
      </w:r>
      <w:r>
        <w:rPr>
          <w:rFonts w:hint="eastAsia" w:asciiTheme="minorEastAsia" w:hAnsiTheme="minorEastAsia" w:eastAsiaTheme="minorEastAsia" w:cstheme="minorBidi"/>
          <w:bCs/>
          <w:kern w:val="0"/>
          <w:sz w:val="32"/>
          <w:szCs w:val="32"/>
          <w:lang w:val="en-US" w:eastAsia="zh-CN" w:bidi="ar-SA"/>
        </w:rPr>
        <w:t>岳阳市交通培训中心</w:t>
      </w:r>
      <w:r>
        <w:rPr>
          <w:rFonts w:asciiTheme="minorEastAsia" w:hAnsiTheme="minorEastAsia"/>
          <w:bCs/>
          <w:kern w:val="0"/>
          <w:sz w:val="32"/>
          <w:szCs w:val="32"/>
        </w:rPr>
        <w:t>20</w:t>
      </w:r>
      <w:r>
        <w:rPr>
          <w:rFonts w:hint="eastAsia" w:asciiTheme="minorEastAsia" w:hAnsiTheme="minorEastAsia"/>
          <w:bCs/>
          <w:kern w:val="0"/>
          <w:sz w:val="32"/>
          <w:szCs w:val="32"/>
        </w:rPr>
        <w:t>21年部门决算汇总公开单位构成包括：</w:t>
      </w:r>
      <w:r>
        <w:rPr>
          <w:rFonts w:hint="eastAsia" w:asciiTheme="minorEastAsia" w:hAnsiTheme="minorEastAsia"/>
          <w:bCs/>
          <w:kern w:val="0"/>
          <w:sz w:val="32"/>
          <w:szCs w:val="32"/>
          <w:lang w:eastAsia="zh-CN"/>
        </w:rPr>
        <w:t>决算公开数据为本单位本级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第二部分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rFonts w:hint="eastAsia"/>
          <w:sz w:val="72"/>
          <w:szCs w:val="72"/>
        </w:rPr>
      </w:pPr>
      <w:r>
        <w:rPr>
          <w:rFonts w:hint="eastAsia"/>
          <w:sz w:val="72"/>
          <w:szCs w:val="72"/>
        </w:rPr>
        <w:t>部门决算表</w:t>
      </w:r>
    </w:p>
    <w:p>
      <w:pPr>
        <w:jc w:val="center"/>
        <w:rPr>
          <w:rFonts w:hint="eastAsia" w:eastAsiaTheme="minor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（见附件）</w:t>
      </w: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center"/>
        <w:rPr>
          <w:sz w:val="72"/>
          <w:szCs w:val="7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12"/>
        <w:jc w:val="both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第三部分</w:t>
      </w:r>
    </w:p>
    <w:p>
      <w:pPr>
        <w:pStyle w:val="12"/>
        <w:jc w:val="center"/>
        <w:rPr>
          <w:sz w:val="70"/>
          <w:szCs w:val="70"/>
        </w:rPr>
      </w:pPr>
    </w:p>
    <w:p>
      <w:pPr>
        <w:pStyle w:val="12"/>
        <w:jc w:val="center"/>
        <w:rPr>
          <w:sz w:val="70"/>
          <w:szCs w:val="70"/>
        </w:rPr>
      </w:pPr>
      <w:r>
        <w:rPr>
          <w:sz w:val="70"/>
          <w:szCs w:val="70"/>
        </w:rPr>
        <w:t>20</w:t>
      </w:r>
      <w:r>
        <w:rPr>
          <w:rFonts w:hint="eastAsia"/>
          <w:sz w:val="70"/>
          <w:szCs w:val="70"/>
        </w:rPr>
        <w:t>21年度部门决算情况说明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12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万元。与上年相比，减少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81.25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10.5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专项减少。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574.15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574.15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535.72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77.2</w:t>
      </w:r>
      <w:r>
        <w:rPr>
          <w:rFonts w:hint="eastAsia" w:asciiTheme="minorEastAsia" w:hAnsiTheme="minorEastAsia" w:eastAsiaTheme="minorEastAsia"/>
          <w:sz w:val="32"/>
          <w:szCs w:val="32"/>
        </w:rPr>
        <w:t>%；项目支出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158.05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22.8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i/>
          <w:iCs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2021年度财政拨款收、支总计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万元，与上年相比，减少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81.25</w:t>
      </w:r>
      <w:r>
        <w:rPr>
          <w:rFonts w:hint="eastAsia" w:asciiTheme="minorEastAsia" w:hAnsiTheme="minorEastAsia" w:eastAsiaTheme="minorEastAsia"/>
          <w:sz w:val="32"/>
          <w:szCs w:val="32"/>
        </w:rPr>
        <w:t>万元,减少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10.5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专项减少。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12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%，与上年相比，财政拨款支出减少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81.25</w:t>
      </w:r>
      <w:r>
        <w:rPr>
          <w:rFonts w:hint="eastAsia" w:asciiTheme="minorEastAsia" w:hAnsiTheme="minorEastAsia" w:eastAsiaTheme="minorEastAsia"/>
          <w:sz w:val="32"/>
          <w:szCs w:val="32"/>
        </w:rPr>
        <w:t>万元，减少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11.71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专项减少。</w:t>
      </w:r>
    </w:p>
    <w:p>
      <w:pPr>
        <w:pStyle w:val="12"/>
        <w:ind w:firstLine="480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2021年度财政拨款支出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693.77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万元，主要用于以下方面：社会保障和就业支出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（类）34.47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万元，占比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4.9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7%；卫生健康支出（类）14.58万元，占比2.1%；交通运输支出（类）支出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644.72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万元，占比92.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93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%。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693.77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1、社会保障和就业支出（类）行政事业单位养老支出（款）机关事业单位基本养老保险缴费支出（项）年初预算为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31.65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万元，支出决算为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31.65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万元，完成年初预算的100%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2、社会保障和就业支出（类）残疾人事业（款）其他残疾人事业支出（项）年初预算2.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82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万元，决算支出2.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82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万元，完成年初预算的100%。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leftChars="0" w:right="0" w:firstLine="0" w:firstLineChars="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 xml:space="preserve">    3、卫生健康支出（类）行政事业单位医疗（款）事业单位医疗（项）年初预算14.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58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万元，决算支出14.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58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万元，完成年初预算的100%。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4、交通运输支出（类）公路水路运输（款）行政运行（项）年初预算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58.91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万元，决算支出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58.91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万元，完成年初预算的100%。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default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5、交通运输支出（类）公路水路运输（款）公路运输管理（项）年初预算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196.67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万元，决算支出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196.67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万元，完成年初预算的100%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6、交通运输支出（类）其他交通运输支出（款）其他交通运输支出（项）年初预算0万元，决算支出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 w:bidi="ar-SA"/>
        </w:rPr>
        <w:t>389.14</w:t>
      </w: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万元，决算数大于预算数是年未财政追加了资金。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535.71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万元，其中：人员经费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419.24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73</w:t>
      </w:r>
      <w:r>
        <w:rPr>
          <w:rFonts w:hint="eastAsia" w:asciiTheme="minorEastAsia" w:hAnsiTheme="minorEastAsia" w:eastAsiaTheme="minorEastAsia"/>
          <w:sz w:val="32"/>
          <w:szCs w:val="32"/>
        </w:rPr>
        <w:t>%,主要包括主要包括基本工资、津贴补贴、</w:t>
      </w:r>
      <w:r>
        <w:rPr>
          <w:rFonts w:hint="eastAsia" w:asciiTheme="minorEastAsia" w:hAnsiTheme="minorEastAsia" w:eastAsiaTheme="minorEastAsia"/>
          <w:sz w:val="32"/>
          <w:szCs w:val="32"/>
          <w:lang w:val="zh-CN"/>
        </w:rPr>
        <w:t>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Theme="minorEastAsia" w:hAnsiTheme="minorEastAsia" w:eastAsiaTheme="minorEastAsia"/>
          <w:sz w:val="32"/>
          <w:szCs w:val="32"/>
        </w:rPr>
        <w:t>；公用经费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116.47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万元，占基本支出的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七、一般公共预算财政拨款“三公”经费支出决算情况说明</w:t>
      </w:r>
    </w:p>
    <w:p>
      <w:pPr>
        <w:pStyle w:val="12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（一）“三公”经费财政拨款支出决算总体情况说明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3.56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3.56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2.7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2.7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%。决算数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等于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年初预算数的主要原因是单位公务接待制度健全，监控严格把关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  <w:r>
        <w:rPr>
          <w:rFonts w:hint="eastAsia"/>
          <w:sz w:val="28"/>
          <w:szCs w:val="28"/>
          <w:lang w:eastAsia="zh-CN"/>
        </w:rPr>
        <w:t>与上年相比减少</w:t>
      </w:r>
      <w:r>
        <w:rPr>
          <w:rFonts w:hint="eastAsia"/>
          <w:sz w:val="28"/>
          <w:szCs w:val="28"/>
          <w:lang w:val="en-US" w:eastAsia="zh-CN"/>
        </w:rPr>
        <w:t>0.01万元，减少0.37%。减少的主要原因是遵循厉行节约的原则。</w:t>
      </w:r>
    </w:p>
    <w:p>
      <w:pPr>
        <w:pStyle w:val="12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公务用车运行维护费支出预算为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0.86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0.86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%，决算数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等于</w:t>
      </w:r>
      <w:r>
        <w:rPr>
          <w:rFonts w:hint="eastAsia" w:asciiTheme="minorEastAsia" w:hAnsiTheme="minorEastAsia" w:eastAsiaTheme="minorEastAsia"/>
          <w:sz w:val="32"/>
          <w:szCs w:val="32"/>
        </w:rPr>
        <w:t>年初预算数的主要原因是加强公务用车管理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  <w:r>
        <w:rPr>
          <w:rFonts w:hint="eastAsia"/>
          <w:sz w:val="28"/>
          <w:szCs w:val="28"/>
          <w:lang w:eastAsia="zh-CN"/>
        </w:rPr>
        <w:t>与上年相比减少</w:t>
      </w:r>
      <w:r>
        <w:rPr>
          <w:rFonts w:hint="eastAsia"/>
          <w:sz w:val="28"/>
          <w:szCs w:val="28"/>
          <w:lang w:val="en-US" w:eastAsia="zh-CN"/>
        </w:rPr>
        <w:t>0.03万元，减少3.49%。减少的主要原因是遵循厉行节约的原则。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因公出国（境）费支出预算为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sz w:val="28"/>
          <w:szCs w:val="28"/>
        </w:rPr>
        <w:t>万元，支出决算为0万元，</w:t>
      </w:r>
      <w:r>
        <w:rPr>
          <w:rFonts w:hint="eastAsia"/>
          <w:sz w:val="28"/>
          <w:szCs w:val="28"/>
          <w:lang w:eastAsia="zh-CN"/>
        </w:rPr>
        <w:t>本年度无出国（境）费，由于预算数为0，无法计算百分比。决算数等于预算数的原因是制度健全，严格把关。</w:t>
      </w:r>
      <w:r>
        <w:rPr>
          <w:rFonts w:hint="eastAsia"/>
          <w:sz w:val="28"/>
          <w:szCs w:val="28"/>
          <w:lang w:val="en-US" w:eastAsia="zh-CN"/>
        </w:rPr>
        <w:t>与上年相比持平，原因是制度健全，严格把关。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公务用车购置费</w:t>
      </w:r>
      <w:r>
        <w:rPr>
          <w:rFonts w:hint="eastAsia"/>
          <w:sz w:val="28"/>
          <w:szCs w:val="28"/>
          <w:lang w:eastAsia="zh-CN"/>
        </w:rPr>
        <w:t>支出预算为</w:t>
      </w:r>
      <w:r>
        <w:rPr>
          <w:rFonts w:hint="eastAsia"/>
          <w:sz w:val="28"/>
          <w:szCs w:val="28"/>
          <w:lang w:val="en-US" w:eastAsia="zh-CN"/>
        </w:rPr>
        <w:t>0万元，支出决算为0万元，由于预算数为0，无法计算百分比。决算数等于预算数的原因是制度健全，严格把关。</w:t>
      </w:r>
      <w:r>
        <w:rPr>
          <w:rFonts w:hint="eastAsia"/>
          <w:sz w:val="28"/>
          <w:szCs w:val="28"/>
          <w:lang w:eastAsia="zh-CN"/>
        </w:rPr>
        <w:t>本年度无出国（境）费，</w:t>
      </w:r>
      <w:r>
        <w:rPr>
          <w:rFonts w:hint="eastAsia"/>
          <w:sz w:val="28"/>
          <w:szCs w:val="28"/>
          <w:lang w:val="en-US" w:eastAsia="zh-CN"/>
        </w:rPr>
        <w:t>与上年相比持平，原因是制度健全，严格把关。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12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（二）“三公”经费财政拨款支出决算具体情况说明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2021年度“三公”经费财政拨款支出决算中，公务接待费支出决算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2.7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75.8</w:t>
      </w:r>
      <w:r>
        <w:rPr>
          <w:rFonts w:hint="eastAsia" w:asciiTheme="minorEastAsia" w:hAnsiTheme="minorEastAsia" w:eastAsiaTheme="minorEastAsia"/>
          <w:sz w:val="32"/>
          <w:szCs w:val="32"/>
        </w:rPr>
        <w:t>%,因公出国（境）费支出决算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%,公务用车购置费及运行维护费支出决算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0.86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24.2</w:t>
      </w:r>
      <w:r>
        <w:rPr>
          <w:rFonts w:hint="eastAsia" w:asciiTheme="minorEastAsia" w:hAnsiTheme="minorEastAsia" w:eastAsiaTheme="minorEastAsia"/>
          <w:sz w:val="32"/>
          <w:szCs w:val="32"/>
        </w:rPr>
        <w:t>%。其中：</w:t>
      </w:r>
    </w:p>
    <w:p>
      <w:pPr>
        <w:pStyle w:val="12"/>
        <w:numPr>
          <w:ilvl w:val="0"/>
          <w:numId w:val="3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公务接待费支出决算为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2.7</w:t>
      </w:r>
      <w:r>
        <w:rPr>
          <w:rFonts w:hint="eastAsia" w:asciiTheme="minorEastAsia" w:hAnsiTheme="minorEastAsia" w:eastAsiaTheme="minorEastAsia"/>
          <w:sz w:val="32"/>
          <w:szCs w:val="32"/>
        </w:rPr>
        <w:t>万元，全年共接待来访团组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72</w:t>
      </w:r>
      <w:r>
        <w:rPr>
          <w:rFonts w:hint="eastAsia" w:asciiTheme="minorEastAsia" w:hAnsiTheme="minorEastAsia" w:eastAsiaTheme="minorEastAsia"/>
          <w:sz w:val="32"/>
          <w:szCs w:val="32"/>
        </w:rPr>
        <w:t>个、来宾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675</w:t>
      </w:r>
      <w:r>
        <w:rPr>
          <w:rFonts w:hint="eastAsia" w:asciiTheme="minorEastAsia" w:hAnsiTheme="minorEastAsia" w:eastAsiaTheme="minorEastAsia"/>
          <w:sz w:val="32"/>
          <w:szCs w:val="32"/>
        </w:rPr>
        <w:t>人次，主要是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培训业务</w:t>
      </w:r>
      <w:r>
        <w:rPr>
          <w:rFonts w:hint="eastAsia" w:asciiTheme="minorEastAsia" w:hAnsiTheme="minorEastAsia" w:eastAsiaTheme="minorEastAsia"/>
          <w:sz w:val="32"/>
          <w:szCs w:val="32"/>
        </w:rPr>
        <w:t>发生的接待支出。</w:t>
      </w:r>
    </w:p>
    <w:p>
      <w:pPr>
        <w:pStyle w:val="12"/>
        <w:ind w:firstLine="960" w:firstLineChars="3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/>
          <w:sz w:val="32"/>
          <w:szCs w:val="32"/>
        </w:rPr>
        <w:t>因公出国（境）费支出决算为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万元，全年安排因公出国（境）团组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个，累计</w:t>
      </w:r>
      <w:r>
        <w:rPr>
          <w:rFonts w:ascii="宋体" w:hAnsi="宋体" w:eastAsia="宋体"/>
          <w:sz w:val="32"/>
          <w:szCs w:val="32"/>
        </w:rPr>
        <w:t>0</w:t>
      </w:r>
      <w:r>
        <w:rPr>
          <w:rFonts w:hint="eastAsia" w:ascii="宋体" w:hAnsi="宋体" w:eastAsia="宋体"/>
          <w:sz w:val="32"/>
          <w:szCs w:val="32"/>
        </w:rPr>
        <w:t>人次。</w:t>
      </w:r>
    </w:p>
    <w:p>
      <w:pPr>
        <w:ind w:firstLine="800" w:firstLineChars="25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3、公务用车购置费及运行维护费支出决算为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0.86</w:t>
      </w:r>
      <w:r>
        <w:rPr>
          <w:rFonts w:hint="eastAsia" w:asciiTheme="minorEastAsia" w:hAnsiTheme="minorEastAsia"/>
          <w:sz w:val="32"/>
          <w:szCs w:val="32"/>
        </w:rPr>
        <w:t>万元，其中：公务用车购置费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万元，公务用车运行维护费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0.86</w:t>
      </w:r>
      <w:r>
        <w:rPr>
          <w:rFonts w:hint="eastAsia" w:asciiTheme="minorEastAsia" w:hAnsiTheme="minorEastAsia"/>
          <w:sz w:val="32"/>
          <w:szCs w:val="32"/>
        </w:rPr>
        <w:t>万元，主要是</w:t>
      </w:r>
      <w:r>
        <w:rPr>
          <w:rFonts w:hint="eastAsia" w:asciiTheme="minorEastAsia" w:hAnsiTheme="minorEastAsia"/>
          <w:sz w:val="32"/>
          <w:szCs w:val="32"/>
          <w:lang w:eastAsia="zh-CN"/>
        </w:rPr>
        <w:t>公务用车加油及维修</w:t>
      </w:r>
      <w:r>
        <w:rPr>
          <w:rFonts w:hint="eastAsia" w:asciiTheme="minorEastAsia" w:hAnsiTheme="minorEastAsia"/>
          <w:sz w:val="32"/>
          <w:szCs w:val="32"/>
        </w:rPr>
        <w:t>支出，截止2021年12月31日，我单位开支财政拨款的公务用车保有量为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/>
          <w:sz w:val="32"/>
          <w:szCs w:val="32"/>
        </w:rPr>
        <w:t>辆。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岳阳市交通培训中心无政府性基金收支。</w:t>
      </w:r>
    </w:p>
    <w:p>
      <w:pPr>
        <w:pStyle w:val="12"/>
        <w:numPr>
          <w:ilvl w:val="0"/>
          <w:numId w:val="4"/>
        </w:numPr>
        <w:rPr>
          <w:rFonts w:hint="eastAsia" w:hAnsi="黑体"/>
          <w:b/>
          <w:sz w:val="32"/>
          <w:szCs w:val="32"/>
          <w:lang w:eastAsia="zh-CN"/>
        </w:rPr>
      </w:pPr>
      <w:r>
        <w:rPr>
          <w:rFonts w:hint="eastAsia" w:hAnsi="黑体"/>
          <w:b/>
          <w:sz w:val="32"/>
          <w:szCs w:val="32"/>
        </w:rPr>
        <w:t>国有资本经营预算财政拨款支出决算</w:t>
      </w:r>
      <w:r>
        <w:rPr>
          <w:rFonts w:hint="eastAsia" w:hAnsi="黑体"/>
          <w:b/>
          <w:sz w:val="32"/>
          <w:szCs w:val="32"/>
          <w:lang w:eastAsia="zh-CN"/>
        </w:rPr>
        <w:t>情况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岳阳市交通培训中心无国有资本经营预算财政拨款支出。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十、机关运行经费支出说明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val="en-US" w:eastAsia="zh-CN" w:bidi="ar-SA"/>
        </w:rPr>
        <w:t>岳阳市交通培训中心无机关运行经费支出。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2021年本部门开支会议费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0.47</w:t>
      </w:r>
      <w:r>
        <w:rPr>
          <w:rFonts w:hint="eastAsia" w:asciiTheme="minorEastAsia" w:hAnsiTheme="minorEastAsia" w:eastAsiaTheme="minorEastAsia"/>
          <w:sz w:val="32"/>
          <w:szCs w:val="32"/>
        </w:rPr>
        <w:t>万元，用于召开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培训</w:t>
      </w:r>
      <w:r>
        <w:rPr>
          <w:rFonts w:hint="eastAsia" w:asciiTheme="minorEastAsia" w:hAnsiTheme="minorEastAsia" w:eastAsiaTheme="minorEastAsia"/>
          <w:sz w:val="32"/>
          <w:szCs w:val="32"/>
        </w:rPr>
        <w:t>会议，人数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118</w:t>
      </w:r>
      <w:r>
        <w:rPr>
          <w:rFonts w:hint="eastAsia" w:asciiTheme="minorEastAsia" w:hAnsiTheme="minorEastAsia" w:eastAsiaTheme="minorEastAsia"/>
          <w:sz w:val="32"/>
          <w:szCs w:val="32"/>
        </w:rPr>
        <w:t>人，内容为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出租车、客货运培训会议。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2021年我单位未举办节庆、晚会、论坛、赛事活动，无此类支出，金额0万元。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十二、政府采购支出说明</w:t>
      </w:r>
    </w:p>
    <w:p>
      <w:pPr>
        <w:pStyle w:val="12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本部门2021年度政府采购支出总额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万元，其中：政府采购货物支出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万元、政府采购工程支出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万元、政府采购服务支出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万元。授予中小企业合同金额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万元，占政府采购支出总额的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%，其中：授予小微企业合同金额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万元，占授予中小企业合同金额的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%；货物采购授予中小企业合同金额占货物支出金额的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%，工程采购授予中小企业合同金额占工程支出金额的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%，服务采购授予中小企业合同金额占服务支出金额的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%。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十三、国有资产占用情况说明</w:t>
      </w:r>
    </w:p>
    <w:p>
      <w:pPr>
        <w:pStyle w:val="12"/>
        <w:ind w:firstLine="640" w:firstLineChars="20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截至2021年12月31日，部门（单位）共有车辆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辆，其中，主要领导干部用车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辆，机要通信用车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辆、应急保障用车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辆、执法执勤用车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辆、特种专业技术用车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辆、其他用车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辆，单位价值50万元以上通用设备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台（套）；单位价值100万元以上专用设备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32"/>
          <w:szCs w:val="32"/>
        </w:rPr>
        <w:t>台（套）。</w:t>
      </w:r>
    </w:p>
    <w:p>
      <w:pPr>
        <w:pStyle w:val="12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十四、</w:t>
      </w:r>
      <w:r>
        <w:rPr>
          <w:rFonts w:hint="eastAsia" w:hAnsi="黑体"/>
          <w:b/>
          <w:sz w:val="32"/>
          <w:szCs w:val="32"/>
        </w:rPr>
        <w:t>2021年度预算绩效情况说明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根据预算绩效管理要求，我部门组织对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2021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年度一般公共预算项目支出全面开展绩效自评，其中，一级项目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个，二级项目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158.05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万元，占一般公共预算项目支出总额的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2021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个政府性基金预算项目支出开展绩效自评，共涉及资金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万元，占政府性基金预算项目支出总额的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。组织对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 xml:space="preserve">2021 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年度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个国有资本经营预算项目支出开展绩效自评，共涉及资金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万元，占国有资本经营预算项目支出总额的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%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组织对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个项目开展了部门评价，涉及一般公共预算支出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158.05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万元，政府性基金预算支出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万元，国有资本经营预算支出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万元。从评价情况来看，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我中心严格按照年初预算安排，强化监督，专款专用。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我中心根据绩效评定指标进行量化评价，2021年度部门整体支出财政下拨资金管理规范，政策执行有力，有效发挥了财政资金的使用效率，综合考评等级为优。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部门决算中项目绩效自评结果：本单位无重点项目支出，故未开展重点项目自评，无重点项目自评结果。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主要绩效情况如下：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我中心将规范会计核算工作，强化会计监督、审查责任，按相关制度规定做好决算报表填报归集工作；同时设计专项经费与财政绩效考核相匹配的报表，分月单独核算，以便其分析专项经费投入使用情况，为下期拨款提供更为直观依据。</w:t>
      </w:r>
    </w:p>
    <w:p>
      <w:pPr>
        <w:pStyle w:val="12"/>
        <w:rPr>
          <w:sz w:val="72"/>
          <w:szCs w:val="72"/>
        </w:rPr>
      </w:pPr>
    </w:p>
    <w:p>
      <w:pPr>
        <w:pStyle w:val="12"/>
        <w:jc w:val="both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二、机关运行经费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sz w:val="28"/>
          <w:szCs w:val="28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三、</w:t>
      </w:r>
      <w:r>
        <w:rPr>
          <w:rFonts w:hint="eastAsia"/>
          <w:sz w:val="28"/>
          <w:szCs w:val="28"/>
          <w:lang w:eastAsia="zh-CN"/>
        </w:rPr>
        <w:t>公用</w:t>
      </w:r>
      <w:r>
        <w:rPr>
          <w:sz w:val="28"/>
          <w:szCs w:val="28"/>
        </w:rPr>
        <w:t>经费：是指各部门的公用经费，包括办公及印刷费、邮电费、差旅费、会议费、福利费、日常维修费、一般设备购置费、办公用房水电费、办公用房物业管理费、公务用车运行维护费以及其他费用。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</w:p>
    <w:p>
      <w:pPr>
        <w:pStyle w:val="12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第五部分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附件</w:t>
      </w:r>
    </w:p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ascii="黑体" w:eastAsia="黑体" w:cs="黑体"/>
          <w:color w:val="000000"/>
          <w:kern w:val="0"/>
          <w:sz w:val="70"/>
          <w:szCs w:val="70"/>
        </w:rPr>
        <w:br w:type="page"/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ind w:firstLine="640" w:firstLineChars="200"/>
        <w:jc w:val="left"/>
        <w:rPr>
          <w:rFonts w:hint="eastAsia" w:cs="黑体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1、2021年部门决算公开表格</w:t>
      </w:r>
    </w:p>
    <w:p>
      <w:pPr>
        <w:ind w:firstLine="640" w:firstLineChars="200"/>
        <w:jc w:val="left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2021年度部门整体支出绩效评价报告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</w:rPr>
        <w:t>………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6A298D"/>
    <w:multiLevelType w:val="singleLevel"/>
    <w:tmpl w:val="B16A298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5F40D2"/>
    <w:multiLevelType w:val="singleLevel"/>
    <w:tmpl w:val="FC5F40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C279B0"/>
    <w:multiLevelType w:val="singleLevel"/>
    <w:tmpl w:val="64C279B0"/>
    <w:lvl w:ilvl="0" w:tentative="0">
      <w:start w:val="1"/>
      <w:numFmt w:val="decimal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3874</Words>
  <Characters>4257</Characters>
  <Lines>69</Lines>
  <Paragraphs>19</Paragraphs>
  <ScaleCrop>false</ScaleCrop>
  <LinksUpToDate>false</LinksUpToDate>
  <CharactersWithSpaces>4284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2020-07-03T02:32:00Z</dcterms:created>
  <dc:creator>李航 null</dc:creator>
  <cp:lastModifiedBy>iPhone11</cp:lastModifiedBy>
  <cp:lastPrinted>2022-07-28T12:55:00Z</cp:lastPrinted>
  <dcterms:modified xsi:type="dcterms:W3CDTF">2023-09-23T10:59:55Z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2052-12.3.2</vt:lpwstr>
  </property>
  <property fmtid="{D5CDD505-2E9C-101B-9397-08002B2CF9AE}" pid="3" name="ICV">
    <vt:lpwstr>47D779E7FC0E44319EE975684B78341A_13</vt:lpwstr>
  </property>
</Properties>
</file>