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4"/>
                <w:szCs w:val="44"/>
              </w:rPr>
            </w:pPr>
            <w:r>
              <w:rPr>
                <w:rFonts w:hint="eastAsia" w:ascii="方正小标宋_GBK" w:hAnsi="宋体" w:eastAsia="方正小标宋_GBK" w:cs="宋体"/>
                <w:color w:val="000000"/>
                <w:kern w:val="0"/>
                <w:sz w:val="44"/>
                <w:szCs w:val="44"/>
              </w:rPr>
              <w:t>岳阳市卫生健康委员会2022年度部门预算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2022年部门预算说明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2022年部门预算公开表格</w:t>
            </w:r>
          </w:p>
        </w:tc>
      </w:tr>
      <w:tr>
        <w:tblPrEx>
          <w:tblCellMar>
            <w:top w:w="0" w:type="dxa"/>
            <w:left w:w="108" w:type="dxa"/>
            <w:bottom w:w="0" w:type="dxa"/>
            <w:right w:w="108" w:type="dxa"/>
          </w:tblCellMar>
        </w:tblPrEx>
        <w:trPr>
          <w:trHeight w:val="4519"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23、一般公共预算基本支出表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519"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2022年部门预算说明</w:t>
            </w:r>
          </w:p>
        </w:tc>
      </w:tr>
      <w:tr>
        <w:tblPrEx>
          <w:tblCellMar>
            <w:top w:w="0" w:type="dxa"/>
            <w:left w:w="108" w:type="dxa"/>
            <w:bottom w:w="0" w:type="dxa"/>
            <w:right w:w="108" w:type="dxa"/>
          </w:tblCellMar>
        </w:tblPrEx>
        <w:trPr>
          <w:trHeight w:val="3375" w:hRule="atLeast"/>
        </w:trPr>
        <w:tc>
          <w:tcPr>
            <w:tcW w:w="5000" w:type="pct"/>
            <w:tcBorders>
              <w:top w:val="nil"/>
              <w:left w:val="nil"/>
              <w:bottom w:val="nil"/>
              <w:right w:val="nil"/>
            </w:tcBorders>
            <w:shd w:val="clear" w:color="auto" w:fill="auto"/>
            <w:vAlign w:val="center"/>
          </w:tcPr>
          <w:p>
            <w:pPr>
              <w:pStyle w:val="4"/>
              <w:spacing w:before="0" w:beforeAutospacing="0" w:after="0" w:afterAutospacing="0" w:line="480" w:lineRule="auto"/>
              <w:ind w:firstLine="480"/>
              <w:jc w:val="both"/>
              <w:rPr>
                <w:rFonts w:ascii="仿宋_GB2312" w:eastAsia="仿宋_GB2312"/>
                <w:color w:val="000000"/>
                <w:sz w:val="28"/>
                <w:szCs w:val="28"/>
              </w:rPr>
            </w:pPr>
            <w:r>
              <w:rPr>
                <w:rFonts w:hint="eastAsia" w:ascii="仿宋_GB2312" w:eastAsia="仿宋_GB2312"/>
                <w:color w:val="000000"/>
                <w:sz w:val="28"/>
                <w:szCs w:val="28"/>
              </w:rPr>
              <w:t>一、部门基本概况</w:t>
            </w:r>
            <w:r>
              <w:rPr>
                <w:rFonts w:hint="eastAsia" w:ascii="仿宋_GB2312" w:eastAsia="仿宋_GB2312"/>
                <w:color w:val="000000"/>
                <w:sz w:val="28"/>
                <w:szCs w:val="28"/>
              </w:rPr>
              <w:br w:type="textWrapping"/>
            </w:r>
            <w:r>
              <w:rPr>
                <w:rFonts w:hint="eastAsia" w:ascii="仿宋_GB2312" w:eastAsia="仿宋_GB2312"/>
                <w:color w:val="000000"/>
                <w:sz w:val="28"/>
                <w:szCs w:val="28"/>
              </w:rPr>
              <w:t xml:space="preserve">    （一）职能职责</w:t>
            </w:r>
            <w:r>
              <w:rPr>
                <w:rFonts w:hint="eastAsia" w:ascii="仿宋_GB2312" w:eastAsia="仿宋_GB2312"/>
                <w:color w:val="000000"/>
                <w:sz w:val="28"/>
                <w:szCs w:val="28"/>
              </w:rPr>
              <w:br w:type="textWrapping"/>
            </w:r>
            <w:r>
              <w:rPr>
                <w:rFonts w:hint="eastAsia" w:ascii="仿宋_GB2312" w:eastAsia="仿宋_GB2312"/>
                <w:color w:val="000000"/>
                <w:sz w:val="28"/>
                <w:szCs w:val="28"/>
              </w:rPr>
              <w:t xml:space="preserve">    </w:t>
            </w:r>
            <w:r>
              <w:rPr>
                <w:rFonts w:ascii="仿宋_GB2312" w:eastAsia="仿宋_GB2312"/>
                <w:color w:val="000000"/>
                <w:sz w:val="28"/>
                <w:szCs w:val="28"/>
              </w:rPr>
              <w:t>一、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制定并组织实施推进卫生健康基本公共服务均等化、普惠化、便捷化和公共资源向基层延伸等政策措施。</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二、协调推进全市深化医药卫生体制改革，研究提出全市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三、制定并组织落实全市疾病预防控制规划、免疫规划以及严重危害人民健康公共卫生问题的干预措施。负责卫生应急工作，组织指导全市突发公共卫生事件预防控制和各类突发公共事件的医疗卫生救援。承担传染病疫情信息上报工作，发布突发公共卫生事件应急处置信息。</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四、组织拟订并协调落实应对人口老龄化政策措施，推进老年健康服务体系建设和医养结合工作。</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五、贯彻执行国家药物政策和国家基本药物制度，开展药品使用监测、临床综合评价和短缺药品预警。组织开展食品安全风险监测，负责食源性疾病及与食品安全事故有关的流行病学调查。</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六、负责职责范围内的职业卫生、放射卫生、环境卫生、学校卫生、公共场所卫生、饮用水卫生等公共卫生的监督管理。负责传染病防治监督，健全卫生健康综合监督体系。</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七、制定全市医疗机构、医疗服务行业管理办法并监督实施，建立医疗服务评价和监督管理体系。会同有关部门实施卫生健康专业技术人员资格标准。制定并组织实施医疗服务规范、标准和卫生健康专业技术人员执业规则、服务规范。</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八、负责计划生育管理和服务工作，开展人口监测预警，研究提出人口与家庭发展相关政策建议，提出完善计划生育政策建议。</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九、指导全市卫生健康工作，指导基层医疗卫生、妇幼健康服务体系建设，加强全科医生队伍建设。推进卫生健康科技创新发展。</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十、负责全市健康教育、健康促进和卫生健康信息化建设等工作。组织实施国际、港澳台的交流合作与援外工作。</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十一、负责市保健对象的医疗保健工作，负责重要来宾、重要会议与重大活动的医疗卫生保障工作,指导全市保健工作。</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十二、指导市计划生育协会的业务工作。</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十三、完成市委、市政府交办的其他事项。</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十四、职能转变。市卫健委应当牢固树立大卫生、大健康理念，推动实施健康岳阳战略，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十五、有关职责分工</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1．与市发改委的有关职责分工。市卫健委负责开展人口监测预警工作，研究提出与生育相关的人口数量、素质、结构、分布方面的政策建议，促进生育政策和相关经济社会政策配套衔接，参与制定全市人口发展规划和政策，落实国家、省和全市人口发展规划中的有关任务。市发改委负责组织监测和评估人口变动情况及趋势影响，建立人口预测预报制度，开展重大决策人口影响评估，完善重大人口政策咨询机制，研究提出全市人口发展战略，拟订人口发展规划和人口政策，研究提出人口与经济、社会、资源、环境协调可持续发展，以及统筹促进人口长期均衡发展的政策建议。</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2．与市民政局的有关职责分工。市卫健委负责拟订应对人口老龄化、医养结合政策措施，综合协调、督促指导、组织推进老龄事业发展，承担老年疾病防治、老年人医疗照护、老年人心理健康与关怀服务等老年健康工作。市民政局负责统筹推进、督促指导、监督管理养老服务工作，起草养老服务地方性法规草案、拟订养老服务体系建设规划、政策、标准并组织实施，承担老年人福利和特殊困难老年人救助工作。</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3．与岳阳海关的有关职责分工。市卫健委负责传染病总体防治和突发公共卫生事件应急工作。市卫健委与岳阳海关建立健全应对口岸传染病疫情和公共卫生事件合作机制、传染病疫情和公共卫生事件通报交流机制、口岸输入性疫情通报和协作处理机制。</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4．与市市场监管局的有关职责分工。市卫健委负责食品安全风险监测工作，会同市市场监管局等部门制定、实施食品安全风险监测计划。市卫健委对通过食品安全风险监测或者接到举报发现食品可能存在安全隐患的，应当及时将相关信息通报市市场监管局等部门，市市场监管局等部门应当立即采取措施。市市场监管局等部门在监督管理工作中发现需要进行食品安全风险评估的，应当及时向市卫健委提出建议。市市场监管局会同市卫健委建立重大药品不良反应和医疗器械不良事件相互通报机制和联合处置机制。</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5．与市医保局的有关职责分工。市卫健委、市医保局等部门在医疗、医保、医药等方面加强制度、政策衔接，建立沟通协商机制，协同推进改革，提高医疗资源使用效率和医疗保障水平。    </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（二）机构设置</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1、办公室。2、规划发展与信息化科；3、疾病预防控制与职业健康科（市血吸虫病防治办公室、市防治艾滋病工作委员会办公室）。4、医政医管科。5、基层卫生健康科。6、卫生应急办公室（突发公共卫生事件应急指挥中心）。7、科技教育科。8、法规与综合监督科（行政审批科、食品安全标准与监测科）。9、药物政策与基本药物制度科。10、中医药管理科（中医药管理局）。11、老龄健康科（市老龄工作委员会办公室）。12、妇幼健康科。13、人口监测与家庭发展科。14、 爱国卫生工作科（市爱国卫生运动委员会办公室）。15、宣传科。16、财务科（审计科）。17、人事科。18、机关党委（纪委）。19、离退休人员管理服务科（干部保健科）。</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二、部门预算单位构成</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本部门预算为汇总预算，纳入编制范围的预算单位包括：</w:t>
            </w:r>
          </w:p>
          <w:p>
            <w:pPr>
              <w:pStyle w:val="4"/>
              <w:spacing w:before="0" w:beforeAutospacing="0" w:after="0" w:afterAutospacing="0" w:line="480" w:lineRule="auto"/>
              <w:ind w:firstLine="480"/>
              <w:jc w:val="both"/>
              <w:rPr>
                <w:rFonts w:ascii="仿宋_GB2312" w:eastAsia="仿宋_GB2312"/>
                <w:color w:val="000000"/>
                <w:sz w:val="28"/>
                <w:szCs w:val="28"/>
              </w:rPr>
            </w:pPr>
            <w:r>
              <w:rPr>
                <w:rFonts w:ascii="仿宋_GB2312" w:eastAsia="仿宋_GB2312"/>
                <w:color w:val="000000"/>
                <w:sz w:val="28"/>
                <w:szCs w:val="28"/>
              </w:rPr>
              <w:t>1、岳阳市卫生健康委部门本级（含市医疗紧急救援中心）；2、岳阳市一人民医院；3、岳阳市二人民医院；4、岳阳市中医院；5、岳阳市妇幼保健院；6、岳阳市疾控中心；7、岳阳市中心血站；8岳阳市一人民医院南院（原岳阳市三人民医院）。</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三、部门收支总体情况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部门收入预算15619.17万元，其中，一般公共预算拨款15619.17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61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收入较去年增加2589.68万元，主要是因为增加了运转类项目。</w:t>
            </w:r>
          </w:p>
        </w:tc>
      </w:tr>
      <w:tr>
        <w:tblPrEx>
          <w:tblCellMar>
            <w:top w:w="0" w:type="dxa"/>
            <w:left w:w="108" w:type="dxa"/>
            <w:bottom w:w="0" w:type="dxa"/>
            <w:right w:w="108" w:type="dxa"/>
          </w:tblCellMar>
        </w:tblPrEx>
        <w:trPr>
          <w:trHeight w:val="402"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320" w:hRule="atLeast"/>
        </w:trPr>
        <w:tc>
          <w:tcPr>
            <w:tcW w:w="5000" w:type="pct"/>
            <w:tcBorders>
              <w:top w:val="nil"/>
              <w:left w:val="nil"/>
              <w:bottom w:val="nil"/>
              <w:right w:val="nil"/>
            </w:tcBorders>
            <w:shd w:val="clear" w:color="auto" w:fill="auto"/>
            <w:vAlign w:val="center"/>
          </w:tcPr>
          <w:p>
            <w:pPr>
              <w:pStyle w:val="4"/>
              <w:spacing w:before="0" w:beforeAutospacing="0" w:after="0" w:afterAutospacing="0" w:line="480" w:lineRule="auto"/>
              <w:ind w:firstLine="480"/>
              <w:jc w:val="both"/>
              <w:rPr>
                <w:rFonts w:ascii="仿宋_GB2312" w:eastAsia="仿宋_GB2312"/>
                <w:sz w:val="28"/>
                <w:szCs w:val="28"/>
              </w:rPr>
            </w:pPr>
            <w:r>
              <w:rPr>
                <w:rFonts w:hint="eastAsia" w:ascii="仿宋_GB2312" w:eastAsia="仿宋_GB2312"/>
                <w:sz w:val="28"/>
                <w:szCs w:val="28"/>
              </w:rPr>
              <w:t xml:space="preserve">    2022年本部门支出预算15619.17万元，其中，社会保障和就业支出398.94万元，占比2.55%，卫生健康支出15056.45万元，占比96.40%，住房保障支出163.77万元，占比1.05%。</w:t>
            </w:r>
            <w:r>
              <w:rPr>
                <w:rFonts w:ascii="仿宋_GB2312" w:eastAsia="仿宋_GB2312"/>
                <w:sz w:val="28"/>
                <w:szCs w:val="28"/>
              </w:rPr>
              <w:t>支出较去年增加2589.68万元，主要是特定项目的增加等原因造成的。</w:t>
            </w:r>
          </w:p>
          <w:p>
            <w:pPr>
              <w:pStyle w:val="4"/>
              <w:spacing w:before="0" w:beforeAutospacing="0" w:after="0" w:afterAutospacing="0" w:line="480" w:lineRule="auto"/>
              <w:ind w:firstLine="480"/>
              <w:jc w:val="both"/>
              <w:rPr>
                <w:rFonts w:ascii="仿宋_GB2312" w:eastAsia="仿宋_GB2312"/>
                <w:sz w:val="28"/>
                <w:szCs w:val="28"/>
              </w:rPr>
            </w:pPr>
            <w:r>
              <w:rPr>
                <w:rFonts w:hint="eastAsia" w:ascii="仿宋_GB2312" w:hAnsi="宋体" w:eastAsia="仿宋_GB2312" w:cs="宋体"/>
                <w:color w:val="000000"/>
                <w:kern w:val="0"/>
                <w:sz w:val="28"/>
                <w:szCs w:val="28"/>
                <w:lang w:val="en-US" w:eastAsia="zh-CN"/>
              </w:rPr>
              <w:t>说明：2022年预算公开文档第三大点（对应表3）、第四大点（对应表7）中的金额和百分比，由于预算编制时金额明细到了“分”，而公开表格显示和公开文档取数只到“百元”，可能导致0.01的尾数差异。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2022年本部门一般公共预算拨款支出预算15619.17万元，其中，社会保障和就业支出398.94万元，占比2.55%，卫生健康支出15056.45万元，占比96.40%，住房保障支出163.77万元，占比1.05%。具体安排情况如下：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5192.72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3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10426.45万元，是指单位为完成特定行政工作任务或事业发展目标而发生的支出，包括有关业务工作经费、运行维护经费等。其中：专项商品和服务支出10366.45万元，主要用于血站供采血业务支出成本返还和核酸检测经费、红十字会基金、各综合医院非税收入成本返还以及艾滋病防治、卫生监督执法办案以及卫生样品采购费等方面；资本性支出60万元，主要用于购买通用设备。</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2022年度本部门无政府性基金安排的支出，所以公开的附件15-17（政府性基金预算）为空。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岳阳市卫生健康委员会机关本级、岳阳市疾病预防控制中心、岳阳市卫生计生综合监督执法局、岳阳市中心血站共4家行政事业单位的机关运行经费491.9万元，比上一年增加242.35万元，增长97.11%。主要原因是2022年其他交通费用（公车补贴）全额纳入财政预算，较上年增加50%。</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2022年本部门机关本级、岳阳市妇幼保健院等合计9家行政事业单位“三公”经费预算数119.75万元，其中，公务接待费40.5万元，因公出国（境）费0万元，公务用车购置及运行费79.25万元</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其中公务用车购置费0万元，公务用车运行费79.25万元</w:t>
            </w:r>
            <w:r>
              <w:rPr>
                <w:rFonts w:hint="eastAsia" w:ascii="仿宋_GB2312" w:hAnsi="宋体" w:eastAsia="仿宋_GB2312" w:cs="宋体"/>
                <w:kern w:val="0"/>
                <w:sz w:val="28"/>
                <w:szCs w:val="28"/>
              </w:rPr>
              <w:t>。2022年三公经费预算较上年减少267.65万元，主要原因是公务用车运行费减少，且本年预算不包含其他交通费用，同时节约开支，压减“三公”经费。</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会议费预算11.6万元，拟召开10次会议，人数600-700人，内容为全市卫生健康大会、全市财务工作会议、全市卫生综合监督工作会议、全市卫生健康执法案例评查会议、全市综合执法监督工作讲评会、全市疾控工作会、预防接种工作等会议；培训费预算2.2万元，拟开展5-6次培训，人数200-300人，内容为职业卫生和放射监测培训、新冠等重点传染病相关培训、全市卫生监督人员员骨干培训、全市案卷评查工作暨业务培训、全市职业卫生放射工作培训等培训。2022年度本部门未计划举办节庆、晚会、论坛、赛事活动。</w:t>
            </w:r>
          </w:p>
        </w:tc>
      </w:tr>
      <w:tr>
        <w:tblPrEx>
          <w:tblCellMar>
            <w:top w:w="0" w:type="dxa"/>
            <w:left w:w="108" w:type="dxa"/>
            <w:bottom w:w="0" w:type="dxa"/>
            <w:right w:w="108" w:type="dxa"/>
          </w:tblCellMar>
        </w:tblPrEx>
        <w:trPr>
          <w:trHeight w:val="61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2022年本部门政府采购预算总额55954.6万元，其中工程类5592万元，货物类35358.85万元，服务类15003.75万元。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259"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截至上年12月底，本部门共有车辆70辆，其中领导干部用车0辆，一般公务用车13辆，其他用车57辆。单位价值50万元以上通用设备51台，单位价值100万元以上专用设备309台。</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2022年拟报废处置公务用车0辆，拟新增配置车辆0辆，其中领导干部用车0辆，一般公务用车0辆，其他用车0辆。          </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2022年拟新增配备领导干部用车0辆，一般公务用车0辆，其他用车0辆，新增配备单位价值50万元以上通用设备4台，单位价值100万元以上专用设备37台。</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本部门所有支出实行绩效目标管理。纳入2022年部门整体支出绩效目标的金额为15619.17万元，其中，基本支出5192.72万元，项目支出10426.45万元，详见文尾附表中部门预算公开表格的表21-22。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2022年部门预算公开表格</w:t>
            </w:r>
          </w:p>
        </w:tc>
      </w:tr>
      <w:tr>
        <w:tblPrEx>
          <w:tblCellMar>
            <w:top w:w="0" w:type="dxa"/>
            <w:left w:w="108" w:type="dxa"/>
            <w:bottom w:w="0" w:type="dxa"/>
            <w:right w:w="108" w:type="dxa"/>
          </w:tblCellMar>
        </w:tblPrEx>
        <w:trPr>
          <w:trHeight w:val="4500" w:hRule="atLeast"/>
        </w:trPr>
        <w:tc>
          <w:tcPr>
            <w:tcW w:w="5000" w:type="pct"/>
            <w:vMerge w:val="restar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bookmarkStart w:id="0" w:name="_GoBack"/>
            <w:bookmarkEnd w:id="0"/>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23、</w:t>
            </w: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500"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4E9C53"/>
    <w:multiLevelType w:val="singleLevel"/>
    <w:tmpl w:val="484E9C53"/>
    <w:lvl w:ilvl="0" w:tentative="0">
      <w:start w:val="1"/>
      <w:numFmt w:val="decimal"/>
      <w:suff w:val="nothing"/>
      <w:lvlText w:val="%1、"/>
      <w:lvlJc w:val="left"/>
    </w:lvl>
  </w:abstractNum>
  <w:abstractNum w:abstractNumId="1">
    <w:nsid w:val="48F79F84"/>
    <w:multiLevelType w:val="singleLevel"/>
    <w:tmpl w:val="48F79F8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I1YzM1MmQ5Mzc4ZGI2ZDFjZDFhYWYxN2Y2YmFiOTEifQ=="/>
  </w:docVars>
  <w:rsids>
    <w:rsidRoot w:val="00D1526E"/>
    <w:rsid w:val="00326EC5"/>
    <w:rsid w:val="005745C6"/>
    <w:rsid w:val="00732AE1"/>
    <w:rsid w:val="00835B7E"/>
    <w:rsid w:val="00955B25"/>
    <w:rsid w:val="00BF050C"/>
    <w:rsid w:val="00D1526E"/>
    <w:rsid w:val="00DD2562"/>
    <w:rsid w:val="02D01B5B"/>
    <w:rsid w:val="2CB76CC5"/>
    <w:rsid w:val="43602A6F"/>
    <w:rsid w:val="5B8A4B01"/>
    <w:rsid w:val="6499307F"/>
    <w:rsid w:val="6E2F5D28"/>
    <w:rsid w:val="797C1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13</Pages>
  <Words>5643</Words>
  <Characters>5991</Characters>
  <Lines>43</Lines>
  <Paragraphs>12</Paragraphs>
  <TotalTime>3</TotalTime>
  <ScaleCrop>false</ScaleCrop>
  <LinksUpToDate>false</LinksUpToDate>
  <CharactersWithSpaces>6072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2023-05-30T08:27:00Z</dcterms:created>
  <dc:creator>微软用户</dc:creator>
  <cp:lastModifiedBy>Administrator</cp:lastModifiedBy>
  <dcterms:modified xsi:type="dcterms:W3CDTF">2023-09-22T08:26:07Z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94DCEDAB7C6F414186CA253A3CA80B9B_12</vt:lpwstr>
  </property>
</Properties>
</file>