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522" w:type="dxa"/>
        <w:tblLayout w:type="fixed"/>
        <w:tblLook w:val="04A0"/>
      </w:tblPr>
      <w:tblGrid>
        <w:gridCol w:w="8522"/>
      </w:tblGrid>
      <w:tr w:rsidR="003C5545">
        <w:trPr>
          <w:trHeight w:val="1380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5545" w:rsidRDefault="00F9149B">
            <w:pPr>
              <w:widowControl/>
              <w:jc w:val="center"/>
              <w:rPr>
                <w:rFonts w:ascii="方正小标宋_GBK" w:eastAsia="方正小标宋_GBK" w:hAnsi="宋体" w:cs="宋体"/>
                <w:color w:val="000000"/>
                <w:kern w:val="0"/>
                <w:sz w:val="40"/>
                <w:szCs w:val="40"/>
              </w:rPr>
            </w:pPr>
            <w:r>
              <w:rPr>
                <w:rFonts w:ascii="方正小标宋_GBK" w:eastAsia="方正小标宋_GBK" w:hAnsi="宋体" w:cs="宋体" w:hint="eastAsia"/>
                <w:color w:val="000000"/>
                <w:kern w:val="0"/>
                <w:sz w:val="40"/>
                <w:szCs w:val="40"/>
              </w:rPr>
              <w:t>岳阳市一人民医院</w:t>
            </w:r>
            <w:r>
              <w:rPr>
                <w:rFonts w:ascii="方正小标宋_GBK" w:eastAsia="方正小标宋_GBK" w:hAnsi="宋体" w:cs="宋体" w:hint="eastAsia"/>
                <w:color w:val="000000"/>
                <w:kern w:val="0"/>
                <w:sz w:val="40"/>
                <w:szCs w:val="40"/>
              </w:rPr>
              <w:t>2022</w:t>
            </w:r>
            <w:r>
              <w:rPr>
                <w:rFonts w:ascii="方正小标宋_GBK" w:eastAsia="方正小标宋_GBK" w:hAnsi="宋体" w:cs="宋体" w:hint="eastAsia"/>
                <w:color w:val="000000"/>
                <w:kern w:val="0"/>
                <w:sz w:val="40"/>
                <w:szCs w:val="40"/>
              </w:rPr>
              <w:t>年度单位预算</w:t>
            </w:r>
          </w:p>
        </w:tc>
      </w:tr>
      <w:tr w:rsidR="003C5545">
        <w:trPr>
          <w:trHeight w:val="642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5545" w:rsidRDefault="00F9149B">
            <w:pPr>
              <w:widowControl/>
              <w:jc w:val="center"/>
              <w:rPr>
                <w:rFonts w:ascii="黑体" w:eastAsia="黑体" w:hAnsi="黑体" w:cs="宋体"/>
                <w:kern w:val="0"/>
                <w:sz w:val="36"/>
                <w:szCs w:val="36"/>
              </w:rPr>
            </w:pPr>
            <w:r>
              <w:rPr>
                <w:rFonts w:ascii="黑体" w:eastAsia="黑体" w:hAnsi="黑体" w:cs="宋体" w:hint="eastAsia"/>
                <w:kern w:val="0"/>
                <w:sz w:val="36"/>
                <w:szCs w:val="36"/>
              </w:rPr>
              <w:t>目录</w:t>
            </w:r>
          </w:p>
        </w:tc>
      </w:tr>
      <w:tr w:rsidR="003C5545">
        <w:trPr>
          <w:trHeight w:val="375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5545" w:rsidRDefault="00F9149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第一部分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年单位预算说明</w:t>
            </w:r>
          </w:p>
        </w:tc>
      </w:tr>
      <w:tr w:rsidR="003C5545">
        <w:trPr>
          <w:trHeight w:val="600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5545" w:rsidRDefault="00F9149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第二部分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年单位预算公开表格</w:t>
            </w:r>
          </w:p>
        </w:tc>
      </w:tr>
      <w:tr w:rsidR="003C5545">
        <w:trPr>
          <w:trHeight w:val="4482"/>
        </w:trPr>
        <w:tc>
          <w:tcPr>
            <w:tcW w:w="852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954E7" w:rsidRDefault="00F9149B" w:rsidP="00A954E7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、收支总表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、收入总表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、支出总表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、支出预算分类汇总表（按政府预算经济分类）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、支出预算分类汇总表（按部门预算经济分类）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、财政拨款收支总表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人员经费（工资福利支出）（按政府预算经济分类）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人员经费（工资福利支出）（按部门预算经济分类）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人员经费（对个人和家庭的补助）（按政府预算经济分类）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人员经费（对个人和家庭的补助）（按部门预算经济分类）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 w:rsidR="00A954E7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经费（商品和服务支出）（按政府预算经济分类）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13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 w:rsidR="00A954E7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经费（商品和服务支出）（按部门预算经济分类）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、一般公共预算“三公”经费支出表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、政府性基金预算支出表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、政府性基金预算支出分类汇总表（按政府预算经济分类）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、政府性基金预算支出分类汇总表（按部门预算经济分类）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、国有资本经营预算支出表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、财政专户管理资金预算支出表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、专项资金预算汇总表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、项目支出绩效目标表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、整体支出绩效目标表</w:t>
            </w:r>
          </w:p>
          <w:p w:rsidR="003C5545" w:rsidRDefault="00A954E7" w:rsidP="00A954E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A954E7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23、一般公共预算基本支出表</w:t>
            </w:r>
            <w:r w:rsidR="00F9149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</w:r>
            <w:r w:rsidR="00F9149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注：以上单位预算公开报表中，空表表示本单位无相关收支情况。</w:t>
            </w:r>
          </w:p>
        </w:tc>
      </w:tr>
      <w:tr w:rsidR="003C5545">
        <w:trPr>
          <w:trHeight w:val="4482"/>
        </w:trPr>
        <w:tc>
          <w:tcPr>
            <w:tcW w:w="852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5545" w:rsidRDefault="003C554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3C5545">
        <w:trPr>
          <w:trHeight w:val="840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5545" w:rsidRDefault="00F9149B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lastRenderedPageBreak/>
              <w:t>第一部分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t xml:space="preserve">  2022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t>年单位预算说明</w:t>
            </w:r>
          </w:p>
        </w:tc>
      </w:tr>
      <w:tr w:rsidR="003C5545">
        <w:trPr>
          <w:trHeight w:val="2625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5545" w:rsidRDefault="00F9149B">
            <w:pPr>
              <w:spacing w:line="560" w:lineRule="exact"/>
              <w:ind w:firstLineChars="300" w:firstLine="840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一、单位基本概况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br/>
              <w:t xml:space="preserve">    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（一）职能职责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br/>
            </w:r>
            <w:r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岳阳市</w:t>
            </w:r>
            <w:r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中心</w:t>
            </w:r>
            <w:r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医院始建于</w:t>
            </w:r>
            <w:r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1964</w:t>
            </w:r>
            <w:r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年</w:t>
            </w:r>
            <w:r>
              <w:rPr>
                <w:rFonts w:ascii="仿宋" w:eastAsia="仿宋" w:hAnsi="仿宋" w:cs="仿宋" w:hint="eastAsia"/>
                <w:bCs/>
                <w:color w:val="000000" w:themeColor="text1"/>
                <w:sz w:val="32"/>
                <w:szCs w:val="32"/>
              </w:rPr>
              <w:t>，是</w:t>
            </w:r>
            <w:r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一所集医疗、教学、科研、预防、保健、康复于一体的三级甲等综合性医院。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br/>
              <w:t xml:space="preserve">    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（二）机构设置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br/>
            </w:r>
            <w:r>
              <w:rPr>
                <w:rFonts w:ascii="仿宋" w:eastAsia="仿宋" w:hAnsi="仿宋" w:cs="仿宋" w:hint="eastAsia"/>
                <w:sz w:val="32"/>
                <w:szCs w:val="32"/>
              </w:rPr>
              <w:t>医院分设院本部、东院和南院，编制病床共</w:t>
            </w:r>
            <w:r>
              <w:rPr>
                <w:rFonts w:ascii="仿宋" w:eastAsia="仿宋" w:hAnsi="仿宋" w:cs="仿宋" w:hint="eastAsia"/>
                <w:sz w:val="32"/>
                <w:szCs w:val="32"/>
              </w:rPr>
              <w:t>2311</w:t>
            </w:r>
            <w:r>
              <w:rPr>
                <w:rFonts w:ascii="仿宋" w:eastAsia="仿宋" w:hAnsi="仿宋" w:cs="仿宋" w:hint="eastAsia"/>
                <w:sz w:val="32"/>
                <w:szCs w:val="32"/>
              </w:rPr>
              <w:t>张。全院共开设</w:t>
            </w:r>
            <w:r>
              <w:rPr>
                <w:rFonts w:ascii="仿宋" w:eastAsia="仿宋" w:hAnsi="仿宋" w:cs="仿宋" w:hint="eastAsia"/>
                <w:sz w:val="32"/>
                <w:szCs w:val="32"/>
              </w:rPr>
              <w:t>59</w:t>
            </w:r>
            <w:r>
              <w:rPr>
                <w:rFonts w:ascii="仿宋" w:eastAsia="仿宋" w:hAnsi="仿宋" w:cs="仿宋" w:hint="eastAsia"/>
                <w:sz w:val="32"/>
                <w:szCs w:val="32"/>
              </w:rPr>
              <w:t>个诊疗科目，其中临床类</w:t>
            </w:r>
            <w:r>
              <w:rPr>
                <w:rFonts w:ascii="仿宋" w:eastAsia="仿宋" w:hAnsi="仿宋" w:cs="仿宋" w:hint="eastAsia"/>
                <w:sz w:val="32"/>
                <w:szCs w:val="32"/>
              </w:rPr>
              <w:t>47</w:t>
            </w:r>
            <w:r>
              <w:rPr>
                <w:rFonts w:ascii="仿宋" w:eastAsia="仿宋" w:hAnsi="仿宋" w:cs="仿宋" w:hint="eastAsia"/>
                <w:sz w:val="32"/>
                <w:szCs w:val="32"/>
              </w:rPr>
              <w:t>个，医技类</w:t>
            </w:r>
            <w:r>
              <w:rPr>
                <w:rFonts w:ascii="仿宋" w:eastAsia="仿宋" w:hAnsi="仿宋" w:cs="仿宋" w:hint="eastAsia"/>
                <w:sz w:val="32"/>
                <w:szCs w:val="32"/>
              </w:rPr>
              <w:t>12</w:t>
            </w:r>
            <w:r>
              <w:rPr>
                <w:rFonts w:ascii="仿宋" w:eastAsia="仿宋" w:hAnsi="仿宋" w:cs="仿宋" w:hint="eastAsia"/>
                <w:sz w:val="32"/>
                <w:szCs w:val="32"/>
              </w:rPr>
              <w:t>个。开放病区</w:t>
            </w:r>
            <w:r>
              <w:rPr>
                <w:rFonts w:ascii="仿宋" w:eastAsia="仿宋" w:hAnsi="仿宋" w:cs="仿宋" w:hint="eastAsia"/>
                <w:sz w:val="32"/>
                <w:szCs w:val="32"/>
              </w:rPr>
              <w:t>62</w:t>
            </w:r>
            <w:r>
              <w:rPr>
                <w:rFonts w:ascii="仿宋" w:eastAsia="仿宋" w:hAnsi="仿宋" w:cs="仿宋" w:hint="eastAsia"/>
                <w:sz w:val="32"/>
                <w:szCs w:val="32"/>
              </w:rPr>
              <w:t>个，其中院本部</w:t>
            </w:r>
            <w:r>
              <w:rPr>
                <w:rFonts w:ascii="仿宋" w:eastAsia="仿宋" w:hAnsi="仿宋" w:cs="仿宋" w:hint="eastAsia"/>
                <w:sz w:val="32"/>
                <w:szCs w:val="32"/>
              </w:rPr>
              <w:t>32</w:t>
            </w:r>
            <w:r>
              <w:rPr>
                <w:rFonts w:ascii="仿宋" w:eastAsia="仿宋" w:hAnsi="仿宋" w:cs="仿宋" w:hint="eastAsia"/>
                <w:sz w:val="32"/>
                <w:szCs w:val="32"/>
              </w:rPr>
              <w:t>个、东院</w:t>
            </w:r>
            <w:r>
              <w:rPr>
                <w:rFonts w:ascii="仿宋" w:eastAsia="仿宋" w:hAnsi="仿宋" w:cs="仿宋" w:hint="eastAsia"/>
                <w:sz w:val="32"/>
                <w:szCs w:val="32"/>
              </w:rPr>
              <w:t>13</w:t>
            </w:r>
            <w:r>
              <w:rPr>
                <w:rFonts w:ascii="仿宋" w:eastAsia="仿宋" w:hAnsi="仿宋" w:cs="仿宋" w:hint="eastAsia"/>
                <w:sz w:val="32"/>
                <w:szCs w:val="32"/>
              </w:rPr>
              <w:t>个、南院</w:t>
            </w:r>
            <w:r>
              <w:rPr>
                <w:rFonts w:ascii="仿宋" w:eastAsia="仿宋" w:hAnsi="仿宋" w:cs="仿宋" w:hint="eastAsia"/>
                <w:sz w:val="32"/>
                <w:szCs w:val="32"/>
              </w:rPr>
              <w:t>17</w:t>
            </w:r>
            <w:r>
              <w:rPr>
                <w:rFonts w:ascii="仿宋" w:eastAsia="仿宋" w:hAnsi="仿宋" w:cs="仿宋" w:hint="eastAsia"/>
                <w:sz w:val="32"/>
                <w:szCs w:val="32"/>
              </w:rPr>
              <w:t>个。</w:t>
            </w:r>
            <w:r>
              <w:rPr>
                <w:rFonts w:ascii="仿宋" w:eastAsia="仿宋" w:hAnsi="仿宋" w:cs="仿宋" w:hint="eastAsia"/>
                <w:sz w:val="32"/>
                <w:szCs w:val="32"/>
              </w:rPr>
              <w:lastRenderedPageBreak/>
              <w:t>是中南大学湘雅二医院医疗协作医院、中南大学湘雅医学院临床教学基地，同时还承担着另外</w:t>
            </w:r>
            <w:r>
              <w:rPr>
                <w:rFonts w:ascii="仿宋" w:eastAsia="仿宋" w:hAnsi="仿宋" w:cs="仿宋" w:hint="eastAsia"/>
                <w:sz w:val="32"/>
                <w:szCs w:val="32"/>
              </w:rPr>
              <w:t>12</w:t>
            </w:r>
            <w:r>
              <w:rPr>
                <w:rFonts w:ascii="仿宋" w:eastAsia="仿宋" w:hAnsi="仿宋" w:cs="仿宋" w:hint="eastAsia"/>
                <w:sz w:val="32"/>
                <w:szCs w:val="32"/>
              </w:rPr>
              <w:t>所院校的临床教学工作，是湖南省全科医生转岗培训基地、国家住院医师规范化培训基地、国家药物临床试验机构、国家卫健委脑卒中筛查与防治基地、国际紧急救援网络医院、外国专家定点医疗机构、全国直升机医疗救援基地。医院先后被评为全国文明单位、全国卫生计生系统先进集体，是湖</w:t>
            </w:r>
            <w:r>
              <w:rPr>
                <w:rFonts w:ascii="仿宋" w:eastAsia="仿宋" w:hAnsi="仿宋" w:cs="仿宋" w:hint="eastAsia"/>
                <w:sz w:val="32"/>
                <w:szCs w:val="32"/>
              </w:rPr>
              <w:t>南省区域性医疗中心之一。</w:t>
            </w:r>
            <w:r>
              <w:rPr>
                <w:rFonts w:ascii="仿宋" w:eastAsia="仿宋" w:hAnsi="仿宋" w:cs="仿宋" w:hint="eastAsia"/>
                <w:sz w:val="32"/>
                <w:szCs w:val="32"/>
              </w:rPr>
              <w:t>截止</w:t>
            </w:r>
            <w:r>
              <w:rPr>
                <w:rFonts w:ascii="仿宋" w:eastAsia="仿宋" w:hAnsi="仿宋" w:cs="仿宋" w:hint="eastAsia"/>
                <w:sz w:val="32"/>
                <w:szCs w:val="32"/>
              </w:rPr>
              <w:t>2022</w:t>
            </w:r>
            <w:r>
              <w:rPr>
                <w:rFonts w:ascii="仿宋" w:eastAsia="仿宋" w:hAnsi="仿宋" w:cs="仿宋" w:hint="eastAsia"/>
                <w:sz w:val="32"/>
                <w:szCs w:val="32"/>
              </w:rPr>
              <w:t>年</w:t>
            </w:r>
            <w:r>
              <w:rPr>
                <w:rFonts w:ascii="仿宋" w:eastAsia="仿宋" w:hAnsi="仿宋" w:cs="仿宋" w:hint="eastAsia"/>
                <w:sz w:val="32"/>
                <w:szCs w:val="32"/>
              </w:rPr>
              <w:t>12</w:t>
            </w:r>
            <w:r>
              <w:rPr>
                <w:rFonts w:ascii="仿宋" w:eastAsia="仿宋" w:hAnsi="仿宋" w:cs="仿宋" w:hint="eastAsia"/>
                <w:sz w:val="32"/>
                <w:szCs w:val="32"/>
              </w:rPr>
              <w:t>月底共有在职职工</w:t>
            </w:r>
            <w:r>
              <w:rPr>
                <w:rFonts w:ascii="仿宋" w:eastAsia="仿宋" w:hAnsi="仿宋" w:cs="仿宋" w:hint="eastAsia"/>
                <w:sz w:val="32"/>
                <w:szCs w:val="32"/>
              </w:rPr>
              <w:t>2300</w:t>
            </w:r>
            <w:r>
              <w:rPr>
                <w:rFonts w:ascii="仿宋" w:eastAsia="仿宋" w:hAnsi="仿宋" w:cs="仿宋" w:hint="eastAsia"/>
                <w:sz w:val="32"/>
                <w:szCs w:val="32"/>
              </w:rPr>
              <w:t>人</w:t>
            </w:r>
          </w:p>
          <w:p w:rsidR="003C5545" w:rsidRDefault="00F9149B">
            <w:pPr>
              <w:widowControl/>
              <w:jc w:val="left"/>
              <w:rPr>
                <w:rFonts w:ascii="仿宋_GB2312" w:eastAsia="仿宋_GB2312" w:hAnsi="宋体" w:cs="宋体"/>
                <w:color w:val="FF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二、单位预算单位构成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br/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岳阳市中心医院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本级预算</w:t>
            </w:r>
          </w:p>
        </w:tc>
      </w:tr>
      <w:tr w:rsidR="003C5545">
        <w:trPr>
          <w:trHeight w:val="499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5545" w:rsidRDefault="00F9149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三、单位收支总体情况</w:t>
            </w:r>
          </w:p>
        </w:tc>
      </w:tr>
      <w:tr w:rsidR="003C5545">
        <w:trPr>
          <w:trHeight w:val="499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5545" w:rsidRDefault="00F9149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（一）收入预算</w:t>
            </w:r>
          </w:p>
        </w:tc>
      </w:tr>
      <w:tr w:rsidR="003C5545">
        <w:trPr>
          <w:trHeight w:val="2250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5545" w:rsidRDefault="00F9149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包括一般公共预算、政府性基金、国有资本经营预算等财政拨款收入，以及经营收入、事业收入等单位资金。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年本单位收入预算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529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万元，其中，一般公共预算拨款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529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万元，政府性基金预算拨款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万元，所以公开的附件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15-17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（政府性基金预算）为空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,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国有资本经营预算拨款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万元，所以公开的附表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（国有资本经营预算）为空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,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财政专户管理资金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万元，所以公开的附表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表（财政专户管理资金预算）为空，上级补助收入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万元，事业单位经营收入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万元，上年结转结余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万元。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与上年相同。</w:t>
            </w:r>
          </w:p>
        </w:tc>
      </w:tr>
      <w:tr w:rsidR="003C5545">
        <w:trPr>
          <w:trHeight w:val="499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5545" w:rsidRDefault="003C5545">
            <w:pPr>
              <w:widowControl/>
              <w:jc w:val="left"/>
              <w:rPr>
                <w:rFonts w:ascii="仿宋_GB2312" w:eastAsia="仿宋_GB2312" w:hAnsi="宋体" w:cs="宋体"/>
                <w:color w:val="FF0000"/>
                <w:kern w:val="0"/>
                <w:sz w:val="28"/>
                <w:szCs w:val="28"/>
              </w:rPr>
            </w:pPr>
          </w:p>
        </w:tc>
      </w:tr>
      <w:tr w:rsidR="003C5545">
        <w:trPr>
          <w:trHeight w:val="499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5545" w:rsidRDefault="00F9149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（二）支出预算</w:t>
            </w:r>
          </w:p>
        </w:tc>
      </w:tr>
      <w:tr w:rsidR="003C5545">
        <w:trPr>
          <w:trHeight w:val="1125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5545" w:rsidRDefault="00F9149B">
            <w:pPr>
              <w:widowControl/>
              <w:jc w:val="left"/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lastRenderedPageBreak/>
              <w:t xml:space="preserve"> 2022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年本单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位支出预算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529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万元，其中，卫生健康支出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529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万元，占比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100.00%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。</w:t>
            </w:r>
            <w:bookmarkStart w:id="0" w:name="_GoBack"/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与去年持平，无增减。</w:t>
            </w:r>
            <w:bookmarkEnd w:id="0"/>
          </w:p>
          <w:p w:rsidR="00A954E7" w:rsidRPr="00A954E7" w:rsidRDefault="00A954E7" w:rsidP="00A954E7">
            <w:pPr>
              <w:pStyle w:val="a0"/>
            </w:pPr>
            <w:r>
              <w:rPr>
                <w:rFonts w:hint="eastAsia"/>
              </w:rPr>
              <w:t xml:space="preserve">   </w:t>
            </w:r>
            <w:r w:rsidR="000E3513">
              <w:rPr>
                <w:rFonts w:hint="eastAsia"/>
              </w:rPr>
              <w:t xml:space="preserve"> </w:t>
            </w:r>
            <w:r w:rsidRPr="00A954E7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2022年预算公开文档第三大点（对应表3）、第四大点（对应表7）中的金额和百分比，由于预算编制时金额明细到了“分”，而公开表格显示和公开文档取数只到“百元”，可能导致0.01的尾数差异</w:t>
            </w:r>
            <w:r w:rsidRPr="00A954E7">
              <w:rPr>
                <w:rFonts w:hint="eastAsia"/>
              </w:rPr>
              <w:t>。</w:t>
            </w:r>
          </w:p>
        </w:tc>
      </w:tr>
      <w:tr w:rsidR="003C5545">
        <w:trPr>
          <w:trHeight w:val="499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5545" w:rsidRDefault="00F9149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四、一般公共预算拨款支出预算</w:t>
            </w:r>
          </w:p>
        </w:tc>
      </w:tr>
      <w:tr w:rsidR="003C5545">
        <w:trPr>
          <w:trHeight w:val="1260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5545" w:rsidRDefault="00F9149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  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年本单位一般公共预算拨款支出预算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529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万元，其中，卫生健康支出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529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万元，占比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100.00%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。具体安排情况如下：</w:t>
            </w:r>
          </w:p>
        </w:tc>
      </w:tr>
      <w:tr w:rsidR="003C5545">
        <w:trPr>
          <w:trHeight w:val="1125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5545" w:rsidRDefault="00F9149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（一）基本支出：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年基本支出年初预算数为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万元（数据来源见表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），是指为保障单位机构正常运转、完成日常工作任务而发生的各项支出，包括用于基本工资、津贴补贴等人员经费以及办公费、印刷费、水电费、差旅费等日常公用经费。</w:t>
            </w:r>
          </w:p>
        </w:tc>
      </w:tr>
      <w:tr w:rsidR="003C5545">
        <w:trPr>
          <w:trHeight w:val="1500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5545" w:rsidRDefault="00F9149B">
            <w:pPr>
              <w:widowControl/>
              <w:jc w:val="left"/>
              <w:rPr>
                <w:rFonts w:ascii="仿宋_GB2312" w:eastAsia="仿宋_GB2312" w:hAnsi="宋体" w:cs="宋体"/>
                <w:color w:val="FF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（二）项目支出：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年项目支出年初预算数为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529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万元（数据来源见表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20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），是指单位为完成特定行政工作任务或事业发展目标而发生的支出，包括有关业务工作经费、运行维护经费等。其中：定额补助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210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万元，主要用于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工资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方面，艾滋病防治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120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万元，主要用于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艾滋病救助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方面，非税项目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199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万元，主要用于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培训等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方面。</w:t>
            </w:r>
          </w:p>
        </w:tc>
      </w:tr>
      <w:tr w:rsidR="003C5545">
        <w:trPr>
          <w:trHeight w:val="499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5545" w:rsidRDefault="00F9149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五、政府性基金预算支出</w:t>
            </w:r>
          </w:p>
        </w:tc>
      </w:tr>
      <w:tr w:rsidR="003C5545">
        <w:trPr>
          <w:trHeight w:val="499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5545" w:rsidRDefault="00F9149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  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年度本单位无政府性基金安排的支出，所以公开的附件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15-17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（政府性基金预算）为空。</w:t>
            </w:r>
          </w:p>
        </w:tc>
      </w:tr>
      <w:tr w:rsidR="003C5545">
        <w:trPr>
          <w:trHeight w:val="499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5545" w:rsidRDefault="00F9149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六、其他重要事项的情况说明</w:t>
            </w:r>
          </w:p>
        </w:tc>
      </w:tr>
      <w:tr w:rsidR="003C5545">
        <w:trPr>
          <w:trHeight w:val="499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5545" w:rsidRDefault="00F9149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（一）机关运行经费</w:t>
            </w:r>
          </w:p>
        </w:tc>
      </w:tr>
      <w:tr w:rsidR="003C5545">
        <w:trPr>
          <w:trHeight w:val="859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5545" w:rsidRDefault="00F9149B">
            <w:pPr>
              <w:widowControl/>
              <w:jc w:val="left"/>
              <w:rPr>
                <w:rFonts w:ascii="仿宋_GB2312" w:eastAsia="仿宋_GB2312" w:hAnsi="宋体" w:cs="宋体"/>
                <w:color w:val="FF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年本单位的机关运行经费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万元（数据来源见表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12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），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与上年相同。</w:t>
            </w:r>
          </w:p>
        </w:tc>
      </w:tr>
      <w:tr w:rsidR="003C5545">
        <w:trPr>
          <w:trHeight w:val="499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5545" w:rsidRDefault="00F9149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（二）“三公”经费预算</w:t>
            </w:r>
          </w:p>
        </w:tc>
      </w:tr>
      <w:tr w:rsidR="003C5545">
        <w:trPr>
          <w:trHeight w:val="1125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5545" w:rsidRDefault="00F9149B">
            <w:pPr>
              <w:widowControl/>
              <w:jc w:val="left"/>
              <w:rPr>
                <w:rFonts w:ascii="仿宋_GB2312" w:eastAsia="仿宋_GB2312" w:hAnsi="宋体" w:cs="宋体"/>
                <w:color w:val="FF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 xml:space="preserve"> 2022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年本单位“三公”经费预算数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万元（数据来源见表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14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），其中，公务接待费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万元，因公出国（境）费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万元，公务用车购置及运行费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万元（其中，公务用车购置费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万元，公务用车运行费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万元）。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年三公经费预算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与上年相同。</w:t>
            </w:r>
          </w:p>
        </w:tc>
      </w:tr>
      <w:tr w:rsidR="003C5545">
        <w:trPr>
          <w:trHeight w:val="499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5545" w:rsidRDefault="00F9149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（三）一般性支出情况</w:t>
            </w:r>
          </w:p>
        </w:tc>
      </w:tr>
      <w:tr w:rsidR="003C5545">
        <w:trPr>
          <w:trHeight w:val="1875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5545" w:rsidRDefault="00F9149B">
            <w:pPr>
              <w:widowControl/>
              <w:jc w:val="left"/>
              <w:rPr>
                <w:rFonts w:ascii="仿宋_GB2312" w:eastAsia="仿宋_GB2312" w:hAnsi="宋体" w:cs="宋体"/>
                <w:color w:val="FF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年度本单位未计划安排会议、培训，未计划举办节庆、晚会、论坛、赛事活动。</w:t>
            </w:r>
          </w:p>
        </w:tc>
      </w:tr>
      <w:tr w:rsidR="003C5545">
        <w:trPr>
          <w:trHeight w:val="499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5545" w:rsidRDefault="00F9149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（四）政府采购情况</w:t>
            </w:r>
          </w:p>
        </w:tc>
      </w:tr>
      <w:tr w:rsidR="003C5545">
        <w:trPr>
          <w:trHeight w:val="750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5545" w:rsidRDefault="00F9149B">
            <w:pPr>
              <w:widowControl/>
              <w:jc w:val="left"/>
              <w:rPr>
                <w:rFonts w:ascii="仿宋_GB2312" w:eastAsia="仿宋_GB2312" w:hAnsi="宋体" w:cs="宋体"/>
                <w:color w:val="FF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年本单位政府采购预算总额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16320.89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万元，其中工程类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791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万元，货物类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10224.04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万元，服务类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5305.85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万元。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br/>
            </w:r>
          </w:p>
        </w:tc>
      </w:tr>
      <w:tr w:rsidR="003C5545">
        <w:trPr>
          <w:trHeight w:val="499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5545" w:rsidRDefault="00F9149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（五）国有资产占有使用及新增资产配置情况</w:t>
            </w:r>
          </w:p>
        </w:tc>
      </w:tr>
      <w:tr w:rsidR="003C5545">
        <w:trPr>
          <w:trHeight w:val="3000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5545" w:rsidRDefault="00F9149B">
            <w:pPr>
              <w:widowControl/>
              <w:jc w:val="left"/>
              <w:rPr>
                <w:rFonts w:ascii="仿宋_GB2312" w:eastAsia="仿宋_GB2312" w:hAnsi="宋体" w:cs="宋体"/>
                <w:color w:val="FF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截至上年底，本单位共有车辆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20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辆，其中领导干部用车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辆，一般公务用车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辆，其他用车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20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辆。单位价值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50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万元以上通用设备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26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台，单位价值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100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万元以上专用设备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102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台。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br/>
              <w:t xml:space="preserve">    2022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年拟报废处置公务用车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辆，拟新增配置车辆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辆，其中领导干部用车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辆，一般公务用车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辆，其他用车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辆。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br/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lastRenderedPageBreak/>
              <w:t xml:space="preserve">    2022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年拟新增配备领导干部用车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辆，一般公务用车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辆，其他用车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辆，新增配备单位价值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50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万元以上通用设备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台，单位价值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100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万元以上专用设备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23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台。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 xml:space="preserve">    </w:t>
            </w:r>
          </w:p>
        </w:tc>
      </w:tr>
      <w:tr w:rsidR="003C5545">
        <w:trPr>
          <w:trHeight w:val="499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5545" w:rsidRDefault="00F9149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（六）预算绩效目标说明</w:t>
            </w:r>
          </w:p>
        </w:tc>
      </w:tr>
      <w:tr w:rsidR="003C5545">
        <w:trPr>
          <w:trHeight w:val="1125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5545" w:rsidRDefault="00F9149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本单位所有支出实行绩效目标管理。纳入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年部门整体支出绩效目标的金额为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529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万元，其中，基本支出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万元，项目支出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529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万元，详见文尾附表中单位预算公开表格的表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21-22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。</w:t>
            </w:r>
          </w:p>
        </w:tc>
      </w:tr>
      <w:tr w:rsidR="003C5545">
        <w:trPr>
          <w:trHeight w:val="499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5545" w:rsidRDefault="00F9149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七、名词解释</w:t>
            </w:r>
          </w:p>
        </w:tc>
      </w:tr>
      <w:tr w:rsidR="003C5545">
        <w:trPr>
          <w:trHeight w:val="3000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5545" w:rsidRDefault="00F9149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 xml:space="preserve">    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公出国（境）费反映单位公务出国（境）的国际旅费、国外城市间交通费、食宿费等支出。</w:t>
            </w:r>
          </w:p>
        </w:tc>
      </w:tr>
      <w:tr w:rsidR="003C5545">
        <w:trPr>
          <w:trHeight w:val="900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5545" w:rsidRDefault="00F9149B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t>第二部分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t xml:space="preserve">  2022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t>年单位预算公开表格</w:t>
            </w:r>
          </w:p>
        </w:tc>
      </w:tr>
      <w:tr w:rsidR="003C5545">
        <w:trPr>
          <w:trHeight w:val="8190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954E7" w:rsidRDefault="00F9149B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、收支总表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、收入总表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、支出总表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、支出预算分类汇总表（按政府预算经济分类）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、支出预算分类汇总表（按部门预算经济分类）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、财政拨款收支总表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人员经费（工资福利支出）（按政府预算经济分类）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人员经费（工资福利支出）（按部门预算经济分类）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人员经费（对个人和家庭的补助）（按政府预算经济分类）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人员经费（对个人和家庭的补助）（按部门预算经济分类）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 w:rsidR="00A954E7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经费（商品和服务支出）（按政府预算经济分类）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 w:rsidR="00A954E7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经费（商品和服务支出）（按部门预算经济分类）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、一般公共预算“三公”经费支出表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、政府性基金预算支出表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、政府性基金预算支出分类汇总表（按政府预算经济分类）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17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、政府性基金预算支出分类汇总表（按部门预算经济分类）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、国有资本经营预算支出表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、财政专户管理资金预算支出表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、专项资金预算汇总表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、项目支出绩效目标表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、整体支出绩效目标表</w:t>
            </w:r>
          </w:p>
          <w:p w:rsidR="003C5545" w:rsidRDefault="00A954E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A954E7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23、一般公共预算基本支出表</w:t>
            </w:r>
            <w:r w:rsidR="00F9149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</w:r>
            <w:r w:rsidR="00F9149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注：以上单位预算公开报表中，空表表示本单位无相关收支情况。</w:t>
            </w:r>
          </w:p>
        </w:tc>
      </w:tr>
    </w:tbl>
    <w:p w:rsidR="003C5545" w:rsidRDefault="003C5545"/>
    <w:sectPr w:rsidR="003C5545" w:rsidSect="003C55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149B" w:rsidRDefault="00F9149B" w:rsidP="007A2DC5">
      <w:r>
        <w:separator/>
      </w:r>
    </w:p>
  </w:endnote>
  <w:endnote w:type="continuationSeparator" w:id="1">
    <w:p w:rsidR="00F9149B" w:rsidRDefault="00F9149B" w:rsidP="007A2D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_GBK">
    <w:altName w:val="宋体"/>
    <w:charset w:val="86"/>
    <w:family w:val="roma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149B" w:rsidRDefault="00F9149B" w:rsidP="007A2DC5">
      <w:r>
        <w:separator/>
      </w:r>
    </w:p>
  </w:footnote>
  <w:footnote w:type="continuationSeparator" w:id="1">
    <w:p w:rsidR="00F9149B" w:rsidRDefault="00F9149B" w:rsidP="007A2DC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jI1YzM1MmQ5Mzc4ZGI2ZDFjZDFhYWYxN2Y2YmFiOTEifQ=="/>
  </w:docVars>
  <w:rsids>
    <w:rsidRoot w:val="00656F82"/>
    <w:rsid w:val="000E3513"/>
    <w:rsid w:val="003C5545"/>
    <w:rsid w:val="00656F82"/>
    <w:rsid w:val="007A2DC5"/>
    <w:rsid w:val="008E16C2"/>
    <w:rsid w:val="00A954E7"/>
    <w:rsid w:val="00F9149B"/>
    <w:rsid w:val="1D5B3606"/>
    <w:rsid w:val="32901E52"/>
    <w:rsid w:val="3D595283"/>
    <w:rsid w:val="58D36758"/>
    <w:rsid w:val="7E632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oa heading" w:semiHidden="0" w:unhideWhenUsed="0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3C5545"/>
    <w:pPr>
      <w:widowControl w:val="0"/>
      <w:jc w:val="both"/>
    </w:pPr>
    <w:rPr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oa heading"/>
    <w:basedOn w:val="a"/>
    <w:next w:val="a"/>
    <w:uiPriority w:val="99"/>
    <w:qFormat/>
    <w:rsid w:val="003C5545"/>
    <w:pPr>
      <w:spacing w:before="120" w:after="200" w:line="276" w:lineRule="auto"/>
    </w:pPr>
    <w:rPr>
      <w:rFonts w:ascii="Arial" w:hAnsi="Arial"/>
      <w:sz w:val="24"/>
    </w:rPr>
  </w:style>
  <w:style w:type="paragraph" w:styleId="a4">
    <w:name w:val="footer"/>
    <w:basedOn w:val="a"/>
    <w:link w:val="Char"/>
    <w:uiPriority w:val="99"/>
    <w:unhideWhenUsed/>
    <w:qFormat/>
    <w:rsid w:val="003C55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rsid w:val="003C55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1"/>
    <w:link w:val="a5"/>
    <w:uiPriority w:val="99"/>
    <w:semiHidden/>
    <w:qFormat/>
    <w:rsid w:val="003C5545"/>
    <w:rPr>
      <w:sz w:val="18"/>
      <w:szCs w:val="18"/>
    </w:rPr>
  </w:style>
  <w:style w:type="character" w:customStyle="1" w:styleId="Char">
    <w:name w:val="页脚 Char"/>
    <w:basedOn w:val="a1"/>
    <w:link w:val="a4"/>
    <w:uiPriority w:val="99"/>
    <w:semiHidden/>
    <w:qFormat/>
    <w:rsid w:val="003C554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508</Words>
  <Characters>2899</Characters>
  <Application>Microsoft Office Word</Application>
  <DocSecurity>0</DocSecurity>
  <Lines>24</Lines>
  <Paragraphs>6</Paragraphs>
  <ScaleCrop>false</ScaleCrop>
  <Company>微软中国</Company>
  <LinksUpToDate>false</LinksUpToDate>
  <CharactersWithSpaces>3401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PC</cp:lastModifiedBy>
  <cp:revision>5</cp:revision>
  <dcterms:created xsi:type="dcterms:W3CDTF">2023-09-22T12:20:00Z</dcterms:created>
  <dcterms:modified xsi:type="dcterms:W3CDTF">2023-09-22T12:24:00Z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72BCD60EADFC4E92827EC24B2C6E7A70_12</vt:lpwstr>
  </property>
</Properties>
</file>