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jc w:val="center"/>
        <w:rPr>
          <w:rFonts w:hint="eastAsia"/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84"/>
          <w:szCs w:val="84"/>
        </w:rPr>
      </w:pPr>
    </w:p>
    <w:p>
      <w:pPr>
        <w:pStyle w:val="13"/>
        <w:jc w:val="center"/>
        <w:rPr>
          <w:sz w:val="84"/>
          <w:szCs w:val="84"/>
        </w:rPr>
      </w:pPr>
    </w:p>
    <w:p>
      <w:pPr>
        <w:pStyle w:val="13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13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岳阳市农业综合行政执法支队部门</w:t>
      </w:r>
      <w:r>
        <w:rPr>
          <w:rFonts w:hint="eastAsia"/>
          <w:sz w:val="84"/>
          <w:szCs w:val="84"/>
        </w:rPr>
        <w:t>决算</w:t>
      </w: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56"/>
          <w:szCs w:val="56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jc w:val="center"/>
        <w:rPr>
          <w:sz w:val="32"/>
          <w:szCs w:val="32"/>
        </w:rPr>
      </w:pPr>
    </w:p>
    <w:p>
      <w:pPr>
        <w:pStyle w:val="13"/>
        <w:spacing w:line="540" w:lineRule="exact"/>
        <w:jc w:val="both"/>
        <w:rPr>
          <w:sz w:val="56"/>
          <w:szCs w:val="56"/>
        </w:rPr>
      </w:pPr>
    </w:p>
    <w:p>
      <w:pPr>
        <w:pStyle w:val="13"/>
        <w:spacing w:line="500" w:lineRule="exact"/>
        <w:jc w:val="center"/>
        <w:rPr>
          <w:b/>
          <w:sz w:val="36"/>
          <w:szCs w:val="28"/>
        </w:rPr>
      </w:pPr>
    </w:p>
    <w:p>
      <w:pPr>
        <w:pStyle w:val="13"/>
        <w:spacing w:line="500" w:lineRule="exact"/>
        <w:jc w:val="center"/>
        <w:rPr>
          <w:b/>
          <w:sz w:val="36"/>
          <w:szCs w:val="28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  <w:lang w:eastAsia="zh-CN"/>
        </w:rPr>
        <w:t>岳阳市农业综合行政执法支队部门</w:t>
      </w:r>
      <w:r>
        <w:rPr>
          <w:rFonts w:hint="eastAsia"/>
          <w:b/>
          <w:sz w:val="28"/>
          <w:szCs w:val="28"/>
        </w:rPr>
        <w:t>概况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</w:t>
      </w: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部门</w:t>
      </w:r>
      <w:r>
        <w:rPr>
          <w:rFonts w:cs="仿宋_GB2312" w:asciiTheme="minorEastAsia" w:hAnsiTheme="minorEastAsia" w:eastAsiaTheme="minorEastAsia"/>
          <w:sz w:val="28"/>
          <w:szCs w:val="28"/>
        </w:rPr>
        <w:t>职责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及决算单位构成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</w:t>
      </w:r>
      <w:r>
        <w:rPr>
          <w:rFonts w:hint="eastAsia" w:hAnsi="仿宋_GB2312"/>
          <w:b/>
          <w:sz w:val="28"/>
          <w:szCs w:val="28"/>
          <w:lang w:eastAsia="zh-CN"/>
        </w:rPr>
        <w:t>部门</w:t>
      </w:r>
      <w:r>
        <w:rPr>
          <w:rFonts w:hint="eastAsia" w:hAnsi="仿宋_GB2312"/>
          <w:b/>
          <w:sz w:val="28"/>
          <w:szCs w:val="28"/>
        </w:rPr>
        <w:t>决算表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</w:t>
      </w:r>
      <w:r>
        <w:rPr>
          <w:rFonts w:hint="eastAsia" w:hAnsi="仿宋_GB2312"/>
          <w:b/>
          <w:sz w:val="28"/>
          <w:szCs w:val="28"/>
          <w:lang w:eastAsia="zh-CN"/>
        </w:rPr>
        <w:t>部门</w:t>
      </w:r>
      <w:r>
        <w:rPr>
          <w:rFonts w:hint="eastAsia" w:hAnsi="仿宋_GB2312"/>
          <w:b/>
          <w:sz w:val="28"/>
          <w:szCs w:val="28"/>
        </w:rPr>
        <w:t>决算情况说明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13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13"/>
        <w:jc w:val="center"/>
        <w:rPr>
          <w:sz w:val="84"/>
          <w:szCs w:val="84"/>
        </w:rPr>
      </w:pPr>
    </w:p>
    <w:p>
      <w:pPr>
        <w:pStyle w:val="13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岳阳市农业综合行政执法</w:t>
      </w:r>
    </w:p>
    <w:p>
      <w:pPr>
        <w:pStyle w:val="13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支队部门</w:t>
      </w:r>
      <w:r>
        <w:rPr>
          <w:rFonts w:hint="eastAsia"/>
          <w:sz w:val="84"/>
          <w:szCs w:val="84"/>
        </w:rPr>
        <w:t>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4"/>
        <w:ind w:left="0" w:leftChars="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4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部门</w:t>
      </w:r>
      <w:r>
        <w:rPr>
          <w:rFonts w:ascii="黑体" w:hAnsi="黑体" w:eastAsia="黑体"/>
          <w:sz w:val="32"/>
          <w:szCs w:val="32"/>
        </w:rPr>
        <w:t>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根据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岳编发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号，我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单位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主要职责如下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宋体" w:cs="宋体"/>
          <w:kern w:val="0"/>
          <w:sz w:val="32"/>
          <w:szCs w:val="32"/>
        </w:rPr>
        <w:t>贯彻执行国家有关农业农村方面的法律、法规、规章和政策规定；代拟全市农业综合行政执法工作方面的规范性文件、总体规划和年度计划，并组织实施。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32"/>
          <w:szCs w:val="32"/>
        </w:rPr>
        <w:t>依法行使法律、法规、规章赋予的农业行政处罚权以及与行政处罚相关的行政检查、行政强制权等行政执法职能，具体承担岳阳经济技术开发区、城陵矶新港区、南湖新区范围内农业综合行政执法工作。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32"/>
          <w:szCs w:val="32"/>
        </w:rPr>
        <w:t>负责全市农业重大复杂违法案件和跨县(市、区）违法案件的查处；组织或配合农业联合执法行动；依法查处上级交办、相关部门移交、下级移送及群众投诉举报的违法案件。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4、</w:t>
      </w:r>
      <w:r>
        <w:rPr>
          <w:rFonts w:hint="eastAsia" w:ascii="宋体" w:hAnsi="宋体" w:eastAsia="宋体" w:cs="宋体"/>
          <w:kern w:val="0"/>
          <w:sz w:val="32"/>
          <w:szCs w:val="32"/>
        </w:rPr>
        <w:t>负责对县（市、区）农业综合行政执法工作进行指导、协调、监督和考核。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5、</w:t>
      </w:r>
      <w:r>
        <w:rPr>
          <w:rFonts w:hint="eastAsia" w:ascii="宋体" w:hAnsi="宋体" w:eastAsia="宋体" w:cs="宋体"/>
          <w:kern w:val="0"/>
          <w:sz w:val="32"/>
          <w:szCs w:val="32"/>
        </w:rPr>
        <w:t>负责农业行政执法和刑事司法工作衔接，移送涉嫌犯罪案件。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6、</w:t>
      </w:r>
      <w:r>
        <w:rPr>
          <w:rFonts w:hint="eastAsia" w:ascii="宋体" w:hAnsi="宋体" w:eastAsia="宋体" w:cs="宋体"/>
          <w:kern w:val="0"/>
          <w:sz w:val="32"/>
          <w:szCs w:val="32"/>
        </w:rPr>
        <w:t>指导全市农业投入品市场诚信体系建设工作；负责组织全市农业综合行政执法方面法律法规宣传和培训工作。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7、</w:t>
      </w:r>
      <w:r>
        <w:rPr>
          <w:rFonts w:hint="eastAsia" w:ascii="宋体" w:hAnsi="宋体" w:eastAsia="宋体" w:cs="宋体"/>
          <w:kern w:val="0"/>
          <w:sz w:val="32"/>
          <w:szCs w:val="32"/>
        </w:rPr>
        <w:t>承担上级交办的其他工作。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</w:rPr>
        <w:t>、机构设置及决算单位构成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（一）内设机构设置。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岳阳市农业综合行政执法支队</w:t>
      </w:r>
      <w:r>
        <w:rPr>
          <w:rFonts w:hint="eastAsia" w:ascii="宋体" w:hAnsi="宋体" w:eastAsia="宋体" w:cs="宋体"/>
          <w:kern w:val="0"/>
          <w:sz w:val="32"/>
          <w:szCs w:val="32"/>
        </w:rPr>
        <w:t>单位内设机构包括：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⑴．三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个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副科级内设机构：综合科、党委办、政策宣教科。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⑵．六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个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正科级执法大队：政策宣传与法制大队、直属一大队（农业投入品、农业资源与环境保护和农村宅基地执法大队）、直属二大队（渔政执法大队）、直属三大队（农产品质量安全执法大队）、直属四大队（畜牧业执法大队）、直属五大队（农机执法大队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（二）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决算单位构成。岳阳市农业综合行政执法支队单位2021年部门决算汇总公开单位构成包括：岳阳市农业综合行政执法支队单位本级。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ind w:firstLine="3600" w:firstLineChars="5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13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13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13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13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13"/>
        <w:ind w:firstLine="3600" w:firstLineChars="5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13"/>
        <w:jc w:val="center"/>
        <w:rPr>
          <w:sz w:val="70"/>
          <w:szCs w:val="70"/>
        </w:rPr>
      </w:pPr>
    </w:p>
    <w:p>
      <w:pPr>
        <w:pStyle w:val="13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13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2021年度收、支总计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2234.98</w:t>
      </w:r>
      <w:r>
        <w:rPr>
          <w:rFonts w:hint="eastAsia" w:asciiTheme="minorEastAsia" w:hAnsiTheme="minorEastAsia" w:eastAsiaTheme="minorEastAsia"/>
          <w:sz w:val="32"/>
          <w:szCs w:val="32"/>
        </w:rPr>
        <w:t>万元。与上年相比，增加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634.5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28.38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主管部门转拨的“</w:t>
      </w:r>
      <w:r>
        <w:rPr>
          <w:rFonts w:hint="eastAsia" w:asciiTheme="minorEastAsia" w:hAnsiTheme="minorEastAsia" w:eastAsiaTheme="minorEastAsia"/>
          <w:sz w:val="32"/>
          <w:szCs w:val="32"/>
          <w:lang w:val="en-US"/>
        </w:rPr>
        <w:t>洞庭湖水上联合执法能力提升工程栈桥项目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”资金及该项目的建设支出。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b w:val="0"/>
          <w:bCs w:val="0"/>
          <w:i/>
          <w:iCs/>
          <w:sz w:val="36"/>
          <w:szCs w:val="36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1632.35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916.08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56.12</w:t>
      </w:r>
      <w:r>
        <w:rPr>
          <w:rFonts w:hint="eastAsia" w:asciiTheme="minorEastAsia" w:hAnsiTheme="minorEastAsia" w:eastAsiaTheme="minorEastAsia"/>
          <w:sz w:val="32"/>
          <w:szCs w:val="32"/>
        </w:rPr>
        <w:t>%；上级补助收入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%；附属单位上缴收入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716.27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43.88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1604.13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825.98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51.5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778.15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48.5</w:t>
      </w:r>
      <w:r>
        <w:rPr>
          <w:rFonts w:hint="eastAsia" w:asciiTheme="minorEastAsia" w:hAnsiTheme="minorEastAsia" w:eastAsiaTheme="minorEastAsia"/>
          <w:sz w:val="32"/>
          <w:szCs w:val="32"/>
        </w:rPr>
        <w:t>%；上缴上级支出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%；对附属单位补助支出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2021年度财政拨款收、支总计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1312.39</w:t>
      </w:r>
      <w:r>
        <w:rPr>
          <w:rFonts w:hint="eastAsia" w:asciiTheme="minorEastAsia" w:hAnsiTheme="minorEastAsia" w:eastAsiaTheme="minorEastAsia"/>
          <w:sz w:val="32"/>
          <w:szCs w:val="32"/>
        </w:rPr>
        <w:t>万元，与上年相比，增加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11.87</w:t>
      </w:r>
      <w:r>
        <w:rPr>
          <w:rFonts w:hint="eastAsia" w:asciiTheme="minorEastAsia" w:hAnsiTheme="minorEastAsia" w:eastAsiaTheme="minorEastAsia"/>
          <w:sz w:val="32"/>
          <w:szCs w:val="32"/>
        </w:rPr>
        <w:t>万元,增长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0.91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单位改变工资体系后工资增资。</w:t>
      </w:r>
    </w:p>
    <w:p>
      <w:pPr>
        <w:pStyle w:val="13"/>
        <w:numPr>
          <w:ilvl w:val="0"/>
          <w:numId w:val="2"/>
        </w:numPr>
        <w:rPr>
          <w:rFonts w:hint="eastAsia"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一般公共预算财政拨款支出决算情况说明</w:t>
      </w:r>
    </w:p>
    <w:p>
      <w:pPr>
        <w:pStyle w:val="13"/>
        <w:numPr>
          <w:ilvl w:val="0"/>
          <w:numId w:val="0"/>
        </w:numPr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13"/>
        <w:ind w:firstLine="640" w:firstLineChars="200"/>
        <w:rPr>
          <w:rFonts w:asciiTheme="minorEastAsia" w:hAnsiTheme="minorEastAsia" w:eastAsiaTheme="minorEastAsia"/>
          <w:i/>
          <w:iCs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1312.39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81.81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365.72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38.63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val="en-US"/>
        </w:rPr>
        <w:t>洞庭湖水上联合执法能力提升工程栈桥项目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的建设支出。</w:t>
      </w:r>
    </w:p>
    <w:p>
      <w:pPr>
        <w:pStyle w:val="13"/>
        <w:tabs>
          <w:tab w:val="left" w:pos="840"/>
        </w:tabs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13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1312.39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万元，主要用于以下方面：一般公共服务（类）支出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1312.39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</w:t>
      </w:r>
      <w:r>
        <w:rPr>
          <w:rFonts w:hint="eastAsia" w:asciiTheme="minorEastAsia" w:hAnsiTheme="minorEastAsia" w:eastAsiaTheme="minorEastAsia"/>
          <w:sz w:val="32"/>
          <w:szCs w:val="32"/>
        </w:rPr>
        <w:t>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82.74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6.3</w:t>
      </w:r>
      <w:r>
        <w:rPr>
          <w:rFonts w:hint="eastAsia" w:asciiTheme="minorEastAsia" w:hAnsiTheme="minorEastAsia" w:eastAsiaTheme="minorEastAsia"/>
          <w:sz w:val="32"/>
          <w:szCs w:val="32"/>
        </w:rPr>
        <w:t>%;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卫生健康</w:t>
      </w:r>
      <w:r>
        <w:rPr>
          <w:rFonts w:hint="eastAsia" w:asciiTheme="minorEastAsia" w:hAnsiTheme="minorEastAsia" w:eastAsiaTheme="minorEastAsia"/>
          <w:sz w:val="32"/>
          <w:szCs w:val="32"/>
        </w:rPr>
        <w:t>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22.46万元，</w:t>
      </w:r>
      <w:r>
        <w:rPr>
          <w:rFonts w:hint="eastAsia" w:asciiTheme="minorEastAsia" w:hAnsiTheme="minorEastAsia" w:eastAsiaTheme="minorEastAsia"/>
          <w:sz w:val="32"/>
          <w:szCs w:val="32"/>
        </w:rPr>
        <w:t>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1.71</w:t>
      </w:r>
      <w:r>
        <w:rPr>
          <w:rFonts w:hint="eastAsia" w:asciiTheme="minorEastAsia" w:hAnsiTheme="minorEastAsia" w:eastAsiaTheme="minorEastAsia"/>
          <w:sz w:val="32"/>
          <w:szCs w:val="32"/>
        </w:rPr>
        <w:t>%;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</w:t>
      </w:r>
      <w:r>
        <w:rPr>
          <w:rFonts w:hint="eastAsia" w:asciiTheme="minorEastAsia" w:hAnsiTheme="minorEastAsia" w:eastAsiaTheme="minorEastAsia"/>
          <w:sz w:val="32"/>
          <w:szCs w:val="32"/>
        </w:rPr>
        <w:t>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1092.2万元，占83.23%；交通运输</w:t>
      </w:r>
      <w:r>
        <w:rPr>
          <w:rFonts w:hint="eastAsia" w:asciiTheme="minorEastAsia" w:hAnsiTheme="minorEastAsia" w:eastAsiaTheme="minorEastAsia"/>
          <w:sz w:val="32"/>
          <w:szCs w:val="32"/>
        </w:rPr>
        <w:t>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115万元，占8.76%。</w:t>
      </w:r>
    </w:p>
    <w:p>
      <w:pPr>
        <w:pStyle w:val="13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13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518.76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1312.39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252.98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3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行政事业单位养老支出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事业单位离退休</w:t>
      </w:r>
      <w:r>
        <w:rPr>
          <w:rFonts w:hint="eastAsia" w:asciiTheme="minorEastAsia" w:hAnsiTheme="minorEastAsia" w:eastAsiaTheme="minorEastAsia"/>
          <w:sz w:val="32"/>
          <w:szCs w:val="32"/>
        </w:rPr>
        <w:t>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11.45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11.35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慰问费在公用经费中列支。</w:t>
      </w:r>
    </w:p>
    <w:p>
      <w:pPr>
        <w:pStyle w:val="13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行政事业单位养老支出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）机关事业单位基本养老保险缴费支出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48.55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48.55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numPr>
          <w:ilvl w:val="0"/>
          <w:numId w:val="3"/>
        </w:numPr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抚恤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）其他优抚支出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老干王德民去世支付抚恤金。</w:t>
      </w:r>
    </w:p>
    <w:p>
      <w:pPr>
        <w:pStyle w:val="13"/>
        <w:numPr>
          <w:ilvl w:val="0"/>
          <w:numId w:val="0"/>
        </w:numPr>
        <w:ind w:firstLine="960" w:firstLineChars="3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残疾人事业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）其他残疾人事业支出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4.47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4.47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numPr>
          <w:ilvl w:val="0"/>
          <w:numId w:val="0"/>
        </w:numPr>
        <w:tabs>
          <w:tab w:val="left" w:pos="840"/>
        </w:tabs>
        <w:ind w:leftChars="250" w:firstLine="320" w:firstLineChars="1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卫生健康支出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行政事业单位医疗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）事业单位医疗（项）。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22.46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22.46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numPr>
          <w:ilvl w:val="0"/>
          <w:numId w:val="0"/>
        </w:numPr>
        <w:tabs>
          <w:tab w:val="left" w:pos="840"/>
        </w:tabs>
        <w:ind w:leftChars="250" w:firstLine="320" w:firstLineChars="1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农业农村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）事业运行（项）。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361.62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611.48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169.09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于年初预算数的主要原因是：⑴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年终绩效奖金支出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205.6万元；⑵工资体系改变补发工资44.26万元。</w:t>
      </w:r>
    </w:p>
    <w:p>
      <w:pPr>
        <w:pStyle w:val="13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农业农村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）病虫害控制（项）。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省级转移支付的专项资金。</w:t>
      </w:r>
    </w:p>
    <w:p>
      <w:pPr>
        <w:pStyle w:val="13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农业农村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）农产品质量安全（项）。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6.3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6.3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农业农村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）执法监管（项）。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农业农村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）农业生产发展（项）。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使用了上年结转指标及上级转移支付资金。</w:t>
      </w:r>
    </w:p>
    <w:p>
      <w:pPr>
        <w:pStyle w:val="13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农业农村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）农业资源保护与利用（项）。</w:t>
      </w:r>
    </w:p>
    <w:p>
      <w:pPr>
        <w:pStyle w:val="13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371.42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使用了上年结转指标及上级转移支付资金。</w:t>
      </w:r>
    </w:p>
    <w:p>
      <w:pPr>
        <w:pStyle w:val="13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农林水支出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水利</w:t>
      </w:r>
      <w:r>
        <w:rPr>
          <w:rFonts w:hint="eastAsia" w:asciiTheme="minorEastAsia" w:hAnsiTheme="minorEastAsia" w:eastAsiaTheme="minorEastAsia"/>
          <w:sz w:val="32"/>
          <w:szCs w:val="32"/>
        </w:rPr>
        <w:t>（款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）水利工程建设（项）。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80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使用了上级转移支付资金。</w:t>
      </w:r>
    </w:p>
    <w:p>
      <w:pPr>
        <w:pStyle w:val="13"/>
        <w:numPr>
          <w:ilvl w:val="0"/>
          <w:numId w:val="4"/>
        </w:numPr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一般公共服务支出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交通运输支出（类）成品油价格改革对交通运输的补贴（款）成品油价格改革补贴其他支出（项）。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115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大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使用了上级转移支付资金。</w:t>
      </w:r>
    </w:p>
    <w:p>
      <w:pPr>
        <w:pStyle w:val="13"/>
        <w:numPr>
          <w:ilvl w:val="0"/>
          <w:numId w:val="0"/>
        </w:numPr>
        <w:rPr>
          <w:rFonts w:hAnsi="黑体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 </w:t>
      </w: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825.98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774.8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93.8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%,主要包括主要包括基本工资、津贴补贴、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奖金、伙食补助费、绩效工资、机关事业单位基本养老保险缴费、职业年金缴费、职工基本医疗保险缴费、公务员医疗补助缴费、其他社会保障缴费、住房公积金、医疗费、其他工资福利支出、离休费、退休费、抚恤金、生活补助、医疗费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51.18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6.2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公务用车购置、其他交通工具购置、文物和陈列品购置、无形资产购置、其他资本性支出、赠与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13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13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31.73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96.15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由于预算数为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0，无法计算百分比，</w:t>
      </w:r>
      <w:r>
        <w:rPr>
          <w:rFonts w:hint="eastAsia" w:asciiTheme="minorEastAsia" w:hAnsiTheme="minorEastAsia" w:eastAsiaTheme="minorEastAsia"/>
          <w:sz w:val="32"/>
          <w:szCs w:val="32"/>
        </w:rPr>
        <w:t>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等于</w:t>
      </w:r>
      <w:r>
        <w:rPr>
          <w:rFonts w:hint="eastAsia" w:asciiTheme="minorEastAsia" w:hAnsiTheme="minorEastAsia" w:eastAsiaTheme="minorEastAsia"/>
          <w:sz w:val="32"/>
          <w:szCs w:val="32"/>
        </w:rPr>
        <w:t>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未安排</w:t>
      </w:r>
      <w:r>
        <w:rPr>
          <w:rFonts w:hint="eastAsia" w:asciiTheme="minorEastAsia" w:hAnsiTheme="minorEastAsia" w:eastAsiaTheme="minorEastAsia"/>
          <w:sz w:val="32"/>
          <w:szCs w:val="32"/>
        </w:rPr>
        <w:t>因公出国（境）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预算与支出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，与上年相比减少（增加）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万元，减少（增长）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%,减少（增长）的主要原因是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无因公出国（境）费支出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5.56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92.66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认真贯彻落实中央“八项规定”精神和厉行节约要求，从严控制“三公”经费开支，全年实际支出比预算有所节约，</w:t>
      </w:r>
      <w:r>
        <w:rPr>
          <w:rFonts w:hint="eastAsia" w:asciiTheme="minorEastAsia" w:hAnsiTheme="minorEastAsia" w:eastAsiaTheme="minorEastAsia"/>
          <w:sz w:val="32"/>
          <w:szCs w:val="32"/>
        </w:rPr>
        <w:t>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52.15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是认真贯彻落实中央“八项规定”精神和厉行节约要求，从严控制“三公”经费开支。</w:t>
      </w:r>
    </w:p>
    <w:p>
      <w:pPr>
        <w:pStyle w:val="13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19.46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97.3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认真贯彻落实中央“八项规定”精神和厉行节约要求，从严控制“三公”经费开支，全年实际支出比预算有所节约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2.86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17.22</w:t>
      </w:r>
      <w:r>
        <w:rPr>
          <w:rFonts w:hint="eastAsia" w:asciiTheme="minorEastAsia" w:hAnsiTheme="minorEastAsia" w:eastAsiaTheme="minorEastAsia"/>
          <w:sz w:val="32"/>
          <w:szCs w:val="32"/>
        </w:rPr>
        <w:t>%,增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长</w:t>
      </w:r>
      <w:r>
        <w:rPr>
          <w:rFonts w:hint="eastAsia" w:asciiTheme="minorEastAsia" w:hAnsiTheme="minorEastAsia" w:eastAsiaTheme="minorEastAsia"/>
          <w:sz w:val="32"/>
          <w:szCs w:val="32"/>
        </w:rPr>
        <w:t>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我单位执法工作需要经审批采购了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7座商务执法用车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3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95.71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认真贯彻落实中央“八项规定”精神和厉行节约要求，从严控制“三公”经费开支，全年实际支出比预算有所节约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30.85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认真贯彻落实中央“八项规定”精神和厉行节约要求，从严控制“三公”经费开支，全年实际支出比预算有所节约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3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13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5.56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17.52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26.16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82.44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人次,开支内容包括：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未安排</w:t>
      </w:r>
      <w:r>
        <w:rPr>
          <w:rFonts w:hint="eastAsia" w:asciiTheme="minorEastAsia" w:hAnsiTheme="minorEastAsia" w:eastAsiaTheme="minorEastAsia"/>
          <w:sz w:val="32"/>
          <w:szCs w:val="32"/>
        </w:rPr>
        <w:t>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5.56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56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463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主要用于与有关单位交流工作情况及接受相关部门检查指导工作</w:t>
      </w:r>
      <w:r>
        <w:rPr>
          <w:rFonts w:hint="eastAsia" w:asciiTheme="minorEastAsia" w:hAnsiTheme="minorEastAsia" w:eastAsiaTheme="minorEastAsia"/>
          <w:sz w:val="32"/>
          <w:szCs w:val="32"/>
        </w:rPr>
        <w:t>发生的接待支出。</w:t>
      </w:r>
    </w:p>
    <w:p>
      <w:pPr>
        <w:ind w:firstLine="800" w:firstLineChars="2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26.16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19.46</w:t>
      </w:r>
      <w:r>
        <w:rPr>
          <w:rFonts w:hint="eastAsia" w:asciiTheme="minorEastAsia" w:hAnsiTheme="minorEastAsia"/>
          <w:sz w:val="32"/>
          <w:szCs w:val="32"/>
        </w:rPr>
        <w:t>万元，</w:t>
      </w:r>
      <w:r>
        <w:rPr>
          <w:rFonts w:hint="eastAsia" w:asciiTheme="minorEastAsia" w:hAnsiTheme="minorEastAsia"/>
          <w:sz w:val="32"/>
          <w:szCs w:val="32"/>
          <w:lang w:eastAsia="zh-CN"/>
        </w:rPr>
        <w:t>市农业综合行政执法支队</w:t>
      </w:r>
      <w:r>
        <w:rPr>
          <w:rFonts w:hint="eastAsia" w:asciiTheme="minorEastAsia" w:hAnsiTheme="minorEastAsia"/>
          <w:sz w:val="32"/>
          <w:szCs w:val="32"/>
        </w:rPr>
        <w:t>更新公务用车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>辆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6.7</w:t>
      </w:r>
      <w:r>
        <w:rPr>
          <w:rFonts w:hint="eastAsia" w:asciiTheme="minorEastAsia" w:hAnsiTheme="minorEastAsia"/>
          <w:sz w:val="32"/>
          <w:szCs w:val="32"/>
        </w:rPr>
        <w:t>万元，主要是</w:t>
      </w:r>
      <w:r>
        <w:rPr>
          <w:rFonts w:hint="eastAsia" w:ascii="宋体" w:hAnsi="宋体"/>
          <w:color w:val="auto"/>
          <w:sz w:val="32"/>
          <w:szCs w:val="24"/>
          <w:highlight w:val="white"/>
          <w:lang w:val="zh-CN"/>
        </w:rPr>
        <w:t>按规定保留的公务用车的燃料费、维修费、过桥过路费、保险费、安全奖励费用等</w:t>
      </w:r>
      <w:r>
        <w:rPr>
          <w:rFonts w:hint="eastAsia" w:asciiTheme="minorEastAsia" w:hAnsiTheme="minorEastAsia"/>
          <w:sz w:val="32"/>
          <w:szCs w:val="32"/>
        </w:rPr>
        <w:t>支出，截止2021年12月31日，我单位开支财政拨款的公务用车保有量为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i/>
          <w:color w:val="FF000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2021年度政府性基金预算财政拨款收入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万元；年初结转和结余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万元；年末结转和结余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万元。具体情况如下：本单位无政府性基金收支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numPr>
          <w:ilvl w:val="0"/>
          <w:numId w:val="5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2021年度国有资本经营预算财政拨款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万元。本单位无国有资本经营预算财政拨款支出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13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51.18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万元，比年初预算数减少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4.51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万元，降低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8.09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认真贯彻落实中央“八项规定”精神和厉行节约要求，从严控制经费开支，全年实际支出比预算有所节约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9.35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该会议是湖南省农业农村厅委托我市</w:t>
      </w:r>
      <w:r>
        <w:rPr>
          <w:rFonts w:hint="eastAsia" w:asciiTheme="minorEastAsia" w:hAnsiTheme="minorEastAsia" w:eastAsiaTheme="minorEastAsia"/>
          <w:sz w:val="32"/>
          <w:szCs w:val="32"/>
        </w:rPr>
        <w:t>召开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农业部长江流域重点水域“十年禁渔”全面启动活动</w:t>
      </w:r>
      <w:r>
        <w:rPr>
          <w:rFonts w:hint="eastAsia" w:asciiTheme="minorEastAsia" w:hAnsiTheme="minorEastAsia" w:eastAsiaTheme="minorEastAsia"/>
          <w:sz w:val="32"/>
          <w:szCs w:val="32"/>
        </w:rPr>
        <w:t>会议，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活动经费由省农业农村厅转移支付，</w:t>
      </w:r>
      <w:r>
        <w:rPr>
          <w:rFonts w:hint="eastAsia" w:asciiTheme="minorEastAsia" w:hAnsiTheme="minorEastAsia" w:eastAsiaTheme="minorEastAsia"/>
          <w:sz w:val="32"/>
          <w:szCs w:val="32"/>
        </w:rPr>
        <w:t>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310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深入贯彻习近平总书记关于长江禁捕退捕重要指示批示精神，落实党中央、国务院有关决策部署，确保长江“十年禁渔”扎实推进，全面推进落实各项目标任务，国家长江禁捕退捕工作专班定于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2020年12月31日上午10点，以湖北武汉市为主会场，举办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长江流域重点水域“十年禁渔”全面启动活动，各省设立分会场。湖南省分会场设在岳阳市巴陵广场及东洞庭湖南岳坡水域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13.65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万元，用于开展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全市农业综合执法骨干能力提升</w:t>
      </w:r>
      <w:r>
        <w:rPr>
          <w:rFonts w:hint="eastAsia" w:asciiTheme="minorEastAsia" w:hAnsiTheme="minorEastAsia" w:eastAsiaTheme="minorEastAsia"/>
          <w:sz w:val="32"/>
          <w:szCs w:val="32"/>
        </w:rPr>
        <w:t>培训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二期</w:t>
      </w:r>
      <w:r>
        <w:rPr>
          <w:rFonts w:hint="eastAsia" w:asciiTheme="minorEastAsia" w:hAnsiTheme="minorEastAsia" w:eastAsia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时间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4天，</w:t>
      </w:r>
      <w:r>
        <w:rPr>
          <w:rFonts w:hint="eastAsia" w:asciiTheme="minorEastAsia" w:hAnsiTheme="minorEastAsia" w:eastAsiaTheme="minorEastAsia"/>
          <w:sz w:val="32"/>
          <w:szCs w:val="32"/>
        </w:rPr>
        <w:t>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190</w:t>
      </w:r>
      <w:r>
        <w:rPr>
          <w:rFonts w:hint="eastAsia" w:asciiTheme="minorEastAsia" w:hAnsiTheme="minorEastAsia" w:eastAsiaTheme="minorEastAsia"/>
          <w:sz w:val="32"/>
          <w:szCs w:val="32"/>
        </w:rPr>
        <w:t>人，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经费预算每人每天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440元共16.72万元，农业资源保护修复与利用专项经费预算列支，</w:t>
      </w:r>
      <w:r>
        <w:rPr>
          <w:rFonts w:hint="eastAsia" w:asciiTheme="minorEastAsia" w:hAnsiTheme="minorEastAsia" w:eastAsiaTheme="minorEastAsia"/>
          <w:sz w:val="32"/>
          <w:szCs w:val="32"/>
        </w:rPr>
        <w:t>内容为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第一期农业法治建设的形式与任务、行政处罚法、农业行政执法程序与农业行政执法文书制作规范、农村宅基地执法、农产品质量安全执法、执法案例分析、疑难案件解析；第二期农业法治建设的形式与任务、行政执法三项制度、农业行政执法程序与农业行政执法文书制作规范、畜牧业执法、渔政执法、执法案例分析、疑难案件解析。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未</w:t>
      </w:r>
      <w:r>
        <w:rPr>
          <w:rFonts w:hint="eastAsia" w:asciiTheme="minorEastAsia" w:hAnsiTheme="minorEastAsia" w:eastAsiaTheme="minorEastAsia"/>
          <w:sz w:val="32"/>
          <w:szCs w:val="32"/>
        </w:rPr>
        <w:t>举办节庆、晚会、论坛、赛事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</w:t>
      </w:r>
      <w:r>
        <w:rPr>
          <w:rFonts w:hint="eastAsia" w:asciiTheme="minorEastAsia" w:hAnsiTheme="minorEastAsia" w:eastAsiaTheme="minorEastAsia"/>
          <w:sz w:val="32"/>
          <w:szCs w:val="32"/>
        </w:rPr>
        <w:t>活动，开支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13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本部门2021年度政府采购支出总额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751.02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16.7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726.32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24.7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3.29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24.7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万元，占授予中小企业合同金额的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%；货物采购授予中小企业合同金额占货物支出金额的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%，工程采购授予中小企业合同金额占工程支出金额的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%，服务采购授予中小企业合同金额占服务支出金额的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13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截至2021年12月31日，部门（单位）共有车辆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辆、特种专业技术用车辆、其他用车辆，其他用车主要是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13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2021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年度一般公共预算项目支出全面开展绩效自评，其中，一级项目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个，二级项目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个，共涉及资金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371.42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万元，占一般公共预算项目支出总额的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。组织对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2021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年度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等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个政府性基金预算项目支出开展绩效自评，共涉及资金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万元，占政府性基金预算项目支出总额的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。组织对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2021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年度等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个国有资本经营预算项目支出开展绩效自评，共涉及资金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万元，占国有资本经营预算项目支出总额的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组织对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岳阳市农业综合行政执法支队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等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个单位开展整体支出绩效评价，涉及一般公共预算支出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1312.39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岳阳市农业综合行政执法支队，根据年初设定的绩效目标，项目绩效自评得分为98分，全年完成开展案卷评查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1次、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举办全市执法骨干培训班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2期、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检查发现违法线索立案查处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100%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、上级交办、相关部门移交案件查处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100%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、立案结案及不发生行政诉讼败诉案件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100%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等绩效指标。（详见附件2）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我单位是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农业农村部首批农业综合行政执法示范窗口，行政处罚案卷多次荣获部、省优秀案卷奖，2021年顺利通过了农业农村部对示范窗口的复评；因禁捕工作成效明显，荣获农业农村部“中国渔政亮剑”系列专项执法行动工作成绩突出集体；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建立健全了财务管理制度、约束机制及监督机制,依法、有效地利用财政资金,提高财政资金使用效率,合理分配人、财、物,完成了部门职能目标,实现了较高的工作效率和支出绩效。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）部门决算中项目绩效自评结果。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洞庭湖水上联合执法能力提升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项目绩效自评综述：根据年初设定的绩效目标，项目绩效自评得分为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98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分。项目全年预算数为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400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万元，执行数为</w:t>
      </w:r>
      <w:r>
        <w:rPr>
          <w:rFonts w:hint="eastAsia" w:ascii="宋体" w:hAnsi="宋体" w:cs="黑体"/>
          <w:color w:val="000000"/>
          <w:kern w:val="0"/>
          <w:sz w:val="36"/>
          <w:szCs w:val="36"/>
          <w:lang w:val="en-US" w:eastAsia="zh-CN"/>
        </w:rPr>
        <w:t>371.42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万元，完成预算的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92.86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。项目绩效目标完成情况：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一是用于添置执法执勤车辆、红外夜视仪、执法记录仪、取证装备、强光手电、防刺套装、救生衣，建设询问室、装备室、案卷室、证据保存室等执法装备及设施，满足日常执法需要；二是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举办全市农业综合执法骨干能力提升培训班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，加强执法队伍自身建设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，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促进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执法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能力和水平稳步提升。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发现的主要问题及原因：1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一是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支队人事编制仍旧处于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锁定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状态，无法招录新人，届临退休的老同志较多，缺少新生力量，工作少了活力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；二是部分执法人员执法业务不熟，执法队伍、能力、保障不能满足执法需求。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执法监管着力点不平衡。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600" w:lineRule="exact"/>
        <w:ind w:firstLine="640" w:firstLineChars="200"/>
        <w:textAlignment w:val="auto"/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下一步改进措施：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一是加强现有执法队伍建设，提升执法队伍凝聚力；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600" w:lineRule="exact"/>
        <w:ind w:firstLine="640" w:firstLineChars="200"/>
        <w:textAlignment w:val="auto"/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二是举办执法业务培训，严格按照《岳阳市农业综合行政执法工作考核评分细则》，对农业综合行政执法进行考核，营造比学赶超的良好氛围。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</w:t>
      </w:r>
      <w:r>
        <w:rPr>
          <w:rFonts w:cs="黑体" w:asciiTheme="minorEastAsia" w:hAnsiTheme="minorEastAsia"/>
          <w:b/>
          <w:color w:val="000000"/>
          <w:kern w:val="0"/>
          <w:sz w:val="32"/>
          <w:szCs w:val="32"/>
        </w:rPr>
        <w:t>3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）部门评价项目绩效评价结果。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绩效管理工作开展顺利，部门决算中项目绩效自评结果为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优秀</w:t>
      </w:r>
      <w:r>
        <w:rPr>
          <w:rFonts w:hint="eastAsia"/>
          <w:sz w:val="32"/>
          <w:szCs w:val="32"/>
        </w:rPr>
        <w:t>，部门评价项目绩效评价结果为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优秀</w:t>
      </w:r>
      <w:r>
        <w:rPr>
          <w:rFonts w:hint="eastAsia"/>
          <w:sz w:val="32"/>
          <w:szCs w:val="32"/>
        </w:rPr>
        <w:t>，以部门为主体开展的重点绩效评价结果为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优秀</w:t>
      </w:r>
      <w:r>
        <w:rPr>
          <w:rFonts w:hint="eastAsia"/>
          <w:sz w:val="32"/>
          <w:szCs w:val="32"/>
        </w:rPr>
        <w:t>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预算绩效管理开展情况、绩效目标和绩效评价报告等，一并作为附件公开。</w:t>
      </w:r>
    </w:p>
    <w:p>
      <w:pPr>
        <w:pStyle w:val="13"/>
        <w:jc w:val="both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jc w:val="center"/>
        <w:rPr>
          <w:rFonts w:hint="eastAsia"/>
          <w:sz w:val="72"/>
          <w:szCs w:val="72"/>
        </w:rPr>
      </w:pPr>
    </w:p>
    <w:p>
      <w:pPr>
        <w:pStyle w:val="13"/>
        <w:ind w:firstLine="3600" w:firstLineChars="500"/>
        <w:jc w:val="both"/>
        <w:rPr>
          <w:sz w:val="72"/>
          <w:szCs w:val="72"/>
        </w:rPr>
      </w:pPr>
      <w:bookmarkStart w:id="0" w:name="_GoBack"/>
      <w:bookmarkEnd w:id="0"/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</w:p>
    <w:p>
      <w:pPr>
        <w:pStyle w:val="13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 w:eastAsiaTheme="minorEastAsia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1、2021年部门决算公开表格</w:t>
      </w:r>
    </w:p>
    <w:p>
      <w:pPr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2021年度部门整体支出绩效评价报告</w:t>
      </w:r>
    </w:p>
    <w:p>
      <w:pPr>
        <w:ind w:firstLine="640" w:firstLineChars="200"/>
        <w:jc w:val="left"/>
        <w:rPr>
          <w:rFonts w:hint="eastAsia" w:cs="黑体" w:asciiTheme="minorEastAsia" w:hAnsiTheme="minorEastAsia" w:eastAsia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 xml:space="preserve"> </w:t>
      </w: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13167"/>
    <w:multiLevelType w:val="singleLevel"/>
    <w:tmpl w:val="B0B1316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A913555"/>
    <w:multiLevelType w:val="singleLevel"/>
    <w:tmpl w:val="CA913555"/>
    <w:lvl w:ilvl="0" w:tentative="0">
      <w:start w:val="13"/>
      <w:numFmt w:val="decimal"/>
      <w:suff w:val="nothing"/>
      <w:lvlText w:val="%1、"/>
      <w:lvlJc w:val="left"/>
    </w:lvl>
  </w:abstractNum>
  <w:abstractNum w:abstractNumId="3">
    <w:nsid w:val="00DCE3A2"/>
    <w:multiLevelType w:val="singleLevel"/>
    <w:tmpl w:val="00DCE3A2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GI2ZmNlODc1OWFkMDY5ZTYwNDcyZmM0YmI2NTYifQ=="/>
  </w:docVars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1693E6C"/>
    <w:rsid w:val="018137BC"/>
    <w:rsid w:val="051E60EB"/>
    <w:rsid w:val="05633A58"/>
    <w:rsid w:val="059D1ABC"/>
    <w:rsid w:val="06B411F0"/>
    <w:rsid w:val="083B549C"/>
    <w:rsid w:val="087403E0"/>
    <w:rsid w:val="087E7014"/>
    <w:rsid w:val="0BE56081"/>
    <w:rsid w:val="0DBA290B"/>
    <w:rsid w:val="0EF26D85"/>
    <w:rsid w:val="0FD346F3"/>
    <w:rsid w:val="117F3A5F"/>
    <w:rsid w:val="134E0B4D"/>
    <w:rsid w:val="13BE003E"/>
    <w:rsid w:val="14256551"/>
    <w:rsid w:val="151C731B"/>
    <w:rsid w:val="15877A21"/>
    <w:rsid w:val="17090456"/>
    <w:rsid w:val="17A87124"/>
    <w:rsid w:val="19D60BDE"/>
    <w:rsid w:val="1DA17687"/>
    <w:rsid w:val="1F7F46B6"/>
    <w:rsid w:val="23992372"/>
    <w:rsid w:val="24DC0F76"/>
    <w:rsid w:val="24F36AA8"/>
    <w:rsid w:val="261A2CED"/>
    <w:rsid w:val="27DB542D"/>
    <w:rsid w:val="2BB73804"/>
    <w:rsid w:val="2CB54349"/>
    <w:rsid w:val="312B6E86"/>
    <w:rsid w:val="335562D0"/>
    <w:rsid w:val="34262F8B"/>
    <w:rsid w:val="35D74964"/>
    <w:rsid w:val="366364DD"/>
    <w:rsid w:val="370B6762"/>
    <w:rsid w:val="370D171F"/>
    <w:rsid w:val="39472F6A"/>
    <w:rsid w:val="3AEE5665"/>
    <w:rsid w:val="3DED70D5"/>
    <w:rsid w:val="417F29B0"/>
    <w:rsid w:val="44CA4DD8"/>
    <w:rsid w:val="45AF3D8A"/>
    <w:rsid w:val="45F9639D"/>
    <w:rsid w:val="48ED43E7"/>
    <w:rsid w:val="4A357BCE"/>
    <w:rsid w:val="4AD12753"/>
    <w:rsid w:val="4B2E67E5"/>
    <w:rsid w:val="4D5633CF"/>
    <w:rsid w:val="4E2564F3"/>
    <w:rsid w:val="4E64012E"/>
    <w:rsid w:val="520E2F64"/>
    <w:rsid w:val="523F74C8"/>
    <w:rsid w:val="53A616BE"/>
    <w:rsid w:val="5AA77DB5"/>
    <w:rsid w:val="5B4001D6"/>
    <w:rsid w:val="60A907EA"/>
    <w:rsid w:val="6145544E"/>
    <w:rsid w:val="62B334AF"/>
    <w:rsid w:val="685F3878"/>
    <w:rsid w:val="68C726A0"/>
    <w:rsid w:val="6B4114CF"/>
    <w:rsid w:val="6C7D3646"/>
    <w:rsid w:val="711823EF"/>
    <w:rsid w:val="71DE0998"/>
    <w:rsid w:val="7318560B"/>
    <w:rsid w:val="73767F94"/>
    <w:rsid w:val="761801BA"/>
    <w:rsid w:val="77B061AD"/>
    <w:rsid w:val="781A7FD5"/>
    <w:rsid w:val="7A292343"/>
    <w:rsid w:val="7B0C1557"/>
    <w:rsid w:val="7B72672E"/>
    <w:rsid w:val="7CB5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4">
    <w:name w:val="Body Text"/>
    <w:basedOn w:val="1"/>
    <w:next w:val="5"/>
    <w:qFormat/>
    <w:uiPriority w:val="0"/>
    <w:pPr>
      <w:spacing w:before="100" w:beforeAutospacing="1" w:after="120"/>
    </w:pPr>
  </w:style>
  <w:style w:type="paragraph" w:styleId="5">
    <w:name w:val="toc 5"/>
    <w:basedOn w:val="1"/>
    <w:next w:val="1"/>
    <w:qFormat/>
    <w:uiPriority w:val="0"/>
    <w:pPr>
      <w:widowControl w:val="0"/>
      <w:adjustRightInd/>
      <w:snapToGrid/>
      <w:spacing w:after="0"/>
      <w:ind w:left="1680" w:leftChars="800"/>
      <w:jc w:val="both"/>
    </w:pPr>
    <w:rPr>
      <w:rFonts w:ascii="Calibri" w:hAnsi="Calibri" w:eastAsia="宋体" w:cs="Times New Roman"/>
      <w:kern w:val="2"/>
      <w:sz w:val="21"/>
      <w:szCs w:val="24"/>
    </w:rPr>
  </w:style>
  <w:style w:type="paragraph" w:styleId="6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7"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0904-B2FB-4FE3-894F-42F14B17B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7065</Words>
  <Characters>7654</Characters>
  <Lines>69</Lines>
  <Paragraphs>19</Paragraphs>
  <TotalTime>1</TotalTime>
  <ScaleCrop>false</ScaleCrop>
  <LinksUpToDate>false</LinksUpToDate>
  <CharactersWithSpaces>7677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向群</cp:lastModifiedBy>
  <cp:lastPrinted>2022-07-27T12:55:00Z</cp:lastPrinted>
  <dcterms:modified xsi:type="dcterms:W3CDTF">2023-09-23T07:12:02Z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C02081F76A1C414C807C3137DC2EA958</vt:lpwstr>
  </property>
</Properties>
</file>