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Layout w:type="fixed"/>
        <w:tblCellMar>
          <w:top w:w="0" w:type="dxa"/>
          <w:left w:w="108" w:type="dxa"/>
          <w:bottom w:w="0" w:type="dxa"/>
          <w:right w:w="108" w:type="dxa"/>
        </w:tblCellMar>
      </w:tblPr>
      <w:tblGrid>
        <w:gridCol w:w="8522"/>
      </w:tblGrid>
      <w:tr>
        <w:tblPrEx>
          <w:tblLayout w:type="fixed"/>
          <w:tblCellMar>
            <w:top w:w="0" w:type="dxa"/>
            <w:left w:w="108" w:type="dxa"/>
            <w:bottom w:w="0" w:type="dxa"/>
            <w:right w:w="108" w:type="dxa"/>
          </w:tblCellMar>
        </w:tblPrEx>
        <w:trPr>
          <w:trHeight w:val="1380" w:hRule="atLeast"/>
        </w:trPr>
        <w:tc>
          <w:tcPr>
            <w:tcW w:w="8522" w:type="dxa"/>
            <w:tcBorders>
              <w:top w:val="nil"/>
              <w:left w:val="nil"/>
              <w:bottom w:val="nil"/>
              <w:right w:val="nil"/>
            </w:tcBorders>
            <w:shd w:val="clear" w:color="auto" w:fill="auto"/>
            <w:vAlign w:val="center"/>
          </w:tcPr>
          <w:p>
            <w:pPr>
              <w:widowControl/>
              <w:jc w:val="center"/>
              <w:rPr>
                <w:rFonts w:ascii="方正小标宋_GBK" w:hAnsi="宋体" w:eastAsia="方正小标宋_GBK" w:cs="宋体"/>
                <w:color w:val="000000"/>
                <w:kern w:val="0"/>
                <w:sz w:val="40"/>
                <w:szCs w:val="40"/>
              </w:rPr>
            </w:pPr>
            <w:r>
              <w:rPr>
                <w:rFonts w:hint="eastAsia" w:ascii="方正小标宋_GBK" w:hAnsi="宋体" w:eastAsia="方正小标宋_GBK" w:cs="宋体"/>
                <w:color w:val="000000"/>
                <w:kern w:val="0"/>
                <w:sz w:val="40"/>
                <w:szCs w:val="40"/>
              </w:rPr>
              <w:t>岳阳市农业科学研究院2022年度单位预算</w:t>
            </w:r>
          </w:p>
        </w:tc>
      </w:tr>
      <w:tr>
        <w:tblPrEx>
          <w:tblLayout w:type="fixed"/>
          <w:tblCellMar>
            <w:top w:w="0" w:type="dxa"/>
            <w:left w:w="108" w:type="dxa"/>
            <w:bottom w:w="0" w:type="dxa"/>
            <w:right w:w="108" w:type="dxa"/>
          </w:tblCellMar>
        </w:tblPrEx>
        <w:trPr>
          <w:trHeight w:val="642"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kern w:val="0"/>
                <w:sz w:val="36"/>
                <w:szCs w:val="36"/>
              </w:rPr>
            </w:pPr>
            <w:r>
              <w:rPr>
                <w:rFonts w:hint="eastAsia" w:ascii="黑体" w:hAnsi="黑体" w:eastAsia="黑体" w:cs="宋体"/>
                <w:kern w:val="0"/>
                <w:sz w:val="36"/>
                <w:szCs w:val="36"/>
              </w:rPr>
              <w:t>目录</w:t>
            </w:r>
          </w:p>
        </w:tc>
      </w:tr>
      <w:tr>
        <w:tblPrEx>
          <w:tblLayout w:type="fixed"/>
          <w:tblCellMar>
            <w:top w:w="0" w:type="dxa"/>
            <w:left w:w="108" w:type="dxa"/>
            <w:bottom w:w="0" w:type="dxa"/>
            <w:right w:w="108" w:type="dxa"/>
          </w:tblCellMar>
        </w:tblPrEx>
        <w:trPr>
          <w:trHeight w:val="37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第一部分  2022年单位预算说明</w:t>
            </w:r>
          </w:p>
        </w:tc>
      </w:tr>
      <w:tr>
        <w:tblPrEx>
          <w:tblLayout w:type="fixed"/>
          <w:tblCellMar>
            <w:top w:w="0" w:type="dxa"/>
            <w:left w:w="108" w:type="dxa"/>
            <w:bottom w:w="0" w:type="dxa"/>
            <w:right w:w="108" w:type="dxa"/>
          </w:tblCellMar>
        </w:tblPrEx>
        <w:trPr>
          <w:trHeight w:val="6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第二部分  2022年单位预算公开表格</w:t>
            </w:r>
          </w:p>
        </w:tc>
      </w:tr>
      <w:tr>
        <w:tblPrEx>
          <w:tblLayout w:type="fixed"/>
          <w:tblCellMar>
            <w:top w:w="0" w:type="dxa"/>
            <w:left w:w="108" w:type="dxa"/>
            <w:bottom w:w="0" w:type="dxa"/>
            <w:right w:w="108" w:type="dxa"/>
          </w:tblCellMar>
        </w:tblPrEx>
        <w:trPr>
          <w:trHeight w:val="4482" w:hRule="atLeast"/>
        </w:trPr>
        <w:tc>
          <w:tcPr>
            <w:tcW w:w="8522" w:type="dxa"/>
            <w:vMerge w:val="restart"/>
            <w:tcBorders>
              <w:top w:val="nil"/>
              <w:left w:val="nil"/>
              <w:bottom w:val="nil"/>
              <w:right w:val="nil"/>
            </w:tcBorders>
            <w:shd w:val="clear" w:color="auto" w:fill="auto"/>
            <w:vAlign w:val="center"/>
          </w:tcPr>
          <w:p>
            <w:pPr>
              <w:widowControl/>
              <w:numPr>
                <w:ilvl w:val="0"/>
                <w:numId w:val="1"/>
              </w:numPr>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numPr>
                <w:ilvl w:val="0"/>
                <w:numId w:val="0"/>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r>
        <w:tblPrEx>
          <w:tblLayout w:type="fixed"/>
          <w:tblCellMar>
            <w:top w:w="0" w:type="dxa"/>
            <w:left w:w="108" w:type="dxa"/>
            <w:bottom w:w="0" w:type="dxa"/>
            <w:right w:w="108" w:type="dxa"/>
          </w:tblCellMar>
        </w:tblPrEx>
        <w:trPr>
          <w:trHeight w:val="4482" w:hRule="atLeast"/>
        </w:trPr>
        <w:tc>
          <w:tcPr>
            <w:tcW w:w="8522" w:type="dxa"/>
            <w:vMerge w:val="continue"/>
            <w:tcBorders>
              <w:top w:val="nil"/>
              <w:left w:val="nil"/>
              <w:bottom w:val="nil"/>
              <w:right w:val="nil"/>
            </w:tcBorders>
            <w:vAlign w:val="center"/>
          </w:tcPr>
          <w:p>
            <w:pPr>
              <w:widowControl/>
              <w:jc w:val="left"/>
              <w:rPr>
                <w:rFonts w:ascii="仿宋_GB2312" w:hAnsi="宋体" w:eastAsia="仿宋_GB2312" w:cs="宋体"/>
                <w:color w:val="000000"/>
                <w:kern w:val="0"/>
                <w:sz w:val="28"/>
                <w:szCs w:val="28"/>
              </w:rPr>
            </w:pPr>
          </w:p>
        </w:tc>
      </w:tr>
      <w:tr>
        <w:tblPrEx>
          <w:tblLayout w:type="fixed"/>
          <w:tblCellMar>
            <w:top w:w="0" w:type="dxa"/>
            <w:left w:w="108" w:type="dxa"/>
            <w:bottom w:w="0" w:type="dxa"/>
            <w:right w:w="108" w:type="dxa"/>
          </w:tblCellMar>
        </w:tblPrEx>
        <w:trPr>
          <w:trHeight w:val="840"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第一部分  2022年单位预算说明</w:t>
            </w:r>
          </w:p>
        </w:tc>
      </w:tr>
      <w:tr>
        <w:tblPrEx>
          <w:tblLayout w:type="fixed"/>
          <w:tblCellMar>
            <w:top w:w="0" w:type="dxa"/>
            <w:left w:w="108" w:type="dxa"/>
            <w:bottom w:w="0" w:type="dxa"/>
            <w:right w:w="108" w:type="dxa"/>
          </w:tblCellMar>
        </w:tblPrEx>
        <w:trPr>
          <w:trHeight w:val="2625"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一、单位基本概况</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（一）职能职责</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市农业科学研究院是由市农业农村局管理的副处级公益一类事业单位，是全市唯一的农业综合性科研单位，在履行职责过程中坚持和加强党对农业科学研究院工作的集中统一领导。主要职责如下：</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贯彻执行国家有关农业农村的提创自主科研创新能力、高度重视科研工作的思想，坚持“科研为立院之本、合作为发展之路”，立足“鱼米之乡”资源禀赋，紧密结合地方产业发展和市场需求，选择优势领域，集中力量，重点突破，着力服务打造高档优质稻、蔬菜、经济作物、油料、西甜瓜、畜牧、水产等特色优势产业。</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 负责地方特色品种的保护与改良；负责组织开展水稻、经济作物、蔬菜、西甜瓜、畜牧业、渔业品种改良、选育与生产技术研究以及新品种、新技术的引进、示范与推广；负责开展植物新品种测试技术、农业生态环境、农机应用技术、植物保护技术、农业农村发展等研究与应用；负责建立农业科技示范基地和农业高科技示范园，集成、熟化推广农业技术成果，组织农业科研成果转化；承担国家、省级重大科技专项与重点研发遍地计划的实施与管理；承担本地工重大农业项目的科学研究、技术实施和示范推广等。</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（二）机构设置</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1、市农业科学研究院设下列7个内设机构：综合部、计划财务部、科研管理部、产业发展部、基地管理服务部、农业种质资源保护与利用部、人力资源部。</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2、市农业科学研究院设有下列7个分支机构：经济作物研究所、水稻研究所、植物新品种测试技术研究所、蔬菜研究所、农业生态环境研究所、畜牧研究所、水产研究所。</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 xml:space="preserve">    3、在职143人，退休102人</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二、单位预算单位构成</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本单位预算仅含本级预算。</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三、单位收支总体情况</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（一）收入预算</w:t>
            </w:r>
          </w:p>
        </w:tc>
      </w:tr>
      <w:tr>
        <w:tblPrEx>
          <w:tblLayout w:type="fixed"/>
          <w:tblCellMar>
            <w:top w:w="0" w:type="dxa"/>
            <w:left w:w="108" w:type="dxa"/>
            <w:bottom w:w="0" w:type="dxa"/>
            <w:right w:w="108" w:type="dxa"/>
          </w:tblCellMar>
        </w:tblPrEx>
        <w:trPr>
          <w:trHeight w:val="225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包括一般公共预算、政府性基金、国有资本经营预算等财政拨款收入，以及经营收入、事业收入等单位资金。2022年本单位收入预算2579.8万元，其中，一般公共预算拨款2579.8万元，政府性基金预算拨款0万元，所以公开的附件15-17（政府性基金预算）为空,国有资本经营预算拨款0万元，所以公开的附表18（国有资本经营预算）为空,财政专户管理资金0万元，所以公开的附表19表（财政专户管理资金预算）为空，上级补助收入0万元，事业单位经营收入0万元，上年结转结余0万元。</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收入较去年增加734.50万元，主要是因为2022年度绩效奖金纳入预算。</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（二）支出预算</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ind w:firstLine="56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2022年本单位支出预算2579.8万元，其中，社会保障和就业支出205.93万元，占比7.98%，卫生健康支出83.72万元，占比3.25%，农林水支出2145.9万元，占比83.18%，住房保障支出144.25万元，占比5.59%。支出较去年增加734.50万元，主要是因为2022年本单位工会经费补助、伙食补助、物业服务补贴、综合绩效奖和平安岳阳建设奖纳入财政预算。</w:t>
            </w:r>
          </w:p>
          <w:p>
            <w:pPr>
              <w:widowControl/>
              <w:ind w:firstLine="56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lang w:eastAsia="zh-CN"/>
              </w:rPr>
              <w:t>说明：</w:t>
            </w:r>
            <w:r>
              <w:rPr>
                <w:rFonts w:hint="eastAsia" w:ascii="仿宋_GB2312" w:hAnsi="宋体" w:eastAsia="仿宋_GB2312" w:cs="宋体"/>
                <w:kern w:val="0"/>
                <w:sz w:val="28"/>
                <w:szCs w:val="28"/>
              </w:rPr>
              <w:t>2022年预算公开文档第三大点（对应表3）、第四大点（对应表7）中的金额和百分比，由于预算编制时金额明细到了“分”，而公开表格显示和公开文档取数只到“百元”，可能导致0.01的尾数差异。</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四、一般公共预算拨款支出预算</w:t>
            </w:r>
          </w:p>
        </w:tc>
      </w:tr>
      <w:tr>
        <w:tblPrEx>
          <w:tblLayout w:type="fixed"/>
          <w:tblCellMar>
            <w:top w:w="0" w:type="dxa"/>
            <w:left w:w="108" w:type="dxa"/>
            <w:bottom w:w="0" w:type="dxa"/>
            <w:right w:w="108" w:type="dxa"/>
          </w:tblCellMar>
        </w:tblPrEx>
        <w:trPr>
          <w:trHeight w:val="126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本单位一般公共预算拨款支出预算2579.8万元，其中，社会保障和就业支出205.93万元，占比7.98%，卫生健康支出83.72万元，占比3.25%，农林水支出2145.9万元，占比83.18%，住房保障支出144.25万元，占比5.59%。具体安排情况如下：</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一）基本支出：2022年基本支出年初预算数为1805.8万元（数据来源见表7），是指为保障单位机构正常运转、完成日常工作任务而发生的各项支出，包括用于基本工资、津贴补贴等人员经费以及办公费、印刷费、水电费、差旅费等日常公用经费。</w:t>
            </w:r>
          </w:p>
        </w:tc>
      </w:tr>
      <w:tr>
        <w:tblPrEx>
          <w:tblLayout w:type="fixed"/>
          <w:tblCellMar>
            <w:top w:w="0" w:type="dxa"/>
            <w:left w:w="108" w:type="dxa"/>
            <w:bottom w:w="0" w:type="dxa"/>
            <w:right w:w="108" w:type="dxa"/>
          </w:tblCellMar>
        </w:tblPrEx>
        <w:trPr>
          <w:trHeight w:val="15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（二）项目支出：2022年项目支出年初预算数为774.00万元，是指单位为完成特定行政工作任务或事业发展目标而发生的支出，包括有关业务工作经费、运行维护经费等。其中：</w:t>
            </w:r>
            <w:r>
              <w:rPr>
                <w:rFonts w:hint="eastAsia" w:ascii="仿宋_GB2312" w:hAnsi="宋体" w:eastAsia="仿宋_GB2312" w:cs="宋体"/>
                <w:kern w:val="0"/>
                <w:sz w:val="28"/>
                <w:szCs w:val="28"/>
                <w:lang w:eastAsia="zh-CN"/>
              </w:rPr>
              <w:t>工会经费补助</w:t>
            </w:r>
            <w:r>
              <w:rPr>
                <w:rFonts w:hint="eastAsia" w:ascii="仿宋_GB2312" w:hAnsi="宋体" w:eastAsia="仿宋_GB2312" w:cs="宋体"/>
                <w:kern w:val="0"/>
                <w:sz w:val="28"/>
                <w:szCs w:val="28"/>
                <w:lang w:val="en-US" w:eastAsia="zh-CN"/>
              </w:rPr>
              <w:t>73.5万元，伙食补助98万元，物业服务补贴88.2万元，预安排综合绩效奖和平安建设奖490万元，2022</w:t>
            </w:r>
            <w:r>
              <w:rPr>
                <w:rFonts w:hint="eastAsia" w:ascii="仿宋_GB2312" w:hAnsi="宋体" w:eastAsia="仿宋_GB2312" w:cs="宋体"/>
                <w:kern w:val="0"/>
                <w:sz w:val="28"/>
                <w:szCs w:val="28"/>
              </w:rPr>
              <w:t>深化国有农场税费改革转移支付专项支出24.3万元。</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五、政府性基金预算支出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2022年度本单位无政府性基金安排的支出，所以公开的附件15-17（政府性基金预算）为空。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六、其他重要事项的情况说明</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（一）机关运行经费</w:t>
            </w:r>
          </w:p>
        </w:tc>
      </w:tr>
      <w:tr>
        <w:tblPrEx>
          <w:tblLayout w:type="fixed"/>
          <w:tblCellMar>
            <w:top w:w="0" w:type="dxa"/>
            <w:left w:w="108" w:type="dxa"/>
            <w:bottom w:w="0" w:type="dxa"/>
            <w:right w:w="108" w:type="dxa"/>
          </w:tblCellMar>
        </w:tblPrEx>
        <w:trPr>
          <w:trHeight w:val="859"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FF0000"/>
                <w:kern w:val="0"/>
                <w:sz w:val="28"/>
                <w:szCs w:val="28"/>
                <w:lang w:val="en-US" w:eastAsia="zh-CN"/>
              </w:rPr>
            </w:pPr>
            <w:r>
              <w:rPr>
                <w:rFonts w:hint="eastAsia" w:ascii="仿宋_GB2312" w:hAnsi="宋体" w:eastAsia="仿宋_GB2312" w:cs="宋体"/>
                <w:color w:val="FF0000"/>
                <w:kern w:val="0"/>
                <w:sz w:val="28"/>
                <w:szCs w:val="28"/>
              </w:rPr>
              <w:t xml:space="preserve">   </w:t>
            </w:r>
            <w:r>
              <w:rPr>
                <w:rFonts w:hint="eastAsia" w:ascii="仿宋_GB2312" w:hAnsi="宋体" w:eastAsia="仿宋_GB2312" w:cs="宋体"/>
                <w:color w:val="000000"/>
                <w:kern w:val="0"/>
                <w:sz w:val="28"/>
                <w:szCs w:val="28"/>
              </w:rPr>
              <w:t xml:space="preserve"> 2022年本单位的机关运行经费171.18万元，比上一年增加</w:t>
            </w:r>
            <w:r>
              <w:rPr>
                <w:rFonts w:hint="eastAsia" w:ascii="仿宋_GB2312" w:hAnsi="宋体" w:eastAsia="仿宋_GB2312" w:cs="宋体"/>
                <w:color w:val="000000"/>
                <w:kern w:val="0"/>
                <w:sz w:val="28"/>
                <w:szCs w:val="28"/>
                <w:lang w:val="en-US" w:eastAsia="zh-CN"/>
              </w:rPr>
              <w:t>3.05</w:t>
            </w:r>
            <w:r>
              <w:rPr>
                <w:rFonts w:hint="eastAsia" w:ascii="仿宋_GB2312" w:hAnsi="宋体" w:eastAsia="仿宋_GB2312" w:cs="宋体"/>
                <w:color w:val="000000"/>
                <w:kern w:val="0"/>
                <w:sz w:val="28"/>
                <w:szCs w:val="28"/>
              </w:rPr>
              <w:t>万元，增加</w:t>
            </w:r>
            <w:r>
              <w:rPr>
                <w:rFonts w:hint="eastAsia" w:ascii="仿宋_GB2312" w:hAnsi="宋体" w:eastAsia="仿宋_GB2312" w:cs="宋体"/>
                <w:color w:val="000000"/>
                <w:kern w:val="0"/>
                <w:sz w:val="28"/>
                <w:szCs w:val="28"/>
                <w:lang w:val="en-US" w:eastAsia="zh-CN"/>
              </w:rPr>
              <w:t>1.81</w:t>
            </w:r>
            <w:r>
              <w:rPr>
                <w:rFonts w:hint="eastAsia" w:ascii="仿宋_GB2312" w:hAnsi="宋体" w:eastAsia="仿宋_GB2312" w:cs="宋体"/>
                <w:color w:val="000000"/>
                <w:kern w:val="0"/>
                <w:sz w:val="28"/>
                <w:szCs w:val="28"/>
              </w:rPr>
              <w:t>%。主要原因是</w:t>
            </w:r>
            <w:r>
              <w:rPr>
                <w:rFonts w:hint="eastAsia" w:ascii="仿宋_GB2312" w:hAnsi="宋体" w:eastAsia="仿宋_GB2312" w:cs="宋体"/>
                <w:color w:val="000000"/>
                <w:kern w:val="0"/>
                <w:sz w:val="28"/>
                <w:szCs w:val="28"/>
                <w:lang w:val="en-US" w:eastAsia="zh-CN"/>
              </w:rPr>
              <w:t>人员增加。</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（二）“三公”经费预算</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三公”经费预算数19万元，其中，公务接待费10万元，因公出国（境）费0万元，公务用车购置及运行费9万元（其中，公务用车购置费0万元，公务用车运行费9万元）。2022年三公经费预算较上年减少3.75万元，主要原因是厉行节约。</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（三）一般性支出情况</w:t>
            </w:r>
          </w:p>
        </w:tc>
      </w:tr>
      <w:tr>
        <w:tblPrEx>
          <w:tblLayout w:type="fixed"/>
          <w:tblCellMar>
            <w:top w:w="0" w:type="dxa"/>
            <w:left w:w="108" w:type="dxa"/>
            <w:bottom w:w="0" w:type="dxa"/>
            <w:right w:w="108" w:type="dxa"/>
          </w:tblCellMar>
        </w:tblPrEx>
        <w:trPr>
          <w:trHeight w:val="1875"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本单位2022年会议费预算3万元，拟召开3次会议，人数258人，内容为业务相关会议；培训费预算3万元，拟开展1次培训，人数145人，内容为业务培训。</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2022年度本单位未计划举办节庆、晚会、论坛、赛事活动。</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（四）政府采购情况</w:t>
            </w:r>
          </w:p>
        </w:tc>
      </w:tr>
      <w:tr>
        <w:tblPrEx>
          <w:tblLayout w:type="fixed"/>
          <w:tblCellMar>
            <w:top w:w="0" w:type="dxa"/>
            <w:left w:w="108" w:type="dxa"/>
            <w:bottom w:w="0" w:type="dxa"/>
            <w:right w:w="108" w:type="dxa"/>
          </w:tblCellMar>
        </w:tblPrEx>
        <w:trPr>
          <w:trHeight w:val="750" w:hRule="atLeast"/>
        </w:trPr>
        <w:tc>
          <w:tcPr>
            <w:tcW w:w="8522" w:type="dxa"/>
            <w:tcBorders>
              <w:top w:val="nil"/>
              <w:left w:val="nil"/>
              <w:bottom w:val="nil"/>
              <w:right w:val="nil"/>
            </w:tcBorders>
            <w:shd w:val="clear" w:color="auto" w:fill="auto"/>
            <w:vAlign w:val="center"/>
          </w:tcPr>
          <w:p>
            <w:pPr>
              <w:widowControl/>
              <w:ind w:firstLine="280" w:firstLineChars="1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本单位2022年政府采购预算总额100万元，其中工程类50万元，货物类35万元，服务类15万元。</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（五）国有资产占有使用及新增资产配置情况</w:t>
            </w:r>
          </w:p>
        </w:tc>
      </w:tr>
      <w:tr>
        <w:tblPrEx>
          <w:tblLayout w:type="fixed"/>
          <w:tblCellMar>
            <w:top w:w="0" w:type="dxa"/>
            <w:left w:w="108" w:type="dxa"/>
            <w:bottom w:w="0" w:type="dxa"/>
            <w:right w:w="108" w:type="dxa"/>
          </w:tblCellMar>
        </w:tblPrEx>
        <w:trPr>
          <w:trHeight w:val="3000" w:hRule="atLeast"/>
        </w:trPr>
        <w:tc>
          <w:tcPr>
            <w:tcW w:w="8522" w:type="dxa"/>
            <w:tcBorders>
              <w:top w:val="nil"/>
              <w:left w:val="nil"/>
              <w:bottom w:val="nil"/>
              <w:right w:val="nil"/>
            </w:tcBorders>
            <w:shd w:val="clear" w:color="auto" w:fill="auto"/>
            <w:vAlign w:val="center"/>
          </w:tcPr>
          <w:p>
            <w:pPr>
              <w:widowControl/>
              <w:ind w:firstLine="420" w:firstLineChars="15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截至上年底，本单位共有车辆3辆，其中领导干部用车0辆，一般公务用车2辆，其他用车1辆。单位价值50万元以上通用设备0台，单位价值100万元以上专用设备0台。</w:t>
            </w:r>
          </w:p>
          <w:p>
            <w:pPr>
              <w:widowControl/>
              <w:ind w:firstLine="420" w:firstLineChars="150"/>
              <w:jc w:val="left"/>
              <w:rPr>
                <w:rFonts w:ascii="仿宋_GB2312" w:hAnsi="宋体" w:eastAsia="仿宋_GB2312" w:cs="宋体"/>
                <w:kern w:val="0"/>
                <w:sz w:val="28"/>
                <w:szCs w:val="28"/>
              </w:rPr>
            </w:pPr>
            <w:r>
              <w:rPr>
                <w:rFonts w:hint="eastAsia" w:ascii="仿宋_GB2312" w:hAnsi="宋体" w:eastAsia="仿宋_GB2312" w:cs="宋体"/>
                <w:kern w:val="0"/>
                <w:sz w:val="28"/>
                <w:szCs w:val="28"/>
              </w:rPr>
              <w:t>2022年度本单位未计划处置或新增车辆、设备等。</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（六）预算绩效目标说明</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本单位所有支出实行绩效目标管理。纳入2022年部门整体支出绩效目标的金额为2579.8万元，其中，基本支出1805.8万元，项目支出774万元，详见文尾附表中单位预算公开表格的表21-22。</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七、名词解释</w:t>
            </w:r>
          </w:p>
        </w:tc>
      </w:tr>
      <w:tr>
        <w:tblPrEx>
          <w:tblLayout w:type="fixed"/>
          <w:tblCellMar>
            <w:top w:w="0" w:type="dxa"/>
            <w:left w:w="108" w:type="dxa"/>
            <w:bottom w:w="0" w:type="dxa"/>
            <w:right w:w="108" w:type="dxa"/>
          </w:tblCellMar>
        </w:tblPrEx>
        <w:trPr>
          <w:trHeight w:val="30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Layout w:type="fixed"/>
          <w:tblCellMar>
            <w:top w:w="0" w:type="dxa"/>
            <w:left w:w="108" w:type="dxa"/>
            <w:bottom w:w="0" w:type="dxa"/>
            <w:right w:w="108" w:type="dxa"/>
          </w:tblCellMar>
        </w:tblPrEx>
        <w:trPr>
          <w:trHeight w:val="900"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第二部分  2022年单位预算公开表格</w:t>
            </w:r>
          </w:p>
        </w:tc>
      </w:tr>
      <w:tr>
        <w:tblPrEx>
          <w:tblLayout w:type="fixed"/>
          <w:tblCellMar>
            <w:top w:w="0" w:type="dxa"/>
            <w:left w:w="108" w:type="dxa"/>
            <w:bottom w:w="0" w:type="dxa"/>
            <w:right w:w="108" w:type="dxa"/>
          </w:tblCellMar>
        </w:tblPrEx>
        <w:trPr>
          <w:trHeight w:val="8190" w:hRule="atLeast"/>
        </w:trPr>
        <w:tc>
          <w:tcPr>
            <w:tcW w:w="8522" w:type="dxa"/>
            <w:tcBorders>
              <w:top w:val="nil"/>
              <w:left w:val="nil"/>
              <w:bottom w:val="nil"/>
              <w:right w:val="nil"/>
            </w:tcBorders>
            <w:shd w:val="clear" w:color="auto" w:fill="auto"/>
            <w:vAlign w:val="center"/>
          </w:tcPr>
          <w:p>
            <w:pPr>
              <w:widowControl/>
              <w:numPr>
                <w:ilvl w:val="0"/>
                <w:numId w:val="2"/>
              </w:numPr>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eastAsia="zh-CN"/>
              </w:rPr>
              <w:t>公用</w:t>
            </w:r>
            <w:bookmarkStart w:id="0" w:name="_GoBack"/>
            <w:bookmarkEnd w:id="0"/>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numPr>
                <w:ilvl w:val="0"/>
                <w:numId w:val="0"/>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62E151"/>
    <w:multiLevelType w:val="singleLevel"/>
    <w:tmpl w:val="B062E151"/>
    <w:lvl w:ilvl="0" w:tentative="0">
      <w:start w:val="1"/>
      <w:numFmt w:val="decimal"/>
      <w:suff w:val="nothing"/>
      <w:lvlText w:val="%1、"/>
      <w:lvlJc w:val="left"/>
    </w:lvl>
  </w:abstractNum>
  <w:abstractNum w:abstractNumId="1">
    <w:nsid w:val="F244D44E"/>
    <w:multiLevelType w:val="singleLevel"/>
    <w:tmpl w:val="F244D44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lYjQxMzlmNTQ0ZmQ2M2ZlYjY0NzJmMDZhNjk1YmIifQ=="/>
  </w:docVars>
  <w:rsids>
    <w:rsidRoot w:val="007F7555"/>
    <w:rsid w:val="005C2970"/>
    <w:rsid w:val="007F7555"/>
    <w:rsid w:val="178D758F"/>
    <w:rsid w:val="18975F20"/>
    <w:rsid w:val="24537C49"/>
    <w:rsid w:val="51675939"/>
    <w:rsid w:val="54AB3345"/>
    <w:rsid w:val="55396195"/>
    <w:rsid w:val="5A120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3332</Words>
  <Characters>3595</Characters>
  <Lines>26</Lines>
  <Paragraphs>7</Paragraphs>
  <TotalTime>1</TotalTime>
  <ScaleCrop>false</ScaleCrop>
  <LinksUpToDate>false</LinksUpToDate>
  <CharactersWithSpaces>3646</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2023-06-01T06:00:00Z</dcterms:created>
  <dc:creator>微软用户</dc:creator>
  <cp:lastModifiedBy>仙贝麻麻</cp:lastModifiedBy>
  <dcterms:modified xsi:type="dcterms:W3CDTF">2023-09-25T01:08:33Z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541436CF2BA14518AC450B4FD09F24D6_13</vt:lpwstr>
  </property>
</Properties>
</file>