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178" w:rsidRDefault="00707178">
      <w:pPr>
        <w:pStyle w:val="Default"/>
        <w:jc w:val="center"/>
        <w:rPr>
          <w:sz w:val="56"/>
          <w:szCs w:val="56"/>
        </w:rPr>
      </w:pPr>
    </w:p>
    <w:p w:rsidR="00707178" w:rsidRDefault="00707178">
      <w:pPr>
        <w:pStyle w:val="Default"/>
        <w:jc w:val="center"/>
        <w:rPr>
          <w:sz w:val="56"/>
          <w:szCs w:val="56"/>
        </w:rPr>
      </w:pPr>
    </w:p>
    <w:p w:rsidR="00707178" w:rsidRDefault="00707178">
      <w:pPr>
        <w:pStyle w:val="Default"/>
        <w:jc w:val="center"/>
        <w:rPr>
          <w:sz w:val="84"/>
          <w:szCs w:val="84"/>
        </w:rPr>
      </w:pPr>
    </w:p>
    <w:p w:rsidR="00707178" w:rsidRDefault="00707178">
      <w:pPr>
        <w:pStyle w:val="Default"/>
        <w:jc w:val="center"/>
        <w:rPr>
          <w:sz w:val="84"/>
          <w:szCs w:val="84"/>
        </w:rPr>
      </w:pPr>
    </w:p>
    <w:p w:rsidR="00707178" w:rsidRDefault="00C03176">
      <w:pPr>
        <w:pStyle w:val="Default"/>
        <w:jc w:val="center"/>
        <w:rPr>
          <w:sz w:val="84"/>
          <w:szCs w:val="84"/>
        </w:rPr>
      </w:pPr>
      <w:r>
        <w:rPr>
          <w:rFonts w:hint="eastAsia"/>
          <w:sz w:val="84"/>
          <w:szCs w:val="84"/>
        </w:rPr>
        <w:t>2021年度</w:t>
      </w:r>
    </w:p>
    <w:p w:rsidR="00707178" w:rsidRDefault="00C03176">
      <w:pPr>
        <w:pStyle w:val="Default"/>
        <w:jc w:val="center"/>
        <w:rPr>
          <w:sz w:val="84"/>
          <w:szCs w:val="84"/>
        </w:rPr>
      </w:pPr>
      <w:r>
        <w:rPr>
          <w:rFonts w:hint="eastAsia"/>
          <w:sz w:val="84"/>
          <w:szCs w:val="84"/>
        </w:rPr>
        <w:t>岳阳市公安局岳阳楼分局 部门决算</w:t>
      </w:r>
    </w:p>
    <w:p w:rsidR="00707178" w:rsidRDefault="00707178">
      <w:pPr>
        <w:pStyle w:val="Default"/>
        <w:jc w:val="center"/>
        <w:rPr>
          <w:sz w:val="56"/>
          <w:szCs w:val="56"/>
        </w:rPr>
      </w:pPr>
    </w:p>
    <w:p w:rsidR="00707178" w:rsidRDefault="00707178">
      <w:pPr>
        <w:pStyle w:val="Default"/>
        <w:jc w:val="center"/>
        <w:rPr>
          <w:sz w:val="56"/>
          <w:szCs w:val="56"/>
        </w:rPr>
      </w:pPr>
    </w:p>
    <w:p w:rsidR="00707178" w:rsidRDefault="00707178">
      <w:pPr>
        <w:pStyle w:val="Default"/>
        <w:jc w:val="center"/>
        <w:rPr>
          <w:sz w:val="56"/>
          <w:szCs w:val="56"/>
        </w:rPr>
      </w:pPr>
    </w:p>
    <w:p w:rsidR="00707178" w:rsidRDefault="00707178">
      <w:pPr>
        <w:pStyle w:val="Default"/>
        <w:jc w:val="center"/>
        <w:rPr>
          <w:sz w:val="56"/>
          <w:szCs w:val="56"/>
        </w:rPr>
      </w:pPr>
    </w:p>
    <w:p w:rsidR="00707178" w:rsidRDefault="00707178">
      <w:pPr>
        <w:pStyle w:val="Default"/>
        <w:jc w:val="center"/>
        <w:rPr>
          <w:sz w:val="32"/>
          <w:szCs w:val="32"/>
        </w:rPr>
      </w:pPr>
    </w:p>
    <w:p w:rsidR="00707178" w:rsidRDefault="00707178">
      <w:pPr>
        <w:pStyle w:val="Default"/>
        <w:jc w:val="center"/>
        <w:rPr>
          <w:sz w:val="32"/>
          <w:szCs w:val="32"/>
        </w:rPr>
      </w:pPr>
    </w:p>
    <w:p w:rsidR="00707178" w:rsidRDefault="00707178">
      <w:pPr>
        <w:pStyle w:val="Default"/>
        <w:jc w:val="center"/>
        <w:rPr>
          <w:sz w:val="32"/>
          <w:szCs w:val="32"/>
        </w:rPr>
      </w:pPr>
    </w:p>
    <w:p w:rsidR="00707178" w:rsidRDefault="00707178">
      <w:pPr>
        <w:pStyle w:val="Default"/>
        <w:jc w:val="center"/>
        <w:rPr>
          <w:sz w:val="32"/>
          <w:szCs w:val="32"/>
        </w:rPr>
      </w:pPr>
    </w:p>
    <w:p w:rsidR="00707178" w:rsidRDefault="00707178">
      <w:pPr>
        <w:pStyle w:val="Default"/>
        <w:spacing w:line="500" w:lineRule="exact"/>
        <w:jc w:val="both"/>
        <w:rPr>
          <w:b/>
          <w:sz w:val="36"/>
          <w:szCs w:val="28"/>
        </w:rPr>
      </w:pPr>
    </w:p>
    <w:p w:rsidR="00707178" w:rsidRDefault="00707178">
      <w:pPr>
        <w:pStyle w:val="Default"/>
        <w:spacing w:line="500" w:lineRule="exact"/>
        <w:jc w:val="center"/>
        <w:rPr>
          <w:b/>
          <w:sz w:val="36"/>
          <w:szCs w:val="28"/>
        </w:rPr>
      </w:pPr>
    </w:p>
    <w:p w:rsidR="00707178" w:rsidRDefault="00C03176">
      <w:pPr>
        <w:pStyle w:val="Default"/>
        <w:spacing w:line="480" w:lineRule="exact"/>
        <w:jc w:val="center"/>
        <w:rPr>
          <w:b/>
          <w:sz w:val="36"/>
          <w:szCs w:val="28"/>
        </w:rPr>
      </w:pPr>
      <w:r>
        <w:rPr>
          <w:rFonts w:hint="eastAsia"/>
          <w:b/>
          <w:sz w:val="36"/>
          <w:szCs w:val="28"/>
        </w:rPr>
        <w:lastRenderedPageBreak/>
        <w:t>目录</w:t>
      </w:r>
    </w:p>
    <w:p w:rsidR="00707178" w:rsidRDefault="00C03176">
      <w:pPr>
        <w:pStyle w:val="Default"/>
        <w:spacing w:line="480" w:lineRule="exact"/>
        <w:rPr>
          <w:rFonts w:ascii="仿宋_GB2312" w:hAnsi="仿宋_GB2312" w:cs="仿宋_GB2312"/>
          <w:b/>
          <w:sz w:val="28"/>
          <w:szCs w:val="28"/>
        </w:rPr>
      </w:pPr>
      <w:r>
        <w:rPr>
          <w:rFonts w:hint="eastAsia"/>
          <w:b/>
          <w:sz w:val="28"/>
          <w:szCs w:val="28"/>
        </w:rPr>
        <w:t>第一部分  岳阳市公安局岳阳楼分局概况</w:t>
      </w:r>
    </w:p>
    <w:p w:rsidR="00707178" w:rsidRDefault="00C03176">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707178" w:rsidRPr="005D2BE3" w:rsidRDefault="00C03176" w:rsidP="005D2BE3">
      <w:pPr>
        <w:pStyle w:val="Default"/>
        <w:spacing w:line="480" w:lineRule="exact"/>
        <w:ind w:firstLineChars="250" w:firstLine="700"/>
        <w:rPr>
          <w:rFonts w:asciiTheme="minorEastAsia" w:hAnsiTheme="minorEastAsia" w:cs="仿宋_GB2312"/>
          <w:bCs/>
          <w:sz w:val="28"/>
          <w:szCs w:val="28"/>
        </w:rPr>
      </w:pPr>
      <w:r>
        <w:rPr>
          <w:rFonts w:asciiTheme="minorEastAsia" w:eastAsiaTheme="minorEastAsia" w:hAnsiTheme="minorEastAsia" w:cs="仿宋_GB2312"/>
          <w:sz w:val="28"/>
          <w:szCs w:val="28"/>
        </w:rPr>
        <w:t>二、机构设置</w:t>
      </w:r>
      <w:r w:rsidR="005D2BE3" w:rsidRPr="00C03176">
        <w:rPr>
          <w:rFonts w:asciiTheme="minorEastAsia" w:hAnsiTheme="minorEastAsia" w:cs="仿宋_GB2312" w:hint="eastAsia"/>
          <w:bCs/>
          <w:sz w:val="28"/>
          <w:szCs w:val="28"/>
        </w:rPr>
        <w:t>及决算单位构成</w:t>
      </w:r>
    </w:p>
    <w:p w:rsidR="00707178" w:rsidRDefault="00C03176">
      <w:pPr>
        <w:pStyle w:val="Default"/>
        <w:spacing w:line="480" w:lineRule="exact"/>
        <w:rPr>
          <w:rFonts w:ascii="仿宋_GB2312" w:hAnsi="仿宋_GB2312" w:cs="仿宋_GB2312"/>
          <w:b/>
          <w:sz w:val="28"/>
          <w:szCs w:val="28"/>
        </w:rPr>
      </w:pPr>
      <w:r>
        <w:rPr>
          <w:rFonts w:hAnsi="仿宋_GB2312" w:hint="eastAsia"/>
          <w:b/>
          <w:sz w:val="28"/>
          <w:szCs w:val="28"/>
        </w:rPr>
        <w:t xml:space="preserve">第二部分  </w:t>
      </w:r>
      <w:r>
        <w:rPr>
          <w:rFonts w:hAnsi="仿宋_GB2312"/>
          <w:b/>
          <w:sz w:val="28"/>
          <w:szCs w:val="28"/>
        </w:rPr>
        <w:t>20</w:t>
      </w:r>
      <w:r>
        <w:rPr>
          <w:rFonts w:hAnsi="仿宋_GB2312" w:hint="eastAsia"/>
          <w:b/>
          <w:sz w:val="28"/>
          <w:szCs w:val="28"/>
        </w:rPr>
        <w:t>21年度部门决算表</w:t>
      </w:r>
    </w:p>
    <w:p w:rsidR="00707178" w:rsidRDefault="00C03176">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707178" w:rsidRDefault="00C03176">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707178" w:rsidRDefault="00C03176">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707178" w:rsidRDefault="00C03176">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707178" w:rsidRDefault="00C03176">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707178" w:rsidRDefault="00C03176">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w:t>
      </w:r>
      <w:r>
        <w:rPr>
          <w:rFonts w:asciiTheme="minorEastAsia" w:eastAsiaTheme="minorEastAsia" w:hAnsiTheme="minorEastAsia" w:cs="仿宋_GB2312" w:hint="eastAsia"/>
          <w:sz w:val="28"/>
          <w:szCs w:val="28"/>
        </w:rPr>
        <w:t>明细</w:t>
      </w:r>
      <w:r>
        <w:rPr>
          <w:rFonts w:asciiTheme="minorEastAsia" w:eastAsiaTheme="minorEastAsia" w:hAnsiTheme="minorEastAsia" w:cs="仿宋_GB2312"/>
          <w:sz w:val="28"/>
          <w:szCs w:val="28"/>
        </w:rPr>
        <w:t>表</w:t>
      </w:r>
    </w:p>
    <w:p w:rsidR="00707178" w:rsidRDefault="00C03176">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七、一般公共预算财政拨款“三公”经费支出决算表</w:t>
      </w:r>
    </w:p>
    <w:p w:rsidR="00707178" w:rsidRDefault="00C03176">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707178" w:rsidRDefault="00C03176">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hint="eastAsia"/>
          <w:sz w:val="28"/>
          <w:szCs w:val="28"/>
        </w:rPr>
        <w:t>九、国有资本经营预算财政拨款支出决算表</w:t>
      </w:r>
    </w:p>
    <w:p w:rsidR="00707178" w:rsidRDefault="00C03176">
      <w:pPr>
        <w:pStyle w:val="Default"/>
        <w:spacing w:line="480" w:lineRule="exact"/>
        <w:rPr>
          <w:rFonts w:ascii="仿宋_GB2312" w:hAnsi="仿宋_GB2312" w:cs="仿宋_GB2312"/>
          <w:b/>
          <w:sz w:val="28"/>
          <w:szCs w:val="28"/>
        </w:rPr>
      </w:pPr>
      <w:r>
        <w:rPr>
          <w:rFonts w:hAnsi="仿宋_GB2312" w:hint="eastAsia"/>
          <w:b/>
          <w:sz w:val="28"/>
          <w:szCs w:val="28"/>
        </w:rPr>
        <w:t xml:space="preserve">第三部分  </w:t>
      </w:r>
      <w:r>
        <w:rPr>
          <w:rFonts w:hAnsi="仿宋_GB2312"/>
          <w:b/>
          <w:sz w:val="28"/>
          <w:szCs w:val="28"/>
        </w:rPr>
        <w:t>20</w:t>
      </w:r>
      <w:r>
        <w:rPr>
          <w:rFonts w:hAnsi="仿宋_GB2312" w:hint="eastAsia"/>
          <w:b/>
          <w:sz w:val="28"/>
          <w:szCs w:val="28"/>
        </w:rPr>
        <w:t>21年度部门决算情况说明</w:t>
      </w:r>
    </w:p>
    <w:p w:rsidR="00707178" w:rsidRDefault="00C03176">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707178" w:rsidRDefault="00C03176">
      <w:pPr>
        <w:spacing w:line="48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707178" w:rsidRDefault="00C03176">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707178" w:rsidRDefault="00C03176">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707178" w:rsidRDefault="00C03176">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707178" w:rsidRDefault="00C03176">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707178" w:rsidRDefault="00C03176">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ascii="仿宋_GB2312" w:hAnsi="仿宋_GB2312" w:cs="仿宋_GB2312" w:hint="eastAsia"/>
          <w:color w:val="000000"/>
          <w:kern w:val="0"/>
          <w:sz w:val="28"/>
          <w:szCs w:val="28"/>
        </w:rPr>
        <w:t>“</w:t>
      </w:r>
      <w:r>
        <w:rPr>
          <w:rFonts w:ascii="仿宋_GB2312" w:hAnsi="仿宋_GB2312" w:cs="仿宋_GB2312"/>
          <w:color w:val="000000"/>
          <w:kern w:val="0"/>
          <w:sz w:val="28"/>
          <w:szCs w:val="28"/>
        </w:rPr>
        <w:t>三公</w:t>
      </w:r>
      <w:r>
        <w:rPr>
          <w:rFonts w:ascii="仿宋_GB2312" w:hAnsi="仿宋_GB2312" w:cs="仿宋_GB2312" w:hint="eastAsia"/>
          <w:color w:val="000000"/>
          <w:kern w:val="0"/>
          <w:sz w:val="28"/>
          <w:szCs w:val="28"/>
        </w:rPr>
        <w:t>”</w:t>
      </w:r>
      <w:r>
        <w:rPr>
          <w:rFonts w:ascii="仿宋_GB2312" w:hAnsi="仿宋_GB2312" w:cs="仿宋_GB2312"/>
          <w:color w:val="000000"/>
          <w:kern w:val="0"/>
          <w:sz w:val="28"/>
          <w:szCs w:val="28"/>
        </w:rPr>
        <w:t>经费支出决算情况说明</w:t>
      </w:r>
    </w:p>
    <w:p w:rsidR="00707178" w:rsidRDefault="00C03176">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707178" w:rsidRDefault="00C03176">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w:t>
      </w:r>
      <w:r>
        <w:rPr>
          <w:rFonts w:asciiTheme="minorEastAsia" w:hAnsiTheme="minorEastAsia" w:cs="仿宋_GB2312" w:hint="eastAsia"/>
          <w:sz w:val="28"/>
          <w:szCs w:val="28"/>
        </w:rPr>
        <w:t>国有资本经营预算财政拨款支出决算情况</w:t>
      </w:r>
    </w:p>
    <w:p w:rsidR="00707178" w:rsidRDefault="00C03176">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十、机关运行经费支出说明</w:t>
      </w:r>
    </w:p>
    <w:p w:rsidR="00707178" w:rsidRDefault="00C03176">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十一、一般性支出情况说明</w:t>
      </w:r>
    </w:p>
    <w:p w:rsidR="00707178" w:rsidRDefault="00C03176">
      <w:pPr>
        <w:autoSpaceDE w:val="0"/>
        <w:autoSpaceDN w:val="0"/>
        <w:adjustRightInd w:val="0"/>
        <w:spacing w:line="480" w:lineRule="exact"/>
        <w:ind w:firstLineChars="250" w:firstLine="700"/>
        <w:jc w:val="left"/>
        <w:rPr>
          <w:rFonts w:ascii="仿宋_GB2312" w:hAnsi="仿宋_GB2312" w:cs="仿宋_GB2312"/>
          <w:sz w:val="28"/>
          <w:szCs w:val="28"/>
        </w:rPr>
      </w:pPr>
      <w:r>
        <w:rPr>
          <w:rFonts w:ascii="仿宋_GB2312" w:hAnsi="仿宋_GB2312" w:cs="仿宋_GB2312" w:hint="eastAsia"/>
          <w:sz w:val="28"/>
          <w:szCs w:val="28"/>
        </w:rPr>
        <w:t>十二、</w:t>
      </w:r>
      <w:r>
        <w:rPr>
          <w:rFonts w:ascii="仿宋_GB2312" w:hAnsi="仿宋_GB2312" w:cs="仿宋_GB2312" w:hint="eastAsia"/>
          <w:color w:val="000000"/>
          <w:kern w:val="0"/>
          <w:sz w:val="28"/>
          <w:szCs w:val="28"/>
        </w:rPr>
        <w:t>政府采购支出说明</w:t>
      </w:r>
    </w:p>
    <w:p w:rsidR="00707178" w:rsidRDefault="00C03176">
      <w:pPr>
        <w:pStyle w:val="Default"/>
        <w:spacing w:line="48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十三、国有资产占用情况说明</w:t>
      </w:r>
    </w:p>
    <w:p w:rsidR="00707178" w:rsidRDefault="00C03176">
      <w:pPr>
        <w:pStyle w:val="Default"/>
        <w:spacing w:line="48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十四、</w:t>
      </w:r>
      <w:r>
        <w:rPr>
          <w:rFonts w:asciiTheme="minorEastAsia" w:eastAsiaTheme="minorEastAsia" w:hAnsiTheme="minorEastAsia" w:cs="仿宋_GB2312" w:hint="eastAsia"/>
          <w:sz w:val="28"/>
          <w:szCs w:val="28"/>
        </w:rPr>
        <w:t>2021年</w:t>
      </w:r>
      <w:r>
        <w:rPr>
          <w:rFonts w:ascii="仿宋_GB2312" w:eastAsiaTheme="minorEastAsia" w:hAnsi="仿宋_GB2312" w:cs="仿宋_GB2312" w:hint="eastAsia"/>
          <w:sz w:val="28"/>
          <w:szCs w:val="28"/>
        </w:rPr>
        <w:t>度预算绩效情况说明</w:t>
      </w:r>
    </w:p>
    <w:p w:rsidR="00707178" w:rsidRDefault="00C03176">
      <w:pPr>
        <w:autoSpaceDE w:val="0"/>
        <w:autoSpaceDN w:val="0"/>
        <w:adjustRightInd w:val="0"/>
        <w:spacing w:line="480" w:lineRule="exact"/>
        <w:jc w:val="left"/>
        <w:rPr>
          <w:rFonts w:ascii="黑体" w:eastAsia="黑体" w:hAnsi="黑体" w:cs="黑体"/>
          <w:b/>
          <w:color w:val="000000"/>
          <w:kern w:val="0"/>
          <w:sz w:val="28"/>
          <w:szCs w:val="28"/>
        </w:rPr>
      </w:pPr>
      <w:r>
        <w:rPr>
          <w:rFonts w:ascii="黑体" w:eastAsia="黑体" w:hAnsi="黑体" w:cs="黑体"/>
          <w:b/>
          <w:color w:val="000000"/>
          <w:kern w:val="0"/>
          <w:sz w:val="28"/>
          <w:szCs w:val="28"/>
        </w:rPr>
        <w:t>第四部分名词解释</w:t>
      </w:r>
    </w:p>
    <w:p w:rsidR="00707178" w:rsidRDefault="00C03176">
      <w:pPr>
        <w:autoSpaceDE w:val="0"/>
        <w:autoSpaceDN w:val="0"/>
        <w:adjustRightInd w:val="0"/>
        <w:spacing w:line="480" w:lineRule="exact"/>
        <w:jc w:val="left"/>
        <w:rPr>
          <w:rFonts w:ascii="黑体" w:eastAsia="黑体" w:hAnsi="黑体" w:cs="仿宋_GB2312"/>
          <w:b/>
          <w:color w:val="000000"/>
          <w:kern w:val="0"/>
          <w:sz w:val="28"/>
          <w:szCs w:val="28"/>
        </w:rPr>
      </w:pPr>
      <w:r>
        <w:rPr>
          <w:rFonts w:ascii="黑体" w:eastAsia="黑体" w:hAnsi="黑体" w:cs="黑体" w:hint="eastAsia"/>
          <w:b/>
          <w:color w:val="000000"/>
          <w:kern w:val="0"/>
          <w:sz w:val="28"/>
          <w:szCs w:val="28"/>
        </w:rPr>
        <w:t>第五部分  附件</w:t>
      </w:r>
    </w:p>
    <w:p w:rsidR="00707178" w:rsidRDefault="00707178">
      <w:pPr>
        <w:spacing w:line="620" w:lineRule="exact"/>
        <w:jc w:val="center"/>
        <w:rPr>
          <w:sz w:val="72"/>
          <w:szCs w:val="72"/>
        </w:rPr>
      </w:pPr>
    </w:p>
    <w:p w:rsidR="00707178" w:rsidRDefault="00707178">
      <w:pPr>
        <w:jc w:val="center"/>
        <w:rPr>
          <w:sz w:val="72"/>
          <w:szCs w:val="72"/>
        </w:rPr>
      </w:pPr>
    </w:p>
    <w:p w:rsidR="00707178" w:rsidRDefault="00707178">
      <w:pPr>
        <w:jc w:val="center"/>
        <w:rPr>
          <w:sz w:val="72"/>
          <w:szCs w:val="72"/>
        </w:rPr>
      </w:pPr>
    </w:p>
    <w:p w:rsidR="00707178" w:rsidRDefault="00707178">
      <w:pPr>
        <w:jc w:val="center"/>
        <w:rPr>
          <w:sz w:val="72"/>
          <w:szCs w:val="72"/>
        </w:rPr>
      </w:pPr>
    </w:p>
    <w:p w:rsidR="00707178" w:rsidRDefault="00707178">
      <w:pPr>
        <w:rPr>
          <w:sz w:val="72"/>
          <w:szCs w:val="72"/>
        </w:rPr>
      </w:pPr>
    </w:p>
    <w:p w:rsidR="00707178" w:rsidRDefault="00C03176">
      <w:pPr>
        <w:pStyle w:val="Default"/>
        <w:jc w:val="center"/>
        <w:rPr>
          <w:sz w:val="84"/>
          <w:szCs w:val="84"/>
        </w:rPr>
      </w:pPr>
      <w:r>
        <w:rPr>
          <w:rFonts w:hint="eastAsia"/>
          <w:sz w:val="84"/>
          <w:szCs w:val="84"/>
        </w:rPr>
        <w:t>第一部分</w:t>
      </w:r>
    </w:p>
    <w:p w:rsidR="00707178" w:rsidRDefault="00707178">
      <w:pPr>
        <w:pStyle w:val="Default"/>
        <w:jc w:val="center"/>
        <w:rPr>
          <w:sz w:val="84"/>
          <w:szCs w:val="84"/>
        </w:rPr>
      </w:pPr>
    </w:p>
    <w:p w:rsidR="00707178" w:rsidRDefault="00C03176">
      <w:pPr>
        <w:pStyle w:val="Default"/>
        <w:jc w:val="center"/>
        <w:rPr>
          <w:sz w:val="84"/>
          <w:szCs w:val="84"/>
        </w:rPr>
      </w:pPr>
      <w:r>
        <w:rPr>
          <w:rFonts w:hint="eastAsia"/>
          <w:sz w:val="84"/>
          <w:szCs w:val="84"/>
        </w:rPr>
        <w:t xml:space="preserve">岳阳市公安局岳阳楼分局  </w:t>
      </w:r>
    </w:p>
    <w:p w:rsidR="00707178" w:rsidRDefault="00C03176">
      <w:pPr>
        <w:pStyle w:val="Default"/>
        <w:jc w:val="center"/>
        <w:rPr>
          <w:sz w:val="84"/>
          <w:szCs w:val="84"/>
        </w:rPr>
      </w:pPr>
      <w:r>
        <w:rPr>
          <w:rFonts w:hint="eastAsia"/>
          <w:sz w:val="84"/>
          <w:szCs w:val="84"/>
        </w:rPr>
        <w:t>概况</w:t>
      </w:r>
    </w:p>
    <w:p w:rsidR="00707178" w:rsidRDefault="00707178">
      <w:pPr>
        <w:jc w:val="center"/>
        <w:rPr>
          <w:sz w:val="72"/>
          <w:szCs w:val="72"/>
        </w:rPr>
      </w:pPr>
    </w:p>
    <w:p w:rsidR="00707178" w:rsidRDefault="00707178">
      <w:pPr>
        <w:jc w:val="center"/>
        <w:rPr>
          <w:sz w:val="72"/>
          <w:szCs w:val="72"/>
        </w:rPr>
      </w:pPr>
    </w:p>
    <w:p w:rsidR="00707178" w:rsidRDefault="00707178">
      <w:pPr>
        <w:jc w:val="center"/>
        <w:rPr>
          <w:sz w:val="72"/>
          <w:szCs w:val="72"/>
        </w:rPr>
      </w:pPr>
    </w:p>
    <w:p w:rsidR="00707178" w:rsidRDefault="00707178">
      <w:pPr>
        <w:jc w:val="center"/>
        <w:rPr>
          <w:sz w:val="72"/>
          <w:szCs w:val="72"/>
        </w:rPr>
      </w:pPr>
    </w:p>
    <w:p w:rsidR="00707178" w:rsidRDefault="00707178">
      <w:pPr>
        <w:pStyle w:val="a7"/>
        <w:ind w:firstLineChars="0" w:firstLine="0"/>
        <w:jc w:val="left"/>
        <w:rPr>
          <w:rFonts w:ascii="黑体" w:eastAsia="黑体" w:hAnsi="黑体"/>
          <w:sz w:val="32"/>
          <w:szCs w:val="32"/>
        </w:rPr>
      </w:pPr>
    </w:p>
    <w:p w:rsidR="00707178" w:rsidRDefault="00707178">
      <w:pPr>
        <w:pStyle w:val="a7"/>
        <w:ind w:firstLineChars="0" w:firstLine="0"/>
        <w:jc w:val="left"/>
        <w:rPr>
          <w:rFonts w:ascii="黑体" w:eastAsia="黑体" w:hAnsi="黑体"/>
          <w:sz w:val="32"/>
          <w:szCs w:val="32"/>
        </w:rPr>
      </w:pPr>
    </w:p>
    <w:p w:rsidR="00707178" w:rsidRDefault="00707178">
      <w:pPr>
        <w:pStyle w:val="a7"/>
        <w:ind w:firstLineChars="0" w:firstLine="0"/>
        <w:jc w:val="left"/>
        <w:rPr>
          <w:rFonts w:ascii="黑体" w:eastAsia="黑体" w:hAnsi="黑体"/>
          <w:sz w:val="32"/>
          <w:szCs w:val="32"/>
        </w:rPr>
      </w:pPr>
    </w:p>
    <w:p w:rsidR="00707178" w:rsidRDefault="00C03176">
      <w:pPr>
        <w:pStyle w:val="a7"/>
        <w:numPr>
          <w:ilvl w:val="0"/>
          <w:numId w:val="1"/>
        </w:numPr>
        <w:ind w:firstLineChars="0"/>
        <w:jc w:val="left"/>
        <w:rPr>
          <w:rFonts w:ascii="黑体" w:eastAsia="黑体" w:hAnsi="黑体"/>
          <w:sz w:val="32"/>
          <w:szCs w:val="32"/>
        </w:rPr>
      </w:pPr>
      <w:r>
        <w:rPr>
          <w:rFonts w:ascii="黑体" w:eastAsia="黑体" w:hAnsi="黑体"/>
          <w:sz w:val="32"/>
          <w:szCs w:val="32"/>
        </w:rPr>
        <w:lastRenderedPageBreak/>
        <w:t>部门职责</w:t>
      </w:r>
    </w:p>
    <w:p w:rsidR="00707178" w:rsidRDefault="00C03176">
      <w:pPr>
        <w:numPr>
          <w:ilvl w:val="0"/>
          <w:numId w:val="2"/>
        </w:numPr>
        <w:spacing w:line="360" w:lineRule="auto"/>
        <w:ind w:firstLine="640"/>
        <w:rPr>
          <w:rFonts w:ascii="宋体" w:eastAsia="宋体" w:hAnsi="宋体" w:cs="宋体"/>
          <w:sz w:val="32"/>
          <w:szCs w:val="32"/>
        </w:rPr>
      </w:pPr>
      <w:r>
        <w:rPr>
          <w:rFonts w:ascii="宋体" w:eastAsia="宋体" w:hAnsi="宋体" w:cs="宋体" w:hint="eastAsia"/>
          <w:sz w:val="32"/>
          <w:szCs w:val="32"/>
        </w:rPr>
        <w:t>预防制止和侦查违法犯罪活动；</w:t>
      </w:r>
    </w:p>
    <w:p w:rsidR="00707178" w:rsidRDefault="00C03176">
      <w:pPr>
        <w:numPr>
          <w:ilvl w:val="0"/>
          <w:numId w:val="2"/>
        </w:numPr>
        <w:spacing w:line="360" w:lineRule="auto"/>
        <w:ind w:firstLine="640"/>
        <w:rPr>
          <w:rFonts w:ascii="宋体" w:eastAsia="宋体" w:hAnsi="宋体" w:cs="宋体"/>
          <w:sz w:val="28"/>
          <w:szCs w:val="32"/>
        </w:rPr>
      </w:pPr>
      <w:r>
        <w:rPr>
          <w:rFonts w:ascii="宋体" w:eastAsia="宋体" w:hAnsi="宋体" w:cs="宋体" w:hint="eastAsia"/>
          <w:sz w:val="32"/>
          <w:szCs w:val="32"/>
        </w:rPr>
        <w:t>维护社会治安秩序，制止危害社会治安秩序的行为；</w:t>
      </w:r>
    </w:p>
    <w:p w:rsidR="00707178" w:rsidRDefault="00C03176">
      <w:pPr>
        <w:numPr>
          <w:ilvl w:val="0"/>
          <w:numId w:val="2"/>
        </w:numPr>
        <w:spacing w:line="360" w:lineRule="auto"/>
        <w:ind w:firstLine="640"/>
        <w:rPr>
          <w:rFonts w:ascii="宋体" w:eastAsia="宋体" w:hAnsi="宋体" w:cs="宋体"/>
          <w:sz w:val="28"/>
          <w:szCs w:val="32"/>
        </w:rPr>
      </w:pPr>
      <w:r>
        <w:rPr>
          <w:rFonts w:ascii="宋体" w:eastAsia="宋体" w:hAnsi="宋体" w:cs="宋体" w:hint="eastAsia"/>
          <w:sz w:val="32"/>
          <w:szCs w:val="32"/>
        </w:rPr>
        <w:t>组织实施消防工作，实行消防监督；</w:t>
      </w:r>
    </w:p>
    <w:p w:rsidR="00707178" w:rsidRDefault="00C03176">
      <w:pPr>
        <w:numPr>
          <w:ilvl w:val="0"/>
          <w:numId w:val="2"/>
        </w:numPr>
        <w:spacing w:line="360" w:lineRule="auto"/>
        <w:ind w:firstLine="640"/>
        <w:rPr>
          <w:rFonts w:ascii="宋体" w:eastAsia="宋体" w:hAnsi="宋体" w:cs="宋体"/>
          <w:sz w:val="28"/>
          <w:szCs w:val="32"/>
        </w:rPr>
      </w:pPr>
      <w:r>
        <w:rPr>
          <w:rFonts w:ascii="宋体" w:eastAsia="宋体" w:hAnsi="宋体" w:cs="宋体" w:hint="eastAsia"/>
          <w:sz w:val="32"/>
          <w:szCs w:val="32"/>
        </w:rPr>
        <w:t>管理枪支弹药、控制刀具和易燃易爆、剧毒、放射等危险物品；对法律、法规指定的特种行业进行管理；</w:t>
      </w:r>
    </w:p>
    <w:p w:rsidR="00707178" w:rsidRDefault="00C03176">
      <w:pPr>
        <w:numPr>
          <w:ilvl w:val="0"/>
          <w:numId w:val="2"/>
        </w:numPr>
        <w:spacing w:line="360" w:lineRule="auto"/>
        <w:ind w:firstLine="640"/>
        <w:rPr>
          <w:rFonts w:ascii="宋体" w:eastAsia="宋体" w:hAnsi="宋体" w:cs="宋体"/>
          <w:sz w:val="28"/>
          <w:szCs w:val="32"/>
        </w:rPr>
      </w:pPr>
      <w:r>
        <w:rPr>
          <w:rFonts w:ascii="宋体" w:eastAsia="宋体" w:hAnsi="宋体" w:cs="宋体" w:hint="eastAsia"/>
          <w:sz w:val="32"/>
          <w:szCs w:val="32"/>
        </w:rPr>
        <w:t>警卫国家规定的特定人员，守卫重要的场所和设施；管理集会、游行、示威活动；</w:t>
      </w:r>
    </w:p>
    <w:p w:rsidR="00707178" w:rsidRDefault="00C03176">
      <w:pPr>
        <w:numPr>
          <w:ilvl w:val="0"/>
          <w:numId w:val="2"/>
        </w:numPr>
        <w:spacing w:line="360" w:lineRule="auto"/>
        <w:ind w:firstLine="640"/>
        <w:rPr>
          <w:rFonts w:ascii="宋体" w:eastAsia="宋体" w:hAnsi="宋体" w:cs="宋体"/>
          <w:sz w:val="28"/>
          <w:szCs w:val="32"/>
        </w:rPr>
      </w:pPr>
      <w:r>
        <w:rPr>
          <w:rFonts w:ascii="宋体" w:eastAsia="宋体" w:hAnsi="宋体" w:cs="宋体" w:hint="eastAsia"/>
          <w:sz w:val="32"/>
          <w:szCs w:val="32"/>
        </w:rPr>
        <w:t>管理户政、国籍、出入境事务和外国人在中国境内居留、旅行的有关事务；</w:t>
      </w:r>
    </w:p>
    <w:p w:rsidR="00707178" w:rsidRDefault="00C03176">
      <w:pPr>
        <w:numPr>
          <w:ilvl w:val="0"/>
          <w:numId w:val="2"/>
        </w:numPr>
        <w:spacing w:line="360" w:lineRule="auto"/>
        <w:ind w:firstLine="640"/>
        <w:rPr>
          <w:rFonts w:ascii="宋体" w:eastAsia="宋体" w:hAnsi="宋体" w:cs="宋体"/>
          <w:sz w:val="28"/>
          <w:szCs w:val="32"/>
        </w:rPr>
      </w:pPr>
      <w:r>
        <w:rPr>
          <w:rFonts w:ascii="宋体" w:eastAsia="宋体" w:hAnsi="宋体" w:cs="宋体" w:hint="eastAsia"/>
          <w:sz w:val="32"/>
          <w:szCs w:val="32"/>
        </w:rPr>
        <w:t>维护国边境地区的治安秩序；管理监督计算机信息系统的安全保卫工作；</w:t>
      </w:r>
    </w:p>
    <w:p w:rsidR="00707178" w:rsidRDefault="00C03176">
      <w:pPr>
        <w:numPr>
          <w:ilvl w:val="0"/>
          <w:numId w:val="2"/>
        </w:numPr>
        <w:spacing w:line="360" w:lineRule="auto"/>
        <w:ind w:firstLine="640"/>
        <w:rPr>
          <w:rFonts w:ascii="宋体" w:eastAsia="宋体" w:hAnsi="宋体" w:cs="宋体"/>
          <w:sz w:val="28"/>
          <w:szCs w:val="32"/>
        </w:rPr>
      </w:pPr>
      <w:r>
        <w:rPr>
          <w:rFonts w:ascii="宋体" w:eastAsia="宋体" w:hAnsi="宋体" w:cs="宋体" w:hint="eastAsia"/>
          <w:sz w:val="32"/>
          <w:szCs w:val="32"/>
        </w:rPr>
        <w:t>指导监督国家机关、社会团体、企业事业组织和重点建设工程的治安保卫工作，指导治安保卫委员会等群众性组织的治安防范工作；</w:t>
      </w:r>
    </w:p>
    <w:p w:rsidR="00707178" w:rsidRDefault="00C03176">
      <w:pPr>
        <w:numPr>
          <w:ilvl w:val="0"/>
          <w:numId w:val="2"/>
        </w:numPr>
        <w:spacing w:line="360" w:lineRule="auto"/>
        <w:ind w:firstLine="640"/>
        <w:rPr>
          <w:rFonts w:ascii="仿宋_GB2312" w:eastAsia="仿宋_GB2312" w:hAnsiTheme="minorEastAsia"/>
          <w:sz w:val="28"/>
          <w:szCs w:val="32"/>
        </w:rPr>
      </w:pPr>
      <w:r>
        <w:rPr>
          <w:rFonts w:ascii="宋体" w:eastAsia="宋体" w:hAnsi="宋体" w:cs="宋体" w:hint="eastAsia"/>
          <w:sz w:val="32"/>
          <w:szCs w:val="32"/>
        </w:rPr>
        <w:t>法律法规规定的其他职责。</w:t>
      </w:r>
    </w:p>
    <w:p w:rsidR="00707178" w:rsidRDefault="00C03176">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707178" w:rsidRDefault="00C03176">
      <w:pPr>
        <w:widowControl/>
        <w:spacing w:line="60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（一）内设机构设置。本单位内设机构包括：19个公安派出所（东茅岭所、五里牌所、站前路所、枫桥湖所、金</w:t>
      </w:r>
      <w:proofErr w:type="gramStart"/>
      <w:r>
        <w:rPr>
          <w:rFonts w:asciiTheme="minorEastAsia" w:hAnsiTheme="minorEastAsia" w:hint="eastAsia"/>
          <w:bCs/>
          <w:kern w:val="0"/>
          <w:sz w:val="32"/>
          <w:szCs w:val="32"/>
        </w:rPr>
        <w:t>鹗</w:t>
      </w:r>
      <w:proofErr w:type="gramEnd"/>
      <w:r>
        <w:rPr>
          <w:rFonts w:asciiTheme="minorEastAsia" w:hAnsiTheme="minorEastAsia" w:hint="eastAsia"/>
          <w:bCs/>
          <w:kern w:val="0"/>
          <w:sz w:val="32"/>
          <w:szCs w:val="32"/>
        </w:rPr>
        <w:t>山所、南湖所、</w:t>
      </w:r>
      <w:proofErr w:type="gramStart"/>
      <w:r>
        <w:rPr>
          <w:rFonts w:asciiTheme="minorEastAsia" w:hAnsiTheme="minorEastAsia" w:hint="eastAsia"/>
          <w:bCs/>
          <w:kern w:val="0"/>
          <w:sz w:val="32"/>
          <w:szCs w:val="32"/>
        </w:rPr>
        <w:t>洛</w:t>
      </w:r>
      <w:proofErr w:type="gramEnd"/>
      <w:r>
        <w:rPr>
          <w:rFonts w:asciiTheme="minorEastAsia" w:hAnsiTheme="minorEastAsia" w:hint="eastAsia"/>
          <w:bCs/>
          <w:kern w:val="0"/>
          <w:sz w:val="32"/>
          <w:szCs w:val="32"/>
        </w:rPr>
        <w:t>王所、梅溪所、三眼桥所、王家河所、望岳路所、</w:t>
      </w:r>
      <w:proofErr w:type="gramStart"/>
      <w:r>
        <w:rPr>
          <w:rFonts w:asciiTheme="minorEastAsia" w:hAnsiTheme="minorEastAsia" w:hint="eastAsia"/>
          <w:bCs/>
          <w:kern w:val="0"/>
          <w:sz w:val="32"/>
          <w:szCs w:val="32"/>
        </w:rPr>
        <w:t>奇家岭所</w:t>
      </w:r>
      <w:proofErr w:type="gramEnd"/>
      <w:r>
        <w:rPr>
          <w:rFonts w:asciiTheme="minorEastAsia" w:hAnsiTheme="minorEastAsia" w:hint="eastAsia"/>
          <w:bCs/>
          <w:kern w:val="0"/>
          <w:sz w:val="32"/>
          <w:szCs w:val="32"/>
        </w:rPr>
        <w:t>、岳阳楼所、吕仙亭所、湖滨所、郭镇所、城陵矶所、洞庭所、龙山所）、16个执法办案大队（巡逻大队、便衣大队、内保大队、刑侦大队、法制大队、情报大队、人境大队、禁毒大队、经</w:t>
      </w:r>
      <w:proofErr w:type="gramStart"/>
      <w:r>
        <w:rPr>
          <w:rFonts w:asciiTheme="minorEastAsia" w:hAnsiTheme="minorEastAsia" w:hint="eastAsia"/>
          <w:bCs/>
          <w:kern w:val="0"/>
          <w:sz w:val="32"/>
          <w:szCs w:val="32"/>
        </w:rPr>
        <w:t>侦</w:t>
      </w:r>
      <w:proofErr w:type="gramEnd"/>
      <w:r>
        <w:rPr>
          <w:rFonts w:asciiTheme="minorEastAsia" w:hAnsiTheme="minorEastAsia" w:hint="eastAsia"/>
          <w:bCs/>
          <w:kern w:val="0"/>
          <w:sz w:val="32"/>
          <w:szCs w:val="32"/>
        </w:rPr>
        <w:t>大队、城管大队、反恐大队、科信大队、</w:t>
      </w:r>
      <w:proofErr w:type="gramStart"/>
      <w:r>
        <w:rPr>
          <w:rFonts w:asciiTheme="minorEastAsia" w:hAnsiTheme="minorEastAsia" w:hint="eastAsia"/>
          <w:bCs/>
          <w:kern w:val="0"/>
          <w:sz w:val="32"/>
          <w:szCs w:val="32"/>
        </w:rPr>
        <w:t>网安大队</w:t>
      </w:r>
      <w:proofErr w:type="gramEnd"/>
      <w:r>
        <w:rPr>
          <w:rFonts w:asciiTheme="minorEastAsia" w:hAnsiTheme="minorEastAsia" w:hint="eastAsia"/>
          <w:bCs/>
          <w:kern w:val="0"/>
          <w:sz w:val="32"/>
          <w:szCs w:val="32"/>
        </w:rPr>
        <w:t>、执法办案中心）、5个机关科室（指挥中心、警务保障室、政工室、辅警办、纪委）。</w:t>
      </w:r>
    </w:p>
    <w:p w:rsidR="00707178" w:rsidRDefault="00C03176">
      <w:pPr>
        <w:widowControl/>
        <w:spacing w:line="60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（二）决算单位构成。本单位</w:t>
      </w:r>
      <w:r>
        <w:rPr>
          <w:rFonts w:asciiTheme="minorEastAsia" w:hAnsiTheme="minorEastAsia"/>
          <w:bCs/>
          <w:kern w:val="0"/>
          <w:sz w:val="32"/>
          <w:szCs w:val="32"/>
        </w:rPr>
        <w:t>20</w:t>
      </w:r>
      <w:r>
        <w:rPr>
          <w:rFonts w:asciiTheme="minorEastAsia" w:hAnsiTheme="minorEastAsia" w:hint="eastAsia"/>
          <w:bCs/>
          <w:kern w:val="0"/>
          <w:sz w:val="32"/>
          <w:szCs w:val="32"/>
        </w:rPr>
        <w:t>21年部门决算汇总公开单位构成包括单位本级，无二级预算单位。</w:t>
      </w:r>
    </w:p>
    <w:p w:rsidR="00707178" w:rsidRDefault="00707178">
      <w:pPr>
        <w:jc w:val="left"/>
        <w:rPr>
          <w:rFonts w:ascii="仿宋_GB2312" w:eastAsia="仿宋_GB2312" w:hAnsiTheme="minorEastAsia"/>
          <w:sz w:val="28"/>
          <w:szCs w:val="32"/>
        </w:rPr>
      </w:pPr>
    </w:p>
    <w:p w:rsidR="00707178" w:rsidRDefault="00707178">
      <w:pPr>
        <w:jc w:val="center"/>
        <w:rPr>
          <w:rFonts w:ascii="黑体" w:eastAsia="黑体" w:hAnsi="黑体"/>
          <w:sz w:val="28"/>
          <w:szCs w:val="28"/>
        </w:rPr>
      </w:pPr>
    </w:p>
    <w:p w:rsidR="00707178" w:rsidRDefault="00707178">
      <w:pPr>
        <w:jc w:val="center"/>
        <w:rPr>
          <w:rFonts w:ascii="黑体" w:eastAsia="黑体" w:hAnsi="黑体"/>
          <w:sz w:val="28"/>
          <w:szCs w:val="28"/>
        </w:rPr>
      </w:pPr>
    </w:p>
    <w:p w:rsidR="00707178" w:rsidRDefault="00707178">
      <w:pPr>
        <w:jc w:val="center"/>
        <w:rPr>
          <w:rFonts w:ascii="黑体" w:eastAsia="黑体" w:hAnsi="黑体"/>
          <w:sz w:val="28"/>
          <w:szCs w:val="28"/>
        </w:rPr>
      </w:pPr>
    </w:p>
    <w:p w:rsidR="00707178" w:rsidRDefault="00707178">
      <w:pPr>
        <w:jc w:val="center"/>
        <w:rPr>
          <w:rFonts w:ascii="黑体" w:eastAsia="黑体" w:hAnsi="黑体"/>
          <w:sz w:val="28"/>
          <w:szCs w:val="28"/>
        </w:rPr>
      </w:pPr>
    </w:p>
    <w:p w:rsidR="00707178" w:rsidRDefault="00707178">
      <w:pPr>
        <w:jc w:val="center"/>
        <w:rPr>
          <w:rFonts w:ascii="黑体" w:eastAsia="黑体" w:hAnsi="黑体"/>
          <w:sz w:val="28"/>
          <w:szCs w:val="28"/>
        </w:rPr>
      </w:pPr>
    </w:p>
    <w:p w:rsidR="00707178" w:rsidRDefault="00707178">
      <w:pPr>
        <w:jc w:val="center"/>
        <w:rPr>
          <w:rFonts w:ascii="黑体" w:eastAsia="黑体" w:hAnsi="黑体"/>
          <w:sz w:val="28"/>
          <w:szCs w:val="28"/>
        </w:rPr>
      </w:pPr>
    </w:p>
    <w:p w:rsidR="00707178" w:rsidRDefault="00707178">
      <w:pPr>
        <w:jc w:val="center"/>
        <w:rPr>
          <w:rFonts w:ascii="黑体" w:eastAsia="黑体" w:hAnsi="黑体"/>
          <w:sz w:val="28"/>
          <w:szCs w:val="28"/>
        </w:rPr>
      </w:pPr>
    </w:p>
    <w:p w:rsidR="00707178" w:rsidRDefault="00707178">
      <w:pPr>
        <w:jc w:val="center"/>
        <w:rPr>
          <w:rFonts w:ascii="黑体" w:eastAsia="黑体" w:hAnsi="黑体"/>
          <w:sz w:val="28"/>
          <w:szCs w:val="28"/>
        </w:rPr>
      </w:pPr>
    </w:p>
    <w:p w:rsidR="00707178" w:rsidRDefault="00707178">
      <w:pPr>
        <w:rPr>
          <w:sz w:val="72"/>
          <w:szCs w:val="72"/>
        </w:rPr>
      </w:pPr>
    </w:p>
    <w:p w:rsidR="00707178" w:rsidRDefault="00707178">
      <w:pPr>
        <w:jc w:val="center"/>
        <w:rPr>
          <w:sz w:val="72"/>
          <w:szCs w:val="72"/>
        </w:rPr>
      </w:pPr>
    </w:p>
    <w:p w:rsidR="00707178" w:rsidRDefault="00C03176">
      <w:pPr>
        <w:pStyle w:val="Default"/>
        <w:jc w:val="center"/>
        <w:rPr>
          <w:sz w:val="72"/>
          <w:szCs w:val="72"/>
        </w:rPr>
      </w:pPr>
      <w:r>
        <w:rPr>
          <w:rFonts w:hint="eastAsia"/>
          <w:sz w:val="72"/>
          <w:szCs w:val="72"/>
        </w:rPr>
        <w:t>第二部分</w:t>
      </w:r>
    </w:p>
    <w:p w:rsidR="00707178" w:rsidRDefault="00707178">
      <w:pPr>
        <w:pStyle w:val="Default"/>
        <w:jc w:val="center"/>
        <w:rPr>
          <w:sz w:val="72"/>
          <w:szCs w:val="72"/>
        </w:rPr>
      </w:pPr>
    </w:p>
    <w:p w:rsidR="00707178" w:rsidRDefault="00C03176">
      <w:pPr>
        <w:pStyle w:val="Default"/>
        <w:jc w:val="center"/>
        <w:rPr>
          <w:sz w:val="72"/>
          <w:szCs w:val="72"/>
        </w:rPr>
      </w:pPr>
      <w:r>
        <w:rPr>
          <w:rFonts w:hint="eastAsia"/>
          <w:sz w:val="72"/>
          <w:szCs w:val="72"/>
        </w:rPr>
        <w:t>部门决算表</w:t>
      </w:r>
    </w:p>
    <w:p w:rsidR="00707178" w:rsidRDefault="00C03176">
      <w:pPr>
        <w:pStyle w:val="Default"/>
        <w:jc w:val="center"/>
        <w:rPr>
          <w:sz w:val="72"/>
          <w:szCs w:val="72"/>
        </w:rPr>
      </w:pPr>
      <w:r>
        <w:rPr>
          <w:rFonts w:hint="eastAsia"/>
          <w:sz w:val="72"/>
          <w:szCs w:val="72"/>
        </w:rPr>
        <w:t>（见附件）</w:t>
      </w:r>
    </w:p>
    <w:p w:rsidR="00707178" w:rsidRDefault="00707178">
      <w:pPr>
        <w:jc w:val="center"/>
        <w:rPr>
          <w:sz w:val="72"/>
          <w:szCs w:val="72"/>
        </w:rPr>
      </w:pPr>
    </w:p>
    <w:p w:rsidR="00707178" w:rsidRDefault="00707178">
      <w:pPr>
        <w:jc w:val="center"/>
        <w:rPr>
          <w:sz w:val="72"/>
          <w:szCs w:val="72"/>
        </w:rPr>
      </w:pPr>
    </w:p>
    <w:p w:rsidR="00707178" w:rsidRDefault="00707178">
      <w:pPr>
        <w:jc w:val="center"/>
        <w:rPr>
          <w:sz w:val="72"/>
          <w:szCs w:val="72"/>
        </w:rPr>
      </w:pPr>
    </w:p>
    <w:p w:rsidR="00707178" w:rsidRDefault="00707178">
      <w:pPr>
        <w:jc w:val="center"/>
        <w:rPr>
          <w:sz w:val="72"/>
          <w:szCs w:val="72"/>
        </w:rPr>
      </w:pPr>
    </w:p>
    <w:p w:rsidR="00707178" w:rsidRDefault="00707178">
      <w:pPr>
        <w:jc w:val="left"/>
        <w:rPr>
          <w:rFonts w:asciiTheme="minorEastAsia" w:hAnsiTheme="minorEastAsia"/>
          <w:sz w:val="32"/>
          <w:szCs w:val="32"/>
        </w:rPr>
        <w:sectPr w:rsidR="00707178">
          <w:pgSz w:w="11906" w:h="16838"/>
          <w:pgMar w:top="720" w:right="720" w:bottom="720" w:left="720" w:header="851" w:footer="992" w:gutter="0"/>
          <w:cols w:space="425"/>
          <w:docGrid w:type="lines" w:linePitch="312"/>
        </w:sectPr>
      </w:pPr>
    </w:p>
    <w:p w:rsidR="00707178" w:rsidRDefault="00707178">
      <w:pPr>
        <w:pStyle w:val="Default"/>
        <w:jc w:val="both"/>
        <w:rPr>
          <w:sz w:val="72"/>
          <w:szCs w:val="72"/>
        </w:rPr>
      </w:pPr>
    </w:p>
    <w:p w:rsidR="00707178" w:rsidRDefault="00707178">
      <w:pPr>
        <w:pStyle w:val="Default"/>
        <w:jc w:val="both"/>
        <w:rPr>
          <w:sz w:val="72"/>
          <w:szCs w:val="72"/>
        </w:rPr>
      </w:pPr>
    </w:p>
    <w:p w:rsidR="00707178" w:rsidRDefault="00707178">
      <w:pPr>
        <w:pStyle w:val="Default"/>
        <w:jc w:val="both"/>
        <w:rPr>
          <w:sz w:val="72"/>
          <w:szCs w:val="72"/>
        </w:rPr>
      </w:pPr>
    </w:p>
    <w:p w:rsidR="00707178" w:rsidRDefault="00707178">
      <w:pPr>
        <w:pStyle w:val="Default"/>
        <w:jc w:val="both"/>
        <w:rPr>
          <w:sz w:val="72"/>
          <w:szCs w:val="72"/>
        </w:rPr>
      </w:pPr>
    </w:p>
    <w:p w:rsidR="00707178" w:rsidRDefault="00707178">
      <w:pPr>
        <w:pStyle w:val="Default"/>
        <w:jc w:val="both"/>
        <w:rPr>
          <w:sz w:val="72"/>
          <w:szCs w:val="72"/>
        </w:rPr>
      </w:pPr>
    </w:p>
    <w:p w:rsidR="00707178" w:rsidRDefault="00C03176">
      <w:pPr>
        <w:pStyle w:val="Default"/>
        <w:jc w:val="center"/>
        <w:rPr>
          <w:sz w:val="72"/>
          <w:szCs w:val="72"/>
        </w:rPr>
      </w:pPr>
      <w:r>
        <w:rPr>
          <w:rFonts w:hint="eastAsia"/>
          <w:sz w:val="72"/>
          <w:szCs w:val="72"/>
        </w:rPr>
        <w:t>第三部分</w:t>
      </w:r>
    </w:p>
    <w:p w:rsidR="00707178" w:rsidRDefault="00707178">
      <w:pPr>
        <w:pStyle w:val="Default"/>
        <w:jc w:val="center"/>
        <w:rPr>
          <w:sz w:val="70"/>
          <w:szCs w:val="70"/>
        </w:rPr>
      </w:pPr>
    </w:p>
    <w:p w:rsidR="00707178" w:rsidRDefault="00C03176">
      <w:pPr>
        <w:pStyle w:val="Default"/>
        <w:jc w:val="center"/>
        <w:rPr>
          <w:sz w:val="70"/>
          <w:szCs w:val="70"/>
        </w:rPr>
      </w:pPr>
      <w:r>
        <w:rPr>
          <w:sz w:val="70"/>
          <w:szCs w:val="70"/>
        </w:rPr>
        <w:t>20</w:t>
      </w:r>
      <w:r>
        <w:rPr>
          <w:rFonts w:hint="eastAsia"/>
          <w:sz w:val="70"/>
          <w:szCs w:val="70"/>
        </w:rPr>
        <w:t>21年度部门决算情况说明</w:t>
      </w:r>
    </w:p>
    <w:p w:rsidR="00707178" w:rsidRDefault="00C03176">
      <w:pPr>
        <w:widowControl/>
        <w:jc w:val="left"/>
        <w:rPr>
          <w:rFonts w:ascii="黑体" w:eastAsia="黑体" w:cs="黑体"/>
          <w:color w:val="000000"/>
          <w:kern w:val="0"/>
          <w:sz w:val="70"/>
          <w:szCs w:val="70"/>
        </w:rPr>
      </w:pPr>
      <w:r>
        <w:rPr>
          <w:sz w:val="70"/>
          <w:szCs w:val="70"/>
        </w:rPr>
        <w:br w:type="page"/>
      </w:r>
    </w:p>
    <w:p w:rsidR="00707178" w:rsidRDefault="00707178">
      <w:pPr>
        <w:pStyle w:val="Default"/>
        <w:rPr>
          <w:rFonts w:asciiTheme="minorEastAsia" w:eastAsiaTheme="minorEastAsia" w:hAnsiTheme="minorEastAsia"/>
          <w:sz w:val="32"/>
          <w:szCs w:val="32"/>
        </w:rPr>
      </w:pPr>
    </w:p>
    <w:p w:rsidR="00707178" w:rsidRDefault="00C03176">
      <w:pPr>
        <w:pStyle w:val="Default"/>
        <w:rPr>
          <w:rFonts w:hAnsi="黑体"/>
          <w:b/>
          <w:sz w:val="32"/>
          <w:szCs w:val="32"/>
        </w:rPr>
      </w:pPr>
      <w:r>
        <w:rPr>
          <w:rFonts w:hAnsi="黑体" w:hint="eastAsia"/>
          <w:b/>
          <w:sz w:val="32"/>
          <w:szCs w:val="32"/>
        </w:rPr>
        <w:t>一、收入支出决算总体情况说明</w:t>
      </w:r>
    </w:p>
    <w:p w:rsidR="00707178" w:rsidRDefault="00C0317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2021年度收、支总计16639.4万元。与上年相比，增加1324.78万元，增长8.65%，主要是因为派出所建设投入收支增加所致。</w:t>
      </w:r>
    </w:p>
    <w:p w:rsidR="00707178" w:rsidRDefault="00C03176">
      <w:pPr>
        <w:pStyle w:val="Default"/>
        <w:rPr>
          <w:rFonts w:hAnsi="黑体"/>
          <w:b/>
          <w:sz w:val="32"/>
          <w:szCs w:val="32"/>
        </w:rPr>
      </w:pPr>
      <w:r>
        <w:rPr>
          <w:rFonts w:hAnsi="黑体" w:hint="eastAsia"/>
          <w:b/>
          <w:sz w:val="32"/>
          <w:szCs w:val="32"/>
        </w:rPr>
        <w:t>二、收入决算情况说明</w:t>
      </w:r>
    </w:p>
    <w:p w:rsidR="00707178" w:rsidRDefault="00C0317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2021年度收入合计14815.9万元，其中：财政拨款收入11220.82万元，占75.73%；上级补助收入0万元，占0%；事业收入0万元，占0%；经营收入0万元，占0%；附属单位上缴收入0万元，占0%；其他收入3595.08万元，占24.27%。</w:t>
      </w:r>
    </w:p>
    <w:p w:rsidR="00707178" w:rsidRDefault="00C03176">
      <w:pPr>
        <w:pStyle w:val="Default"/>
        <w:rPr>
          <w:rFonts w:hAnsi="黑体"/>
          <w:b/>
          <w:sz w:val="32"/>
          <w:szCs w:val="32"/>
        </w:rPr>
      </w:pPr>
      <w:r>
        <w:rPr>
          <w:rFonts w:hAnsi="黑体" w:hint="eastAsia"/>
          <w:b/>
          <w:sz w:val="32"/>
          <w:szCs w:val="32"/>
        </w:rPr>
        <w:t>三、支出决算情况说明</w:t>
      </w:r>
    </w:p>
    <w:p w:rsidR="00707178" w:rsidRDefault="00C0317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2021年度支出合计16392.85万元，其中：基本支出11547.36万元，占70.44%；项目支出4845.49万元，占29.56%；上缴上级支出0万元，占0%；经营支出0万元，占0%；对附属单位补助支出0万元，占0%。</w:t>
      </w:r>
    </w:p>
    <w:p w:rsidR="00707178" w:rsidRDefault="00C03176">
      <w:pPr>
        <w:pStyle w:val="Default"/>
        <w:rPr>
          <w:rFonts w:hAnsi="黑体"/>
          <w:b/>
          <w:sz w:val="32"/>
          <w:szCs w:val="32"/>
        </w:rPr>
      </w:pPr>
      <w:r>
        <w:rPr>
          <w:rFonts w:hAnsi="黑体" w:hint="eastAsia"/>
          <w:b/>
          <w:sz w:val="32"/>
          <w:szCs w:val="32"/>
        </w:rPr>
        <w:t>四、财政拨款收入支出决算总体情况说明</w:t>
      </w:r>
    </w:p>
    <w:p w:rsidR="00707178" w:rsidRDefault="00C03176">
      <w:pPr>
        <w:pStyle w:val="Default"/>
        <w:ind w:firstLineChars="200" w:firstLine="640"/>
        <w:rPr>
          <w:rFonts w:asciiTheme="minorEastAsia" w:eastAsiaTheme="minorEastAsia" w:hAnsiTheme="minorEastAsia"/>
          <w:i/>
          <w:iCs/>
          <w:sz w:val="32"/>
          <w:szCs w:val="32"/>
        </w:rPr>
      </w:pPr>
      <w:r>
        <w:rPr>
          <w:rFonts w:asciiTheme="minorEastAsia" w:eastAsiaTheme="minorEastAsia" w:hAnsiTheme="minorEastAsia" w:hint="eastAsia"/>
          <w:sz w:val="32"/>
          <w:szCs w:val="32"/>
        </w:rPr>
        <w:t xml:space="preserve"> 2021年度财政拨款收、支总计12038.07万元，与上年相比，减少687.73万元,减少5.4%，主要是因为非税收入超收安排比上年减少所致。</w:t>
      </w:r>
    </w:p>
    <w:p w:rsidR="00707178" w:rsidRDefault="00C03176">
      <w:pPr>
        <w:pStyle w:val="Default"/>
        <w:rPr>
          <w:rFonts w:hAnsi="黑体"/>
          <w:b/>
          <w:sz w:val="32"/>
          <w:szCs w:val="32"/>
        </w:rPr>
      </w:pPr>
      <w:r>
        <w:rPr>
          <w:rFonts w:hAnsi="黑体" w:hint="eastAsia"/>
          <w:b/>
          <w:sz w:val="32"/>
          <w:szCs w:val="32"/>
        </w:rPr>
        <w:t>五、一般公共预算财政拨款支出决算情况说明</w:t>
      </w:r>
    </w:p>
    <w:p w:rsidR="00707178" w:rsidRDefault="00C03176" w:rsidP="00707178">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707178" w:rsidRDefault="00C03176">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2021年度财政拨款支出12038.07万元，占本年支出合计的73.43%，与上年相比，财政拨款支出增加129.55万元，增长1.09%，主要是因为人员经费调标及公安装备投入增加所致。</w:t>
      </w:r>
    </w:p>
    <w:p w:rsidR="00707178" w:rsidRDefault="00C03176" w:rsidP="00707178">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rsidR="00707178" w:rsidRDefault="00C0317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2021年度财政拨款支出12038.07万元，主要用于以下方面：一般公共服务（类）支出11004.95万元，占91.41%；教育（类）支出0万元，占0%;社会保障和就业类支出736.14万元，占6.12%；卫生健康类支出296.99万元，占</w:t>
      </w:r>
      <w:r>
        <w:rPr>
          <w:rFonts w:asciiTheme="minorEastAsia" w:eastAsiaTheme="minorEastAsia" w:hAnsiTheme="minorEastAsia" w:hint="eastAsia"/>
          <w:sz w:val="32"/>
          <w:szCs w:val="32"/>
        </w:rPr>
        <w:lastRenderedPageBreak/>
        <w:t>2.47%。</w:t>
      </w:r>
    </w:p>
    <w:p w:rsidR="00707178" w:rsidRDefault="00C03176" w:rsidP="00707178">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707178" w:rsidRDefault="00C03176">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2021年度财政拨款支出年初预算数为9039.74元，支出决算数为12038.08万元，完成年初预算的133.17%，其中：</w:t>
      </w:r>
    </w:p>
    <w:p w:rsidR="00707178" w:rsidRDefault="00C03176">
      <w:pPr>
        <w:pStyle w:val="Default"/>
        <w:numPr>
          <w:ilvl w:val="0"/>
          <w:numId w:val="3"/>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一般公共服务支出（类）公安（款）行政运行（项）。</w:t>
      </w:r>
    </w:p>
    <w:p w:rsidR="00707178" w:rsidRDefault="00C03176">
      <w:pPr>
        <w:pStyle w:val="Default"/>
        <w:ind w:firstLineChars="400" w:firstLine="128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年初预算为6195.39万元，支出决算为8037.96万元，完成年初预算的129.74%，决算数大于年初预算数的主要原因是人员工资调标及财政追加在职民警物业津贴、年终先进单位奖金。</w:t>
      </w:r>
    </w:p>
    <w:p w:rsidR="00707178" w:rsidRDefault="00C03176">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2、一般公共服务支出（类）公安（款）一般行政管理事务（项）。</w:t>
      </w:r>
    </w:p>
    <w:p w:rsidR="00707178" w:rsidRDefault="00C03176">
      <w:pPr>
        <w:pStyle w:val="Default"/>
        <w:ind w:leftChars="200" w:left="420"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年初预算为859.52万元，支出决算为1874.99万元，完成年初预算的218.14%，决算数大于（小于）年初预算数的主要原因是财政追加退休人员年终先进单位奖金及转移支付公安装备的投入。</w:t>
      </w:r>
    </w:p>
    <w:p w:rsidR="00707178" w:rsidRDefault="00C03176">
      <w:pPr>
        <w:pStyle w:val="Default"/>
        <w:ind w:leftChars="250" w:left="525"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3、公共安全支出（类）公安（款）执法办案（项）。 </w:t>
      </w:r>
    </w:p>
    <w:p w:rsidR="00707178" w:rsidRDefault="00C03176">
      <w:pPr>
        <w:pStyle w:val="Default"/>
        <w:ind w:leftChars="250" w:left="525"/>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年初预算为350万元，支出决算为1092万元，完成预算312%，决算数大于年初预算数的主要原因是非税收入超收返回的办案经费及财政追加公安工作经费。</w:t>
      </w:r>
    </w:p>
    <w:p w:rsidR="00707178" w:rsidRDefault="00C03176">
      <w:pPr>
        <w:pStyle w:val="Default"/>
        <w:numPr>
          <w:ilvl w:val="0"/>
          <w:numId w:val="4"/>
        </w:numPr>
        <w:ind w:leftChars="200" w:left="420"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社会保障和就业支出（类）行政事业单位养老支出（款）机关事业单位养老保险缴费支出（项）。</w:t>
      </w:r>
    </w:p>
    <w:p w:rsidR="00707178" w:rsidRDefault="00C03176">
      <w:pPr>
        <w:pStyle w:val="Default"/>
        <w:ind w:leftChars="400" w:left="840"/>
        <w:rPr>
          <w:rFonts w:asciiTheme="minorEastAsia" w:eastAsiaTheme="minorEastAsia" w:hAnsiTheme="minorEastAsia"/>
          <w:sz w:val="32"/>
          <w:szCs w:val="32"/>
        </w:rPr>
      </w:pPr>
      <w:r>
        <w:rPr>
          <w:rFonts w:asciiTheme="minorEastAsia" w:eastAsiaTheme="minorEastAsia" w:hAnsiTheme="minorEastAsia" w:hint="eastAsia"/>
          <w:sz w:val="32"/>
          <w:szCs w:val="32"/>
        </w:rPr>
        <w:t>年初预算安排643.93万元支出决算643.93万元，完成预算100%，决算数等于年初预算数的主要原因是财政拨付机关事业单位养老保险缴费。</w:t>
      </w:r>
    </w:p>
    <w:p w:rsidR="00707178" w:rsidRDefault="00C03176">
      <w:pPr>
        <w:pStyle w:val="Default"/>
        <w:numPr>
          <w:ilvl w:val="0"/>
          <w:numId w:val="4"/>
        </w:numPr>
        <w:ind w:leftChars="200" w:left="420" w:firstLineChars="200" w:firstLine="640"/>
        <w:rPr>
          <w:rFonts w:asciiTheme="minorEastAsia" w:eastAsiaTheme="minorEastAsia" w:hAnsiTheme="minorEastAsia"/>
          <w:sz w:val="32"/>
          <w:szCs w:val="32"/>
        </w:rPr>
      </w:pPr>
      <w:bookmarkStart w:id="0" w:name="_GoBack"/>
      <w:bookmarkEnd w:id="0"/>
      <w:r>
        <w:rPr>
          <w:rFonts w:asciiTheme="minorEastAsia" w:eastAsiaTheme="minorEastAsia" w:hAnsiTheme="minorEastAsia" w:hint="eastAsia"/>
          <w:sz w:val="32"/>
          <w:szCs w:val="32"/>
        </w:rPr>
        <w:t>社会保障和就业支出（类）抚恤（款）其他优抚支出（项）。</w:t>
      </w:r>
    </w:p>
    <w:p w:rsidR="00707178" w:rsidRDefault="00C03176">
      <w:pPr>
        <w:pStyle w:val="Default"/>
        <w:ind w:leftChars="400" w:left="840"/>
        <w:rPr>
          <w:rFonts w:asciiTheme="minorEastAsia" w:eastAsiaTheme="minorEastAsia" w:hAnsiTheme="minorEastAsia"/>
          <w:sz w:val="32"/>
          <w:szCs w:val="32"/>
        </w:rPr>
      </w:pPr>
      <w:r>
        <w:rPr>
          <w:rFonts w:asciiTheme="minorEastAsia" w:eastAsiaTheme="minorEastAsia" w:hAnsiTheme="minorEastAsia" w:hint="eastAsia"/>
          <w:sz w:val="32"/>
          <w:szCs w:val="32"/>
        </w:rPr>
        <w:t>年初预算安排0元，支出决算42.23万元，</w:t>
      </w:r>
      <w:r w:rsidRPr="005C14B8">
        <w:rPr>
          <w:rFonts w:asciiTheme="minorEastAsia" w:eastAsiaTheme="minorEastAsia" w:hAnsiTheme="minorEastAsia" w:hint="eastAsia"/>
          <w:sz w:val="32"/>
          <w:szCs w:val="32"/>
          <w:highlight w:val="yellow"/>
        </w:rPr>
        <w:t>由于预算数为0，无法计算百分比</w:t>
      </w:r>
      <w:r>
        <w:rPr>
          <w:rFonts w:asciiTheme="minorEastAsia" w:eastAsiaTheme="minorEastAsia" w:hAnsiTheme="minorEastAsia" w:hint="eastAsia"/>
          <w:sz w:val="32"/>
          <w:szCs w:val="32"/>
        </w:rPr>
        <w:t>，决算数大于年初预算数的主要原因是财政追加抚恤金支出。</w:t>
      </w:r>
    </w:p>
    <w:p w:rsidR="00707178" w:rsidRDefault="00C03176">
      <w:pPr>
        <w:pStyle w:val="Default"/>
        <w:ind w:leftChars="200" w:left="420"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6、社会保障和就业支出（类）残疾人事业（款）其他残疾人事业支</w:t>
      </w:r>
      <w:r>
        <w:rPr>
          <w:rFonts w:asciiTheme="minorEastAsia" w:eastAsiaTheme="minorEastAsia" w:hAnsiTheme="minorEastAsia" w:hint="eastAsia"/>
          <w:sz w:val="32"/>
          <w:szCs w:val="32"/>
        </w:rPr>
        <w:lastRenderedPageBreak/>
        <w:t>出（项）。</w:t>
      </w:r>
    </w:p>
    <w:p w:rsidR="00707178" w:rsidRDefault="00C03176">
      <w:pPr>
        <w:pStyle w:val="Default"/>
        <w:ind w:leftChars="200" w:left="420"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年初预算安排49.98万元，支出决算49.98万元，完成预算100%，决算数等于年初预算数的主要原因是拨残联残疾人就业保障金。</w:t>
      </w:r>
    </w:p>
    <w:p w:rsidR="00707178" w:rsidRDefault="00C03176">
      <w:pPr>
        <w:pStyle w:val="Default"/>
        <w:ind w:leftChars="200" w:left="420"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7、社会保障和就业支出（类）残疾人事业（款）住房公积金（项）。年初预算安排482.95万元，支出决算为0元，决算数小于年初预算数的主要原因是</w:t>
      </w:r>
      <w:proofErr w:type="gramStart"/>
      <w:r>
        <w:rPr>
          <w:rFonts w:asciiTheme="minorEastAsia" w:eastAsiaTheme="minorEastAsia" w:hAnsiTheme="minorEastAsia" w:hint="eastAsia"/>
          <w:sz w:val="32"/>
          <w:szCs w:val="32"/>
        </w:rPr>
        <w:t>拨住房</w:t>
      </w:r>
      <w:proofErr w:type="gramEnd"/>
      <w:r>
        <w:rPr>
          <w:rFonts w:asciiTheme="minorEastAsia" w:eastAsiaTheme="minorEastAsia" w:hAnsiTheme="minorEastAsia" w:hint="eastAsia"/>
          <w:sz w:val="32"/>
          <w:szCs w:val="32"/>
        </w:rPr>
        <w:t>公积金单位</w:t>
      </w:r>
      <w:proofErr w:type="gramStart"/>
      <w:r>
        <w:rPr>
          <w:rFonts w:asciiTheme="minorEastAsia" w:eastAsiaTheme="minorEastAsia" w:hAnsiTheme="minorEastAsia" w:hint="eastAsia"/>
          <w:sz w:val="32"/>
          <w:szCs w:val="32"/>
        </w:rPr>
        <w:t>缴</w:t>
      </w:r>
      <w:proofErr w:type="gramEnd"/>
      <w:r>
        <w:rPr>
          <w:rFonts w:asciiTheme="minorEastAsia" w:eastAsiaTheme="minorEastAsia" w:hAnsiTheme="minorEastAsia" w:hint="eastAsia"/>
          <w:sz w:val="32"/>
          <w:szCs w:val="32"/>
        </w:rPr>
        <w:t>交款。</w:t>
      </w:r>
    </w:p>
    <w:p w:rsidR="00707178" w:rsidRDefault="00C03176">
      <w:pPr>
        <w:pStyle w:val="Default"/>
        <w:ind w:leftChars="200" w:left="420"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8、社会保障和就业支出（类）残疾人事业（款）生育保险（项）。年初预算安排15.27万元，支出决算为0元，决算数小于年初预算数的主要原因是拨生育保险金。</w:t>
      </w:r>
    </w:p>
    <w:p w:rsidR="00707178" w:rsidRDefault="00C03176">
      <w:pPr>
        <w:pStyle w:val="Default"/>
        <w:ind w:leftChars="152" w:left="319"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9、卫生健康支出（类）行政事业单位医疗（款）行政单位医疗（项）。年初预算安排281.72万元，支出决算296.99万元，完成预算105.42%，决算数大于年初预算数的主要原因是人员异动及工资调标</w:t>
      </w:r>
    </w:p>
    <w:p w:rsidR="00707178" w:rsidRDefault="00C03176">
      <w:pPr>
        <w:pStyle w:val="Default"/>
        <w:ind w:leftChars="250" w:left="525"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10、卫生健康支出（类）行政事业单位医疗（款）公务员医疗补助（行政事业单位医疗）（项）。</w:t>
      </w:r>
    </w:p>
    <w:p w:rsidR="00707178" w:rsidRDefault="00C03176">
      <w:pPr>
        <w:pStyle w:val="Default"/>
        <w:ind w:leftChars="250" w:left="525"/>
        <w:rPr>
          <w:rFonts w:asciiTheme="minorEastAsia" w:eastAsiaTheme="minorEastAsia" w:hAnsiTheme="minorEastAsia"/>
          <w:sz w:val="32"/>
          <w:szCs w:val="32"/>
        </w:rPr>
      </w:pPr>
      <w:r>
        <w:rPr>
          <w:rFonts w:asciiTheme="minorEastAsia" w:eastAsiaTheme="minorEastAsia" w:hAnsiTheme="minorEastAsia" w:hint="eastAsia"/>
          <w:sz w:val="32"/>
          <w:szCs w:val="32"/>
        </w:rPr>
        <w:t>年初预算安排160.98万元，支出决算0万元，决算数小于年初预算数的主要原因是拨公务员医疗补助经费。</w:t>
      </w:r>
    </w:p>
    <w:p w:rsidR="00707178" w:rsidRDefault="00C03176">
      <w:pPr>
        <w:pStyle w:val="Default"/>
        <w:rPr>
          <w:rFonts w:hAnsi="黑体"/>
          <w:b/>
          <w:sz w:val="32"/>
          <w:szCs w:val="32"/>
        </w:rPr>
      </w:pPr>
      <w:r>
        <w:rPr>
          <w:rFonts w:hAnsi="黑体" w:hint="eastAsia"/>
          <w:b/>
          <w:sz w:val="32"/>
          <w:szCs w:val="32"/>
        </w:rPr>
        <w:t>六、一般公共预算财政拨款基本支出决算情况说明</w:t>
      </w:r>
    </w:p>
    <w:p w:rsidR="00707178" w:rsidRDefault="00C0317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2021年度财政拨款基本支出9349.92万元，其中：人员经费8402.29万元，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支出的89.86%,</w:t>
      </w:r>
      <w:proofErr w:type="gramStart"/>
      <w:r>
        <w:rPr>
          <w:rFonts w:asciiTheme="minorEastAsia" w:eastAsiaTheme="minorEastAsia" w:hAnsiTheme="minorEastAsia" w:hint="eastAsia"/>
          <w:sz w:val="32"/>
          <w:szCs w:val="32"/>
        </w:rPr>
        <w:t>主要包括主要包括</w:t>
      </w:r>
      <w:proofErr w:type="gramEnd"/>
      <w:r>
        <w:rPr>
          <w:rFonts w:asciiTheme="minorEastAsia" w:eastAsiaTheme="minorEastAsia" w:hAnsiTheme="minorEastAsia" w:hint="eastAsia"/>
          <w:sz w:val="32"/>
          <w:szCs w:val="32"/>
        </w:rPr>
        <w:t>基本工资、津贴补贴、</w:t>
      </w:r>
      <w:r>
        <w:rPr>
          <w:rFonts w:asciiTheme="minorEastAsia" w:eastAsiaTheme="minorEastAsia" w:hAnsiTheme="minorEastAsia" w:hint="eastAsia"/>
          <w:sz w:val="32"/>
          <w:szCs w:val="32"/>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asciiTheme="minorEastAsia" w:eastAsiaTheme="minorEastAsia" w:hAnsiTheme="minorEastAsia" w:hint="eastAsia"/>
          <w:sz w:val="32"/>
          <w:szCs w:val="32"/>
        </w:rPr>
        <w:t>；公用经费947.63万元，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支出的10.14%，主要包括办公费、印刷费、咨询费、手续费、水费、电费、邮</w:t>
      </w:r>
      <w:r>
        <w:rPr>
          <w:rFonts w:asciiTheme="minorEastAsia" w:eastAsiaTheme="minorEastAsia" w:hAnsiTheme="minorEastAsia" w:hint="eastAsia"/>
          <w:sz w:val="32"/>
          <w:szCs w:val="32"/>
        </w:rPr>
        <w:lastRenderedPageBreak/>
        <w:t>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赠与。</w:t>
      </w:r>
    </w:p>
    <w:p w:rsidR="00707178" w:rsidRDefault="00C03176">
      <w:pPr>
        <w:pStyle w:val="Default"/>
        <w:rPr>
          <w:rFonts w:hAnsi="黑体"/>
          <w:b/>
          <w:sz w:val="32"/>
          <w:szCs w:val="32"/>
        </w:rPr>
      </w:pPr>
      <w:r>
        <w:rPr>
          <w:rFonts w:hAnsi="黑体" w:hint="eastAsia"/>
          <w:b/>
          <w:sz w:val="32"/>
          <w:szCs w:val="32"/>
        </w:rPr>
        <w:t>七、一般公共预算财政拨款“三公”经费支出决算情况说明</w:t>
      </w:r>
    </w:p>
    <w:p w:rsidR="00707178" w:rsidRDefault="00C03176">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707178" w:rsidRDefault="00C03176">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2021年度“三公”经费财政拨款支出预算为412万元，支出决算为257.78万元，完成预算的62.57%，其中：</w:t>
      </w:r>
    </w:p>
    <w:p w:rsidR="00707178" w:rsidRDefault="00C03176">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0万元，支出决算为0万元，由于预算数为0，无法计算百分比，决算数等于预算数的主要原因是未发生因公出国（境）支出，与上年相比未发生变化，未发生变化的主要原因是均未发生因公出国（境）支出。</w:t>
      </w:r>
    </w:p>
    <w:p w:rsidR="00707178" w:rsidRDefault="00C03176">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18万元，支出决算为0.28万元，完成预算的1.56%，决算数小于预算数的主要原因是厉行节约严控费用，与上年相比减少0.02万元，减少6.67%,减少的主要原因是开展正常业务的同时厉行节约严控费用。</w:t>
      </w:r>
    </w:p>
    <w:p w:rsidR="00707178" w:rsidRDefault="00C0317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支出预算为0万元，支出决算为0万元，由于预算数为0，无法计算百分比，决算数等于预算数的主要原因是未发生公务用车购置费支出，与上年相比未发生变化，未发生变化的主要原因是均未发生公务用车购置费支出。</w:t>
      </w:r>
    </w:p>
    <w:p w:rsidR="00707178" w:rsidRDefault="00C0317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公务用车运行维护费支出预算为394万元，支出决算为257.5万元，完成预算的65.36%，决算数小于预算数的主要原因是加强公车管理严控费用，与</w:t>
      </w:r>
      <w:r>
        <w:rPr>
          <w:rFonts w:asciiTheme="minorEastAsia" w:eastAsiaTheme="minorEastAsia" w:hAnsiTheme="minorEastAsia" w:hint="eastAsia"/>
          <w:sz w:val="32"/>
          <w:szCs w:val="32"/>
        </w:rPr>
        <w:lastRenderedPageBreak/>
        <w:t>上年相比增加104.46万元，增长68.25%,增长的主要原因是：1、新增24台快警车辆。2、车辆老旧及公安羁押场所迁至市外导致公车运行成本增加。</w:t>
      </w:r>
    </w:p>
    <w:p w:rsidR="00707178" w:rsidRDefault="00C03176">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707178" w:rsidRDefault="00C0317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2021年度“三公”经费财政拨款支出决算中，公务接待费支出决算0.28万元，占0.11%,因公出国（境）费支出决算0万元，占0%,公务用车购置费及运行维护费支出决算257.5万元，占99.89%。其中：</w:t>
      </w:r>
    </w:p>
    <w:p w:rsidR="00707178" w:rsidRDefault="00C03176">
      <w:pPr>
        <w:pStyle w:val="Default"/>
        <w:numPr>
          <w:ilvl w:val="0"/>
          <w:numId w:val="5"/>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因公出国（境）费支出决算为0万元，全年安排因做戏出国（境）团组0个，累计0人次，无开支内容。</w:t>
      </w:r>
    </w:p>
    <w:p w:rsidR="00707178" w:rsidRDefault="00C03176">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2、公务接待费支出决算为0.28万元，全年共接待来访团组2个、来宾24人次，主要是上级检查、外单位交流发生的接待支出。</w:t>
      </w:r>
    </w:p>
    <w:p w:rsidR="00707178" w:rsidRDefault="00C03176">
      <w:pPr>
        <w:pStyle w:val="Default"/>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3、公务用车购置费及运行维护费支出决算为257.5万元，其中：公务用车购置费0万元，本单位更新公务用车0辆。公务用车运行维护费257.5万元，主要是公务用车油料、修理、保险等支出，截止2021年12月31日，我单位开支财政拨款的公务用车保有量为67辆。</w:t>
      </w:r>
    </w:p>
    <w:p w:rsidR="00707178" w:rsidRDefault="00C03176">
      <w:pPr>
        <w:pStyle w:val="Default"/>
        <w:rPr>
          <w:rFonts w:hAnsi="黑体"/>
          <w:b/>
          <w:sz w:val="32"/>
          <w:szCs w:val="32"/>
        </w:rPr>
      </w:pPr>
      <w:r>
        <w:rPr>
          <w:rFonts w:hAnsi="黑体" w:hint="eastAsia"/>
          <w:b/>
          <w:sz w:val="32"/>
          <w:szCs w:val="32"/>
        </w:rPr>
        <w:t>八、政府性基金预算收入支出决算情况</w:t>
      </w:r>
    </w:p>
    <w:p w:rsidR="00707178" w:rsidRDefault="00C0317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2021年度本单位无政府性基金预算收支。政府性基金预算财政拨款收入0万元；年初结转和结余0万元；支出0万元，其中基本支出0万元，项目支出0万元；年末结转和结余0万元。</w:t>
      </w:r>
    </w:p>
    <w:p w:rsidR="00707178" w:rsidRDefault="00C03176">
      <w:pPr>
        <w:pStyle w:val="Default"/>
        <w:numPr>
          <w:ilvl w:val="0"/>
          <w:numId w:val="6"/>
        </w:numPr>
        <w:rPr>
          <w:rFonts w:hAnsi="黑体"/>
          <w:b/>
          <w:sz w:val="32"/>
          <w:szCs w:val="32"/>
        </w:rPr>
      </w:pPr>
      <w:r>
        <w:rPr>
          <w:rFonts w:hAnsi="黑体" w:hint="eastAsia"/>
          <w:b/>
          <w:sz w:val="32"/>
          <w:szCs w:val="32"/>
        </w:rPr>
        <w:t>国有资本经营预算财政拨款支出决算情况</w:t>
      </w:r>
    </w:p>
    <w:p w:rsidR="00707178" w:rsidRDefault="00C03176">
      <w:pPr>
        <w:pStyle w:val="Default"/>
        <w:ind w:firstLineChars="200" w:firstLine="640"/>
        <w:rPr>
          <w:rFonts w:hAnsi="黑体"/>
          <w:b/>
          <w:sz w:val="32"/>
          <w:szCs w:val="32"/>
        </w:rPr>
      </w:pPr>
      <w:r>
        <w:rPr>
          <w:rFonts w:asciiTheme="minorEastAsia" w:eastAsiaTheme="minorEastAsia" w:hAnsiTheme="minorEastAsia" w:hint="eastAsia"/>
          <w:sz w:val="32"/>
          <w:szCs w:val="32"/>
        </w:rPr>
        <w:t>2021年度本单位无国有资本经营预算财政拨款支出</w:t>
      </w:r>
      <w:r>
        <w:rPr>
          <w:rFonts w:asciiTheme="minorEastAsia" w:eastAsiaTheme="minorEastAsia" w:hAnsiTheme="minorEastAsia"/>
          <w:sz w:val="32"/>
          <w:szCs w:val="32"/>
        </w:rPr>
        <w:t>。</w:t>
      </w:r>
      <w:r>
        <w:rPr>
          <w:rFonts w:asciiTheme="minorEastAsia" w:eastAsiaTheme="minorEastAsia" w:hAnsiTheme="minorEastAsia" w:hint="eastAsia"/>
          <w:sz w:val="32"/>
          <w:szCs w:val="32"/>
        </w:rPr>
        <w:t>国有资本经营预算财政拨款支出0万元；基本支出0万元，项目支出0万元。</w:t>
      </w:r>
    </w:p>
    <w:p w:rsidR="00707178" w:rsidRDefault="00C03176">
      <w:pPr>
        <w:pStyle w:val="Default"/>
        <w:rPr>
          <w:rFonts w:hAnsi="黑体"/>
          <w:b/>
          <w:sz w:val="32"/>
          <w:szCs w:val="32"/>
        </w:rPr>
      </w:pPr>
      <w:r>
        <w:rPr>
          <w:rFonts w:hAnsi="黑体" w:hint="eastAsia"/>
          <w:b/>
          <w:sz w:val="32"/>
          <w:szCs w:val="32"/>
        </w:rPr>
        <w:t>十、机关运行经费支出说明</w:t>
      </w:r>
    </w:p>
    <w:p w:rsidR="00707178" w:rsidRDefault="00C0317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本部门2021年度机关运行经费支出947.63万元，比年初预算数减少167.34万元，降低15%。主要原因是响应党中央厉行节约严控费用。</w:t>
      </w:r>
    </w:p>
    <w:p w:rsidR="00707178" w:rsidRDefault="00C03176">
      <w:pPr>
        <w:pStyle w:val="Default"/>
        <w:rPr>
          <w:rFonts w:hAnsi="黑体"/>
          <w:b/>
          <w:sz w:val="32"/>
          <w:szCs w:val="32"/>
        </w:rPr>
      </w:pPr>
      <w:r>
        <w:rPr>
          <w:rFonts w:hAnsi="黑体" w:hint="eastAsia"/>
          <w:b/>
          <w:sz w:val="32"/>
          <w:szCs w:val="32"/>
        </w:rPr>
        <w:lastRenderedPageBreak/>
        <w:t>十一、一般性支出情况说明</w:t>
      </w:r>
    </w:p>
    <w:p w:rsidR="00707178" w:rsidRDefault="00C0317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2021年本部门开支会议费0万元；开支培训费18.03万元，用于开展新警（</w:t>
      </w:r>
      <w:proofErr w:type="gramStart"/>
      <w:r>
        <w:rPr>
          <w:rFonts w:asciiTheme="minorEastAsia" w:eastAsiaTheme="minorEastAsia" w:hAnsiTheme="minorEastAsia" w:hint="eastAsia"/>
          <w:sz w:val="32"/>
          <w:szCs w:val="32"/>
        </w:rPr>
        <w:t>民辅警</w:t>
      </w:r>
      <w:proofErr w:type="gramEnd"/>
      <w:r>
        <w:rPr>
          <w:rFonts w:asciiTheme="minorEastAsia" w:eastAsiaTheme="minorEastAsia" w:hAnsiTheme="minorEastAsia" w:hint="eastAsia"/>
          <w:sz w:val="32"/>
          <w:szCs w:val="32"/>
        </w:rPr>
        <w:t>）培训，人数361人，内容为新入</w:t>
      </w:r>
      <w:proofErr w:type="gramStart"/>
      <w:r>
        <w:rPr>
          <w:rFonts w:asciiTheme="minorEastAsia" w:eastAsiaTheme="minorEastAsia" w:hAnsiTheme="minorEastAsia" w:hint="eastAsia"/>
          <w:sz w:val="32"/>
          <w:szCs w:val="32"/>
        </w:rPr>
        <w:t>职民辅警入</w:t>
      </w:r>
      <w:proofErr w:type="gramEnd"/>
      <w:r>
        <w:rPr>
          <w:rFonts w:asciiTheme="minorEastAsia" w:eastAsiaTheme="minorEastAsia" w:hAnsiTheme="minorEastAsia" w:hint="eastAsia"/>
          <w:sz w:val="32"/>
          <w:szCs w:val="32"/>
        </w:rPr>
        <w:t>职培训及民警岗位轮训；未举办节庆、晚会、论坛、赛事活动，开支0万元。</w:t>
      </w:r>
    </w:p>
    <w:p w:rsidR="00707178" w:rsidRDefault="00C0317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2021年培训计划为新录辅警的岗位培训，经费预算20万元；在职民警的轮训及业务培训，经费预算5万元。</w:t>
      </w:r>
    </w:p>
    <w:p w:rsidR="00707178" w:rsidRDefault="00C03176">
      <w:pPr>
        <w:pStyle w:val="Default"/>
        <w:rPr>
          <w:rFonts w:hAnsi="黑体"/>
          <w:b/>
          <w:sz w:val="32"/>
          <w:szCs w:val="32"/>
        </w:rPr>
      </w:pPr>
      <w:r>
        <w:rPr>
          <w:rFonts w:hAnsi="黑体" w:hint="eastAsia"/>
          <w:b/>
          <w:sz w:val="32"/>
          <w:szCs w:val="32"/>
        </w:rPr>
        <w:t>十二、政府采购支出说明</w:t>
      </w:r>
    </w:p>
    <w:p w:rsidR="00707178" w:rsidRDefault="00C0317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部门2021年度政府采购支出总额1240.39万元，其中：政府采购货物支出457.2万元、政府采购工程支出593.19万元、政府采购服务支出190万元。授予中小企业合同金额783.19万元，占政府采购支出总额的63.14%，其中：授予小</w:t>
      </w:r>
      <w:proofErr w:type="gramStart"/>
      <w:r>
        <w:rPr>
          <w:rFonts w:asciiTheme="minorEastAsia" w:eastAsiaTheme="minorEastAsia" w:hAnsiTheme="minorEastAsia" w:hint="eastAsia"/>
          <w:sz w:val="32"/>
          <w:szCs w:val="32"/>
        </w:rPr>
        <w:t>微企业</w:t>
      </w:r>
      <w:proofErr w:type="gramEnd"/>
      <w:r>
        <w:rPr>
          <w:rFonts w:asciiTheme="minorEastAsia" w:eastAsiaTheme="minorEastAsia" w:hAnsiTheme="minorEastAsia" w:hint="eastAsia"/>
          <w:sz w:val="32"/>
          <w:szCs w:val="32"/>
        </w:rPr>
        <w:t>合同金额190万元，占授予中小企业合同金额的15.32%；货物采购授予中小企业合同金额占货物支出金额的0%，工程采购授予中小企业合同金额占工程支出金额的100%，服务采购授予中小企业合同金额占服务支出金额的100%。</w:t>
      </w:r>
    </w:p>
    <w:p w:rsidR="00707178" w:rsidRDefault="00C03176">
      <w:pPr>
        <w:pStyle w:val="Default"/>
        <w:rPr>
          <w:rFonts w:hAnsi="黑体"/>
          <w:b/>
          <w:sz w:val="32"/>
          <w:szCs w:val="32"/>
        </w:rPr>
      </w:pPr>
      <w:r>
        <w:rPr>
          <w:rFonts w:hAnsi="黑体" w:hint="eastAsia"/>
          <w:b/>
          <w:sz w:val="32"/>
          <w:szCs w:val="32"/>
        </w:rPr>
        <w:t>十三、国有资产占用情况说明</w:t>
      </w:r>
    </w:p>
    <w:p w:rsidR="00707178" w:rsidRDefault="00C0317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截至2021年12月31日，部门（单位）共有车辆67辆，其中，主要领导干部用车0辆，机要通信用车4辆、应急保障用车0辆、执法执勤用车63辆、特种专业技术用车0辆、其他用车0辆；单位价值50万元以上通用设备0台（套）；单位价值100万元以上专用设备0台（套）。</w:t>
      </w:r>
    </w:p>
    <w:p w:rsidR="00707178" w:rsidRDefault="00C03176">
      <w:pPr>
        <w:pStyle w:val="Default"/>
        <w:rPr>
          <w:rFonts w:hAnsi="黑体"/>
          <w:b/>
          <w:sz w:val="32"/>
          <w:szCs w:val="32"/>
        </w:rPr>
      </w:pPr>
      <w:r>
        <w:rPr>
          <w:rFonts w:hAnsi="黑体" w:hint="eastAsia"/>
          <w:b/>
          <w:sz w:val="32"/>
          <w:szCs w:val="32"/>
        </w:rPr>
        <w:t>十四、2021年度预算绩效情况说明</w:t>
      </w:r>
    </w:p>
    <w:p w:rsidR="00707178" w:rsidRDefault="00C03176" w:rsidP="00707178">
      <w:pPr>
        <w:autoSpaceDE w:val="0"/>
        <w:autoSpaceDN w:val="0"/>
        <w:adjustRightInd w:val="0"/>
        <w:ind w:firstLineChars="200" w:firstLine="643"/>
        <w:jc w:val="left"/>
        <w:rPr>
          <w:rFonts w:asciiTheme="minorEastAsia" w:hAnsiTheme="minorEastAsia" w:cs="黑体"/>
          <w:color w:val="000000"/>
          <w:kern w:val="0"/>
          <w:sz w:val="32"/>
          <w:szCs w:val="32"/>
        </w:rPr>
      </w:pPr>
      <w:r>
        <w:rPr>
          <w:rFonts w:asciiTheme="minorEastAsia" w:hAnsiTheme="minorEastAsia" w:cs="黑体" w:hint="eastAsia"/>
          <w:b/>
          <w:color w:val="000000"/>
          <w:kern w:val="0"/>
          <w:sz w:val="32"/>
          <w:szCs w:val="32"/>
        </w:rPr>
        <w:t>（1）绩效管理评价工作开展情况</w:t>
      </w:r>
      <w:r>
        <w:rPr>
          <w:rFonts w:asciiTheme="minorEastAsia" w:hAnsiTheme="minorEastAsia" w:cs="黑体" w:hint="eastAsia"/>
          <w:color w:val="000000"/>
          <w:kern w:val="0"/>
          <w:sz w:val="32"/>
          <w:szCs w:val="32"/>
        </w:rPr>
        <w:t>。</w:t>
      </w:r>
    </w:p>
    <w:p w:rsidR="00707178" w:rsidRDefault="00C03176">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根据预算绩效管理要求，</w:t>
      </w:r>
      <w:proofErr w:type="gramStart"/>
      <w:r>
        <w:rPr>
          <w:rFonts w:asciiTheme="minorEastAsia" w:hAnsiTheme="minorEastAsia" w:cs="黑体" w:hint="eastAsia"/>
          <w:color w:val="000000"/>
          <w:kern w:val="0"/>
          <w:sz w:val="32"/>
          <w:szCs w:val="32"/>
        </w:rPr>
        <w:t>我部门</w:t>
      </w:r>
      <w:proofErr w:type="gramEnd"/>
      <w:r>
        <w:rPr>
          <w:rFonts w:asciiTheme="minorEastAsia" w:hAnsiTheme="minorEastAsia" w:cs="黑体" w:hint="eastAsia"/>
          <w:color w:val="000000"/>
          <w:kern w:val="0"/>
          <w:sz w:val="32"/>
          <w:szCs w:val="32"/>
        </w:rPr>
        <w:t>组织对</w:t>
      </w:r>
      <w:r>
        <w:rPr>
          <w:rFonts w:asciiTheme="minorEastAsia" w:hAnsiTheme="minorEastAsia" w:cs="黑体"/>
          <w:color w:val="000000"/>
          <w:kern w:val="0"/>
          <w:sz w:val="32"/>
          <w:szCs w:val="32"/>
        </w:rPr>
        <w:t>2021</w:t>
      </w:r>
      <w:r>
        <w:rPr>
          <w:rFonts w:asciiTheme="minorEastAsia" w:hAnsiTheme="minorEastAsia" w:cs="黑体" w:hint="eastAsia"/>
          <w:color w:val="000000"/>
          <w:kern w:val="0"/>
          <w:sz w:val="32"/>
          <w:szCs w:val="32"/>
        </w:rPr>
        <w:t>年度一般公共预算项目支出全面开展绩效自评，其中</w:t>
      </w:r>
      <w:proofErr w:type="gramStart"/>
      <w:r>
        <w:rPr>
          <w:rFonts w:asciiTheme="minorEastAsia" w:hAnsiTheme="minorEastAsia" w:cs="黑体" w:hint="eastAsia"/>
          <w:color w:val="000000"/>
          <w:kern w:val="0"/>
          <w:sz w:val="32"/>
          <w:szCs w:val="32"/>
        </w:rPr>
        <w:t>一级项目</w:t>
      </w:r>
      <w:proofErr w:type="gramEnd"/>
      <w:r>
        <w:rPr>
          <w:rFonts w:asciiTheme="minorEastAsia" w:hAnsiTheme="minorEastAsia" w:cs="黑体" w:hint="eastAsia"/>
          <w:color w:val="000000"/>
          <w:kern w:val="0"/>
          <w:sz w:val="32"/>
          <w:szCs w:val="32"/>
        </w:rPr>
        <w:t>0个，二级项目三个，共涉及资金1342.24万元，占一般公共预算项目支出总额的50</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w:t>
      </w:r>
    </w:p>
    <w:p w:rsidR="00707178" w:rsidRDefault="00C03176">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lastRenderedPageBreak/>
        <w:t>组织对“中央政法转移支付办案费”“财政办案费”“公安监管人员医疗伙食费”等3个项目开展了部门评价，涉及一般公共预算支出1342.24万元。从评价情况来看，项目立项比较规范，绩效目标明确，预算编制合理，总体完成情况良好。组织开展部门整体支出绩效评价，从评价情况来看，所有项目支出符合国家政策，项目管理有效，社会效益明显，满意度较高。项目实施有相应的资金保障、人员保障和制度保障，项目能够可持续影响。</w:t>
      </w:r>
    </w:p>
    <w:p w:rsidR="00707178" w:rsidRDefault="00C03176">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组织对本单位开展整体支出绩效评价，涉及一般公共预算支出12038.07万元。从评价情况来看，</w:t>
      </w:r>
    </w:p>
    <w:p w:rsidR="00707178" w:rsidRDefault="00C03176" w:rsidP="00707178">
      <w:pPr>
        <w:autoSpaceDE w:val="0"/>
        <w:autoSpaceDN w:val="0"/>
        <w:adjustRightInd w:val="0"/>
        <w:ind w:firstLineChars="200" w:firstLine="643"/>
        <w:jc w:val="left"/>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（2）部门决算</w:t>
      </w:r>
      <w:proofErr w:type="gramStart"/>
      <w:r>
        <w:rPr>
          <w:rFonts w:asciiTheme="minorEastAsia" w:hAnsiTheme="minorEastAsia" w:cs="黑体" w:hint="eastAsia"/>
          <w:b/>
          <w:color w:val="000000"/>
          <w:kern w:val="0"/>
          <w:sz w:val="32"/>
          <w:szCs w:val="32"/>
        </w:rPr>
        <w:t>中项目</w:t>
      </w:r>
      <w:proofErr w:type="gramEnd"/>
      <w:r>
        <w:rPr>
          <w:rFonts w:asciiTheme="minorEastAsia" w:hAnsiTheme="minorEastAsia" w:cs="黑体" w:hint="eastAsia"/>
          <w:b/>
          <w:color w:val="000000"/>
          <w:kern w:val="0"/>
          <w:sz w:val="32"/>
          <w:szCs w:val="32"/>
        </w:rPr>
        <w:t>绩效自评结果。</w:t>
      </w:r>
    </w:p>
    <w:p w:rsidR="00707178" w:rsidRDefault="00C03176">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中央政法转移支付办案费、财政办案费、公安监管人员伙食费绩效自评综述：根据年初设定的绩效目标，项目绩效自评得分为93分。项目全年预算数为1209.24万元，执行数为1262.24万元，完成预算的104</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w:t>
      </w:r>
    </w:p>
    <w:p w:rsidR="00707178" w:rsidRDefault="00C03176">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项目绩效目标完成情况：一是2021年度预算安排的所有3个项目绩效为优秀，所有项目支出符合国家政策，项目管理有效，社会效益明显，满意度较高，因为财政加大对公安公共安全经费的投入，项目预算1209.24万元，实际到位资金1209.24；二是项目的实施有效地遏制了违法犯罪的发生，</w:t>
      </w:r>
      <w:proofErr w:type="gramStart"/>
      <w:r>
        <w:rPr>
          <w:rFonts w:asciiTheme="minorEastAsia" w:hAnsiTheme="minorEastAsia" w:cs="黑体" w:hint="eastAsia"/>
          <w:color w:val="000000"/>
          <w:kern w:val="0"/>
          <w:sz w:val="32"/>
          <w:szCs w:val="32"/>
        </w:rPr>
        <w:t>压控发案成效</w:t>
      </w:r>
      <w:proofErr w:type="gramEnd"/>
      <w:r>
        <w:rPr>
          <w:rFonts w:asciiTheme="minorEastAsia" w:hAnsiTheme="minorEastAsia" w:cs="黑体" w:hint="eastAsia"/>
          <w:color w:val="000000"/>
          <w:kern w:val="0"/>
          <w:sz w:val="32"/>
          <w:szCs w:val="32"/>
        </w:rPr>
        <w:t>明显，政治大局高度稳定，社会治安持续向好，群众满意度明显提升。</w:t>
      </w:r>
    </w:p>
    <w:p w:rsidR="00707178" w:rsidRDefault="00C03176">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发现的主要问题及原因：一是预算支出绩效指标体系</w:t>
      </w:r>
      <w:proofErr w:type="gramStart"/>
      <w:r>
        <w:rPr>
          <w:rFonts w:asciiTheme="minorEastAsia" w:hAnsiTheme="minorEastAsia" w:cs="黑体" w:hint="eastAsia"/>
          <w:color w:val="000000"/>
          <w:kern w:val="0"/>
          <w:sz w:val="32"/>
          <w:szCs w:val="32"/>
        </w:rPr>
        <w:t>还需本部门</w:t>
      </w:r>
      <w:proofErr w:type="gramEnd"/>
      <w:r>
        <w:rPr>
          <w:rFonts w:asciiTheme="minorEastAsia" w:hAnsiTheme="minorEastAsia" w:cs="黑体" w:hint="eastAsia"/>
          <w:color w:val="000000"/>
          <w:kern w:val="0"/>
          <w:sz w:val="32"/>
          <w:szCs w:val="32"/>
        </w:rPr>
        <w:t>不断改进完善，原因是本部门管理针对某些绩效指标不适应，如公安监管人员医疗费不确定因素较大；二是项目资金管理流程还需完善，原因为财务人员较少，项目资金监管力度不足。下一步改进措施：一是提高预算绩效管理的质量和效率，加强研究逐步建立适应公安财务管理特征的预算支出绩效指标体系。编制预算</w:t>
      </w:r>
      <w:proofErr w:type="gramStart"/>
      <w:r>
        <w:rPr>
          <w:rFonts w:asciiTheme="minorEastAsia" w:hAnsiTheme="minorEastAsia" w:cs="黑体" w:hint="eastAsia"/>
          <w:color w:val="000000"/>
          <w:kern w:val="0"/>
          <w:sz w:val="32"/>
          <w:szCs w:val="32"/>
        </w:rPr>
        <w:t>时科学</w:t>
      </w:r>
      <w:proofErr w:type="gramEnd"/>
      <w:r>
        <w:rPr>
          <w:rFonts w:asciiTheme="minorEastAsia" w:hAnsiTheme="minorEastAsia" w:cs="黑体" w:hint="eastAsia"/>
          <w:color w:val="000000"/>
          <w:kern w:val="0"/>
          <w:sz w:val="32"/>
          <w:szCs w:val="32"/>
        </w:rPr>
        <w:t>合理地设定预算项目绩效目标，围绕绩效目标编制清晰可量</w:t>
      </w:r>
      <w:r>
        <w:rPr>
          <w:rFonts w:asciiTheme="minorEastAsia" w:hAnsiTheme="minorEastAsia" w:cs="黑体" w:hint="eastAsia"/>
          <w:color w:val="000000"/>
          <w:kern w:val="0"/>
          <w:sz w:val="32"/>
          <w:szCs w:val="32"/>
        </w:rPr>
        <w:lastRenderedPageBreak/>
        <w:t>化便于考核的绩效目标；二是财务人员严格依照岗位职责规定履行资金审批和流程拨付，会计核算和对账，内部控制和监督检查等方面细化规定，做到用制度管人，人人遵守制度，保持制度的执行力。</w:t>
      </w:r>
    </w:p>
    <w:p w:rsidR="00707178" w:rsidRDefault="00C03176" w:rsidP="00707178">
      <w:pPr>
        <w:autoSpaceDE w:val="0"/>
        <w:autoSpaceDN w:val="0"/>
        <w:adjustRightInd w:val="0"/>
        <w:ind w:firstLineChars="200" w:firstLine="643"/>
        <w:jc w:val="left"/>
        <w:rPr>
          <w:rFonts w:ascii="仿宋" w:eastAsia="仿宋" w:hAnsi="仿宋" w:cs="黑体"/>
          <w:color w:val="000000"/>
          <w:kern w:val="0"/>
          <w:sz w:val="28"/>
          <w:szCs w:val="28"/>
        </w:rPr>
      </w:pPr>
      <w:r>
        <w:rPr>
          <w:rFonts w:asciiTheme="minorEastAsia" w:hAnsiTheme="minorEastAsia" w:cs="黑体" w:hint="eastAsia"/>
          <w:b/>
          <w:color w:val="000000"/>
          <w:kern w:val="0"/>
          <w:sz w:val="32"/>
          <w:szCs w:val="32"/>
        </w:rPr>
        <w:t>（3）部门评价项目绩效评价结果</w:t>
      </w:r>
      <w:r>
        <w:rPr>
          <w:rFonts w:ascii="仿宋" w:eastAsia="仿宋" w:hAnsi="仿宋" w:cs="黑体" w:hint="eastAsia"/>
          <w:b/>
          <w:color w:val="000000"/>
          <w:kern w:val="0"/>
          <w:sz w:val="28"/>
          <w:szCs w:val="28"/>
        </w:rPr>
        <w:t>。</w:t>
      </w:r>
    </w:p>
    <w:p w:rsidR="00707178" w:rsidRDefault="00C03176">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绩效管理工作开展顺利，部门决算</w:t>
      </w:r>
      <w:proofErr w:type="gramStart"/>
      <w:r>
        <w:rPr>
          <w:rFonts w:asciiTheme="minorEastAsia" w:hAnsiTheme="minorEastAsia" w:cs="黑体" w:hint="eastAsia"/>
          <w:color w:val="000000"/>
          <w:kern w:val="0"/>
          <w:sz w:val="32"/>
          <w:szCs w:val="32"/>
        </w:rPr>
        <w:t>中项目</w:t>
      </w:r>
      <w:proofErr w:type="gramEnd"/>
      <w:r>
        <w:rPr>
          <w:rFonts w:asciiTheme="minorEastAsia" w:hAnsiTheme="minorEastAsia" w:cs="黑体" w:hint="eastAsia"/>
          <w:color w:val="000000"/>
          <w:kern w:val="0"/>
          <w:sz w:val="32"/>
          <w:szCs w:val="32"/>
        </w:rPr>
        <w:t>绩效自评结果为95，部门评价项目绩效评价结果为94，以部门为主体开展的重点绩效评价结果为95。</w:t>
      </w:r>
    </w:p>
    <w:p w:rsidR="00707178" w:rsidRDefault="00C03176">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预算绩效管理开展情况、绩效目标和绩效评价报告等，一并作为附件公开。</w:t>
      </w:r>
    </w:p>
    <w:p w:rsidR="00707178" w:rsidRDefault="00707178">
      <w:pPr>
        <w:autoSpaceDE w:val="0"/>
        <w:autoSpaceDN w:val="0"/>
        <w:adjustRightInd w:val="0"/>
        <w:ind w:firstLineChars="200" w:firstLine="640"/>
        <w:jc w:val="left"/>
        <w:rPr>
          <w:rFonts w:asciiTheme="minorEastAsia" w:hAnsiTheme="minorEastAsia" w:cs="黑体"/>
          <w:color w:val="000000"/>
          <w:kern w:val="0"/>
          <w:sz w:val="32"/>
          <w:szCs w:val="32"/>
        </w:rPr>
      </w:pPr>
    </w:p>
    <w:p w:rsidR="00707178" w:rsidRDefault="00707178">
      <w:pPr>
        <w:pStyle w:val="Default"/>
        <w:rPr>
          <w:sz w:val="72"/>
          <w:szCs w:val="72"/>
        </w:rPr>
      </w:pPr>
    </w:p>
    <w:p w:rsidR="00707178" w:rsidRDefault="00707178">
      <w:pPr>
        <w:pStyle w:val="Default"/>
        <w:jc w:val="both"/>
        <w:rPr>
          <w:sz w:val="72"/>
          <w:szCs w:val="72"/>
        </w:rPr>
      </w:pPr>
    </w:p>
    <w:p w:rsidR="00707178" w:rsidRDefault="00707178">
      <w:pPr>
        <w:pStyle w:val="Default"/>
        <w:jc w:val="both"/>
        <w:rPr>
          <w:sz w:val="72"/>
          <w:szCs w:val="72"/>
        </w:rPr>
      </w:pPr>
    </w:p>
    <w:p w:rsidR="00707178" w:rsidRDefault="00707178">
      <w:pPr>
        <w:pStyle w:val="Default"/>
        <w:jc w:val="both"/>
        <w:rPr>
          <w:sz w:val="72"/>
          <w:szCs w:val="72"/>
        </w:rPr>
      </w:pPr>
    </w:p>
    <w:p w:rsidR="00707178" w:rsidRDefault="00707178">
      <w:pPr>
        <w:pStyle w:val="Default"/>
        <w:jc w:val="both"/>
        <w:rPr>
          <w:sz w:val="72"/>
          <w:szCs w:val="72"/>
        </w:rPr>
      </w:pPr>
    </w:p>
    <w:p w:rsidR="00707178" w:rsidRDefault="00707178">
      <w:pPr>
        <w:pStyle w:val="Default"/>
        <w:jc w:val="both"/>
        <w:rPr>
          <w:sz w:val="72"/>
          <w:szCs w:val="72"/>
        </w:rPr>
      </w:pPr>
    </w:p>
    <w:p w:rsidR="00707178" w:rsidRDefault="00707178">
      <w:pPr>
        <w:pStyle w:val="Default"/>
        <w:jc w:val="both"/>
        <w:rPr>
          <w:sz w:val="72"/>
          <w:szCs w:val="72"/>
        </w:rPr>
      </w:pPr>
    </w:p>
    <w:p w:rsidR="00707178" w:rsidRDefault="00707178">
      <w:pPr>
        <w:pStyle w:val="Default"/>
        <w:jc w:val="both"/>
        <w:rPr>
          <w:sz w:val="72"/>
          <w:szCs w:val="72"/>
        </w:rPr>
      </w:pPr>
    </w:p>
    <w:p w:rsidR="00707178" w:rsidRDefault="00707178">
      <w:pPr>
        <w:pStyle w:val="Default"/>
        <w:jc w:val="both"/>
        <w:rPr>
          <w:sz w:val="72"/>
          <w:szCs w:val="72"/>
        </w:rPr>
      </w:pPr>
    </w:p>
    <w:p w:rsidR="00707178" w:rsidRDefault="00707178">
      <w:pPr>
        <w:pStyle w:val="Default"/>
        <w:jc w:val="both"/>
        <w:rPr>
          <w:sz w:val="72"/>
          <w:szCs w:val="72"/>
        </w:rPr>
      </w:pPr>
    </w:p>
    <w:p w:rsidR="00707178" w:rsidRDefault="00707178">
      <w:pPr>
        <w:pStyle w:val="Default"/>
        <w:jc w:val="both"/>
        <w:rPr>
          <w:sz w:val="72"/>
          <w:szCs w:val="72"/>
        </w:rPr>
      </w:pPr>
    </w:p>
    <w:p w:rsidR="00707178" w:rsidRDefault="00707178">
      <w:pPr>
        <w:pStyle w:val="Default"/>
        <w:jc w:val="both"/>
        <w:rPr>
          <w:sz w:val="72"/>
          <w:szCs w:val="72"/>
        </w:rPr>
      </w:pPr>
    </w:p>
    <w:p w:rsidR="00707178" w:rsidRDefault="00707178">
      <w:pPr>
        <w:pStyle w:val="Default"/>
        <w:jc w:val="both"/>
        <w:rPr>
          <w:sz w:val="72"/>
          <w:szCs w:val="72"/>
        </w:rPr>
      </w:pPr>
    </w:p>
    <w:p w:rsidR="00707178" w:rsidRDefault="00707178">
      <w:pPr>
        <w:pStyle w:val="Default"/>
        <w:jc w:val="both"/>
        <w:rPr>
          <w:sz w:val="72"/>
          <w:szCs w:val="72"/>
        </w:rPr>
      </w:pPr>
    </w:p>
    <w:p w:rsidR="00707178" w:rsidRDefault="00707178">
      <w:pPr>
        <w:pStyle w:val="Default"/>
        <w:jc w:val="both"/>
        <w:rPr>
          <w:sz w:val="72"/>
          <w:szCs w:val="72"/>
        </w:rPr>
      </w:pPr>
    </w:p>
    <w:p w:rsidR="00707178" w:rsidRDefault="00707178">
      <w:pPr>
        <w:pStyle w:val="Default"/>
        <w:jc w:val="both"/>
        <w:rPr>
          <w:sz w:val="72"/>
          <w:szCs w:val="72"/>
        </w:rPr>
      </w:pPr>
    </w:p>
    <w:p w:rsidR="00707178" w:rsidRDefault="00707178">
      <w:pPr>
        <w:pStyle w:val="Default"/>
        <w:jc w:val="both"/>
        <w:rPr>
          <w:sz w:val="72"/>
          <w:szCs w:val="72"/>
        </w:rPr>
      </w:pPr>
    </w:p>
    <w:p w:rsidR="00707178" w:rsidRDefault="00C03176">
      <w:pPr>
        <w:pStyle w:val="Default"/>
        <w:jc w:val="center"/>
        <w:rPr>
          <w:sz w:val="72"/>
          <w:szCs w:val="72"/>
        </w:rPr>
      </w:pPr>
      <w:r>
        <w:rPr>
          <w:rFonts w:hint="eastAsia"/>
          <w:sz w:val="72"/>
          <w:szCs w:val="72"/>
        </w:rPr>
        <w:t>第四部分</w:t>
      </w:r>
    </w:p>
    <w:p w:rsidR="00707178" w:rsidRDefault="00707178">
      <w:pPr>
        <w:jc w:val="center"/>
        <w:rPr>
          <w:rFonts w:ascii="黑体" w:eastAsia="黑体" w:cs="黑体"/>
          <w:color w:val="000000"/>
          <w:kern w:val="0"/>
          <w:sz w:val="70"/>
          <w:szCs w:val="70"/>
        </w:rPr>
      </w:pPr>
    </w:p>
    <w:p w:rsidR="00707178" w:rsidRDefault="00C03176">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707178" w:rsidRDefault="00C03176">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707178" w:rsidRDefault="00707178">
      <w:pPr>
        <w:ind w:firstLineChars="200" w:firstLine="640"/>
        <w:jc w:val="left"/>
        <w:rPr>
          <w:rFonts w:asciiTheme="minorEastAsia" w:hAnsiTheme="minorEastAsia" w:cs="黑体"/>
          <w:color w:val="000000"/>
          <w:kern w:val="0"/>
          <w:sz w:val="32"/>
          <w:szCs w:val="32"/>
        </w:rPr>
      </w:pPr>
    </w:p>
    <w:p w:rsidR="00707178" w:rsidRDefault="00C03176">
      <w:pPr>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一、“三公”经费：指用财政拨款安排的因公出国（境）费、公务用车购置及运行费和公务接待费。其中，因公出国（境）</w:t>
      </w:r>
      <w:proofErr w:type="gramStart"/>
      <w:r>
        <w:rPr>
          <w:rFonts w:asciiTheme="minorEastAsia" w:hAnsiTheme="minorEastAsia" w:cs="黑体" w:hint="eastAsia"/>
          <w:color w:val="000000"/>
          <w:kern w:val="0"/>
          <w:sz w:val="32"/>
          <w:szCs w:val="32"/>
        </w:rPr>
        <w:t>费反映</w:t>
      </w:r>
      <w:proofErr w:type="gramEnd"/>
      <w:r>
        <w:rPr>
          <w:rFonts w:asciiTheme="minorEastAsia" w:hAnsiTheme="minorEastAsia" w:cs="黑体" w:hint="eastAsia"/>
          <w:color w:val="000000"/>
          <w:kern w:val="0"/>
          <w:sz w:val="32"/>
          <w:szCs w:val="32"/>
        </w:rPr>
        <w:t>出国（境）的住宿费、旅费、伙食补助费、杂费、培训费等支出；公务用车购置及运行</w:t>
      </w:r>
      <w:proofErr w:type="gramStart"/>
      <w:r>
        <w:rPr>
          <w:rFonts w:asciiTheme="minorEastAsia" w:hAnsiTheme="minorEastAsia" w:cs="黑体" w:hint="eastAsia"/>
          <w:color w:val="000000"/>
          <w:kern w:val="0"/>
          <w:sz w:val="32"/>
          <w:szCs w:val="32"/>
        </w:rPr>
        <w:t>费反映</w:t>
      </w:r>
      <w:proofErr w:type="gramEnd"/>
      <w:r>
        <w:rPr>
          <w:rFonts w:asciiTheme="minorEastAsia" w:hAnsiTheme="minorEastAsia" w:cs="黑体" w:hint="eastAsia"/>
          <w:color w:val="000000"/>
          <w:kern w:val="0"/>
          <w:sz w:val="32"/>
          <w:szCs w:val="32"/>
        </w:rPr>
        <w:t>单位公务用车购置费及租用费、燃料费、维修费、过路过桥费、保险费、安全奖励费用等支出；公务接待</w:t>
      </w:r>
      <w:proofErr w:type="gramStart"/>
      <w:r>
        <w:rPr>
          <w:rFonts w:asciiTheme="minorEastAsia" w:hAnsiTheme="minorEastAsia" w:cs="黑体" w:hint="eastAsia"/>
          <w:color w:val="000000"/>
          <w:kern w:val="0"/>
          <w:sz w:val="32"/>
          <w:szCs w:val="32"/>
        </w:rPr>
        <w:t>费反映</w:t>
      </w:r>
      <w:proofErr w:type="gramEnd"/>
      <w:r>
        <w:rPr>
          <w:rFonts w:asciiTheme="minorEastAsia" w:hAnsiTheme="minorEastAsia" w:cs="黑体" w:hint="eastAsia"/>
          <w:color w:val="000000"/>
          <w:kern w:val="0"/>
          <w:sz w:val="32"/>
          <w:szCs w:val="32"/>
        </w:rPr>
        <w:t>单位按规定开支的各类公务接待（含外宾接待）支出。</w:t>
      </w:r>
    </w:p>
    <w:p w:rsidR="00707178" w:rsidRDefault="00C03176">
      <w:pPr>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二、机关运行经费，是指各部门的公用经费，包括办公及印刷费、邮电费、差旅费、会议费、福利费、日常维修费、专用材料及一般设备购置费、办公用房水电费、办公用房取暖费、办公用房物业管理费、公务用车运行维护费以及其他费用。</w:t>
      </w:r>
    </w:p>
    <w:p w:rsidR="00707178" w:rsidRDefault="00C03176">
      <w:pPr>
        <w:pStyle w:val="a6"/>
        <w:widowControl/>
        <w:shd w:val="clear" w:color="auto" w:fill="FFFFFF"/>
        <w:ind w:leftChars="200" w:left="420"/>
        <w:rPr>
          <w:rFonts w:ascii="微软雅黑" w:eastAsia="微软雅黑" w:hAnsi="微软雅黑" w:cs="微软雅黑"/>
          <w:color w:val="000000"/>
          <w:sz w:val="21"/>
          <w:szCs w:val="21"/>
        </w:rPr>
      </w:pPr>
      <w:r>
        <w:rPr>
          <w:rFonts w:asciiTheme="minorEastAsia" w:hAnsiTheme="minorEastAsia" w:cs="黑体" w:hint="eastAsia"/>
          <w:color w:val="000000"/>
          <w:sz w:val="32"/>
          <w:szCs w:val="32"/>
        </w:rPr>
        <w:t>三、基本支出：指为保障机构正常运转、完成日常工作任务而发生的各项支出，包括人员支出和公用支出。</w:t>
      </w:r>
    </w:p>
    <w:p w:rsidR="00707178" w:rsidRDefault="00C03176">
      <w:pPr>
        <w:pStyle w:val="a6"/>
        <w:widowControl/>
        <w:shd w:val="clear" w:color="auto" w:fill="FFFFFF"/>
        <w:ind w:leftChars="200" w:left="420"/>
        <w:rPr>
          <w:rFonts w:asciiTheme="minorEastAsia" w:hAnsiTheme="minorEastAsia" w:cs="黑体"/>
          <w:color w:val="000000"/>
          <w:sz w:val="32"/>
          <w:szCs w:val="32"/>
        </w:rPr>
      </w:pPr>
      <w:r>
        <w:rPr>
          <w:rFonts w:asciiTheme="minorEastAsia" w:hAnsiTheme="minorEastAsia" w:cs="黑体" w:hint="eastAsia"/>
          <w:color w:val="000000"/>
          <w:sz w:val="32"/>
          <w:szCs w:val="32"/>
        </w:rPr>
        <w:t>四、项目支出：指在基本支出</w:t>
      </w:r>
      <w:proofErr w:type="gramStart"/>
      <w:r>
        <w:rPr>
          <w:rFonts w:asciiTheme="minorEastAsia" w:hAnsiTheme="minorEastAsia" w:cs="黑体" w:hint="eastAsia"/>
          <w:color w:val="000000"/>
          <w:sz w:val="32"/>
          <w:szCs w:val="32"/>
        </w:rPr>
        <w:t>以外为</w:t>
      </w:r>
      <w:proofErr w:type="gramEnd"/>
      <w:r>
        <w:rPr>
          <w:rFonts w:asciiTheme="minorEastAsia" w:hAnsiTheme="minorEastAsia" w:cs="黑体" w:hint="eastAsia"/>
          <w:color w:val="000000"/>
          <w:sz w:val="32"/>
          <w:szCs w:val="32"/>
        </w:rPr>
        <w:t>完成相关行政任务和事业发展目标所发生的各项支出。</w:t>
      </w:r>
    </w:p>
    <w:p w:rsidR="00707178" w:rsidRDefault="00707178">
      <w:pPr>
        <w:pStyle w:val="Default"/>
        <w:jc w:val="both"/>
        <w:rPr>
          <w:sz w:val="72"/>
          <w:szCs w:val="72"/>
        </w:rPr>
      </w:pPr>
    </w:p>
    <w:p w:rsidR="00707178" w:rsidRDefault="00707178">
      <w:pPr>
        <w:pStyle w:val="Default"/>
        <w:jc w:val="center"/>
        <w:rPr>
          <w:sz w:val="72"/>
          <w:szCs w:val="72"/>
        </w:rPr>
      </w:pPr>
    </w:p>
    <w:p w:rsidR="00707178" w:rsidRDefault="00707178">
      <w:pPr>
        <w:pStyle w:val="Default"/>
        <w:jc w:val="both"/>
        <w:rPr>
          <w:sz w:val="72"/>
          <w:szCs w:val="72"/>
        </w:rPr>
      </w:pPr>
    </w:p>
    <w:p w:rsidR="00707178" w:rsidRDefault="00707178">
      <w:pPr>
        <w:pStyle w:val="Default"/>
        <w:jc w:val="center"/>
        <w:rPr>
          <w:sz w:val="72"/>
          <w:szCs w:val="72"/>
        </w:rPr>
      </w:pPr>
    </w:p>
    <w:p w:rsidR="00707178" w:rsidRDefault="00707178">
      <w:pPr>
        <w:pStyle w:val="Default"/>
        <w:jc w:val="both"/>
        <w:rPr>
          <w:sz w:val="72"/>
          <w:szCs w:val="72"/>
        </w:rPr>
      </w:pPr>
    </w:p>
    <w:p w:rsidR="00707178" w:rsidRDefault="00707178">
      <w:pPr>
        <w:pStyle w:val="Default"/>
        <w:jc w:val="center"/>
        <w:rPr>
          <w:sz w:val="72"/>
          <w:szCs w:val="72"/>
        </w:rPr>
      </w:pPr>
    </w:p>
    <w:p w:rsidR="00707178" w:rsidRDefault="00C03176">
      <w:pPr>
        <w:pStyle w:val="Default"/>
        <w:jc w:val="center"/>
        <w:rPr>
          <w:sz w:val="72"/>
          <w:szCs w:val="72"/>
        </w:rPr>
      </w:pPr>
      <w:r>
        <w:rPr>
          <w:rFonts w:hint="eastAsia"/>
          <w:sz w:val="72"/>
          <w:szCs w:val="72"/>
        </w:rPr>
        <w:t>第五部分</w:t>
      </w:r>
    </w:p>
    <w:p w:rsidR="00707178" w:rsidRDefault="00707178">
      <w:pPr>
        <w:jc w:val="center"/>
        <w:rPr>
          <w:rFonts w:ascii="黑体" w:eastAsia="黑体" w:cs="黑体"/>
          <w:color w:val="000000"/>
          <w:kern w:val="0"/>
          <w:sz w:val="70"/>
          <w:szCs w:val="70"/>
        </w:rPr>
      </w:pPr>
    </w:p>
    <w:p w:rsidR="00707178" w:rsidRDefault="00C03176">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707178" w:rsidRDefault="00C03176">
      <w:pPr>
        <w:widowControl/>
        <w:jc w:val="left"/>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1、2021年部门决算公开表格</w:t>
      </w:r>
    </w:p>
    <w:p w:rsidR="00707178" w:rsidRDefault="00C03176">
      <w:pPr>
        <w:widowControl/>
        <w:jc w:val="left"/>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2、2021年度部门整体支出绩效评价报告</w:t>
      </w:r>
    </w:p>
    <w:p w:rsidR="00707178" w:rsidRDefault="00707178">
      <w:pPr>
        <w:ind w:firstLineChars="200" w:firstLine="640"/>
        <w:jc w:val="left"/>
        <w:rPr>
          <w:rFonts w:asciiTheme="minorEastAsia" w:hAnsiTheme="minorEastAsia" w:cs="黑体"/>
          <w:color w:val="000000"/>
          <w:kern w:val="0"/>
          <w:sz w:val="32"/>
          <w:szCs w:val="32"/>
        </w:rPr>
      </w:pPr>
    </w:p>
    <w:sectPr w:rsidR="00707178" w:rsidSect="00707178">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2BE3" w:rsidRDefault="005D2BE3" w:rsidP="005D2BE3">
      <w:r>
        <w:separator/>
      </w:r>
    </w:p>
  </w:endnote>
  <w:endnote w:type="continuationSeparator" w:id="1">
    <w:p w:rsidR="005D2BE3" w:rsidRDefault="005D2BE3" w:rsidP="005D2B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2BE3" w:rsidRDefault="005D2BE3" w:rsidP="005D2BE3">
      <w:r>
        <w:separator/>
      </w:r>
    </w:p>
  </w:footnote>
  <w:footnote w:type="continuationSeparator" w:id="1">
    <w:p w:rsidR="005D2BE3" w:rsidRDefault="005D2BE3" w:rsidP="005D2B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16A298D"/>
    <w:multiLevelType w:val="singleLevel"/>
    <w:tmpl w:val="B16A298D"/>
    <w:lvl w:ilvl="0">
      <w:start w:val="9"/>
      <w:numFmt w:val="chineseCounting"/>
      <w:suff w:val="nothing"/>
      <w:lvlText w:val="%1、"/>
      <w:lvlJc w:val="left"/>
      <w:rPr>
        <w:rFonts w:hint="eastAsia"/>
      </w:rPr>
    </w:lvl>
  </w:abstractNum>
  <w:abstractNum w:abstractNumId="1">
    <w:nsid w:val="C92A160B"/>
    <w:multiLevelType w:val="singleLevel"/>
    <w:tmpl w:val="C92A160B"/>
    <w:lvl w:ilvl="0">
      <w:start w:val="1"/>
      <w:numFmt w:val="decimal"/>
      <w:suff w:val="nothing"/>
      <w:lvlText w:val="%1、"/>
      <w:lvlJc w:val="left"/>
    </w:lvl>
  </w:abstractNum>
  <w:abstractNum w:abstractNumId="2">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4866049D"/>
    <w:multiLevelType w:val="singleLevel"/>
    <w:tmpl w:val="4866049D"/>
    <w:lvl w:ilvl="0">
      <w:start w:val="1"/>
      <w:numFmt w:val="chineseCounting"/>
      <w:suff w:val="nothing"/>
      <w:lvlText w:val="（%1）"/>
      <w:lvlJc w:val="left"/>
      <w:pPr>
        <w:ind w:left="-10"/>
      </w:pPr>
      <w:rPr>
        <w:rFonts w:hint="eastAsia"/>
        <w:sz w:val="32"/>
        <w:szCs w:val="32"/>
      </w:rPr>
    </w:lvl>
  </w:abstractNum>
  <w:abstractNum w:abstractNumId="4">
    <w:nsid w:val="55B1BDB9"/>
    <w:multiLevelType w:val="singleLevel"/>
    <w:tmpl w:val="55B1BDB9"/>
    <w:lvl w:ilvl="0">
      <w:start w:val="1"/>
      <w:numFmt w:val="decimal"/>
      <w:suff w:val="nothing"/>
      <w:lvlText w:val="%1、"/>
      <w:lvlJc w:val="left"/>
    </w:lvl>
  </w:abstractNum>
  <w:abstractNum w:abstractNumId="5">
    <w:nsid w:val="5A68AD7D"/>
    <w:multiLevelType w:val="singleLevel"/>
    <w:tmpl w:val="5A68AD7D"/>
    <w:lvl w:ilvl="0">
      <w:start w:val="4"/>
      <w:numFmt w:val="decimal"/>
      <w:suff w:val="nothing"/>
      <w:lvlText w:val="%1、"/>
      <w:lvlJc w:val="left"/>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GRkZWM1MTJhNTVlMWIxNDBkYzlmOTEwZjgzMmRmNTIifQ=="/>
  </w:docVars>
  <w:rsids>
    <w:rsidRoot w:val="00172A27"/>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72A27"/>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C14B8"/>
    <w:rsid w:val="005D2BE3"/>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07178"/>
    <w:rsid w:val="00710FE7"/>
    <w:rsid w:val="00717621"/>
    <w:rsid w:val="00720FF1"/>
    <w:rsid w:val="00727A53"/>
    <w:rsid w:val="00787B42"/>
    <w:rsid w:val="007C4539"/>
    <w:rsid w:val="007F3657"/>
    <w:rsid w:val="00812ED5"/>
    <w:rsid w:val="0082002B"/>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94EB1"/>
    <w:rsid w:val="00B9528A"/>
    <w:rsid w:val="00BB4A40"/>
    <w:rsid w:val="00BC4DE2"/>
    <w:rsid w:val="00BD6C3E"/>
    <w:rsid w:val="00BE3674"/>
    <w:rsid w:val="00C03176"/>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0BC"/>
    <w:rsid w:val="00FE6269"/>
    <w:rsid w:val="00FF5CD6"/>
    <w:rsid w:val="0192652E"/>
    <w:rsid w:val="01CD0283"/>
    <w:rsid w:val="048B5BE2"/>
    <w:rsid w:val="05633A58"/>
    <w:rsid w:val="056C5A14"/>
    <w:rsid w:val="06B411F0"/>
    <w:rsid w:val="07921036"/>
    <w:rsid w:val="087403E0"/>
    <w:rsid w:val="0B550CF8"/>
    <w:rsid w:val="0BE56081"/>
    <w:rsid w:val="13B80A15"/>
    <w:rsid w:val="13BE003E"/>
    <w:rsid w:val="16E2261B"/>
    <w:rsid w:val="17A87124"/>
    <w:rsid w:val="19615637"/>
    <w:rsid w:val="1C6F1DF6"/>
    <w:rsid w:val="1CC31A6E"/>
    <w:rsid w:val="1E313358"/>
    <w:rsid w:val="1E51534F"/>
    <w:rsid w:val="225B49EE"/>
    <w:rsid w:val="22A2261D"/>
    <w:rsid w:val="248D10AB"/>
    <w:rsid w:val="24A96F54"/>
    <w:rsid w:val="24B86128"/>
    <w:rsid w:val="25550851"/>
    <w:rsid w:val="25B05051"/>
    <w:rsid w:val="27DB542D"/>
    <w:rsid w:val="2A1042F7"/>
    <w:rsid w:val="2DFD2DFD"/>
    <w:rsid w:val="30054CD6"/>
    <w:rsid w:val="313C778B"/>
    <w:rsid w:val="366364DD"/>
    <w:rsid w:val="370B6762"/>
    <w:rsid w:val="37C63C0C"/>
    <w:rsid w:val="39BA1BA2"/>
    <w:rsid w:val="3E362C2E"/>
    <w:rsid w:val="3FF658FE"/>
    <w:rsid w:val="402155E3"/>
    <w:rsid w:val="42254279"/>
    <w:rsid w:val="45F9639D"/>
    <w:rsid w:val="48781284"/>
    <w:rsid w:val="48BC75D5"/>
    <w:rsid w:val="48ED43E7"/>
    <w:rsid w:val="4DD3102D"/>
    <w:rsid w:val="510936E3"/>
    <w:rsid w:val="5176064D"/>
    <w:rsid w:val="53203F82"/>
    <w:rsid w:val="545E4A1A"/>
    <w:rsid w:val="56F20776"/>
    <w:rsid w:val="575E405D"/>
    <w:rsid w:val="5A56726E"/>
    <w:rsid w:val="5C8A796B"/>
    <w:rsid w:val="5D811274"/>
    <w:rsid w:val="5F090D52"/>
    <w:rsid w:val="60894F17"/>
    <w:rsid w:val="60A907EA"/>
    <w:rsid w:val="6145544E"/>
    <w:rsid w:val="625B2293"/>
    <w:rsid w:val="62EF025F"/>
    <w:rsid w:val="63F26259"/>
    <w:rsid w:val="64AC465A"/>
    <w:rsid w:val="65042A89"/>
    <w:rsid w:val="67640442"/>
    <w:rsid w:val="69194288"/>
    <w:rsid w:val="69450BD9"/>
    <w:rsid w:val="69A24FD7"/>
    <w:rsid w:val="6AF9611F"/>
    <w:rsid w:val="6B4A072B"/>
    <w:rsid w:val="6C8D73F3"/>
    <w:rsid w:val="6D237483"/>
    <w:rsid w:val="7DC861E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178"/>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707178"/>
    <w:rPr>
      <w:sz w:val="18"/>
      <w:szCs w:val="18"/>
    </w:rPr>
  </w:style>
  <w:style w:type="paragraph" w:styleId="a4">
    <w:name w:val="footer"/>
    <w:basedOn w:val="a"/>
    <w:link w:val="Char0"/>
    <w:uiPriority w:val="99"/>
    <w:unhideWhenUsed/>
    <w:qFormat/>
    <w:rsid w:val="00707178"/>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707178"/>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707178"/>
    <w:pPr>
      <w:spacing w:before="100" w:beforeAutospacing="1" w:after="100" w:afterAutospacing="1"/>
      <w:jc w:val="left"/>
    </w:pPr>
    <w:rPr>
      <w:rFonts w:cs="Times New Roman"/>
      <w:kern w:val="0"/>
      <w:sz w:val="24"/>
    </w:rPr>
  </w:style>
  <w:style w:type="character" w:customStyle="1" w:styleId="Char1">
    <w:name w:val="页眉 Char"/>
    <w:basedOn w:val="a0"/>
    <w:link w:val="a5"/>
    <w:uiPriority w:val="99"/>
    <w:qFormat/>
    <w:rsid w:val="00707178"/>
    <w:rPr>
      <w:sz w:val="18"/>
      <w:szCs w:val="18"/>
    </w:rPr>
  </w:style>
  <w:style w:type="character" w:customStyle="1" w:styleId="Char0">
    <w:name w:val="页脚 Char"/>
    <w:basedOn w:val="a0"/>
    <w:link w:val="a4"/>
    <w:uiPriority w:val="99"/>
    <w:qFormat/>
    <w:rsid w:val="00707178"/>
    <w:rPr>
      <w:sz w:val="18"/>
      <w:szCs w:val="18"/>
    </w:rPr>
  </w:style>
  <w:style w:type="paragraph" w:customStyle="1" w:styleId="Default">
    <w:name w:val="Default"/>
    <w:qFormat/>
    <w:rsid w:val="00707178"/>
    <w:pPr>
      <w:widowControl w:val="0"/>
      <w:autoSpaceDE w:val="0"/>
      <w:autoSpaceDN w:val="0"/>
      <w:adjustRightInd w:val="0"/>
    </w:pPr>
    <w:rPr>
      <w:rFonts w:ascii="黑体" w:eastAsia="黑体" w:hAnsiTheme="minorHAnsi" w:cs="黑体"/>
      <w:color w:val="000000"/>
      <w:sz w:val="24"/>
      <w:szCs w:val="24"/>
    </w:rPr>
  </w:style>
  <w:style w:type="paragraph" w:styleId="a7">
    <w:name w:val="List Paragraph"/>
    <w:basedOn w:val="a"/>
    <w:uiPriority w:val="34"/>
    <w:qFormat/>
    <w:rsid w:val="00707178"/>
    <w:pPr>
      <w:ind w:firstLineChars="200" w:firstLine="420"/>
    </w:pPr>
  </w:style>
  <w:style w:type="character" w:customStyle="1" w:styleId="Char">
    <w:name w:val="批注框文本 Char"/>
    <w:basedOn w:val="a0"/>
    <w:link w:val="a3"/>
    <w:uiPriority w:val="99"/>
    <w:semiHidden/>
    <w:qFormat/>
    <w:rsid w:val="00707178"/>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FCEB7-2457-446F-8537-90D858C10935}">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17</Pages>
  <Words>1000</Words>
  <Characters>5704</Characters>
  <Application>Microsoft Office Word</Application>
  <DocSecurity>0</DocSecurity>
  <Lines>47</Lines>
  <Paragraphs>13</Paragraphs>
  <ScaleCrop>false</ScaleCrop>
  <Company>Microsoft</Company>
  <LinksUpToDate>false</LinksUpToDate>
  <CharactersWithSpaces>6691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PC</cp:lastModifiedBy>
  <cp:revision>74</cp:revision>
  <cp:lastPrinted>2022-09-27T02:47:00Z</cp:lastPrinted>
  <dcterms:created xsi:type="dcterms:W3CDTF">2020-07-02T02:32:00Z</dcterms:created>
  <dcterms:modified xsi:type="dcterms:W3CDTF">2023-09-25T02:21:00Z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5226B055786F43DAA71309FD0561A5F6_13</vt:lpwstr>
  </property>
</Properties>
</file>