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84"/>
          <w:szCs w:val="84"/>
        </w:rPr>
      </w:pPr>
    </w:p>
    <w:p>
      <w:pPr>
        <w:pStyle w:val="12"/>
        <w:jc w:val="center"/>
        <w:rPr>
          <w:sz w:val="84"/>
          <w:szCs w:val="84"/>
        </w:rPr>
      </w:pPr>
    </w:p>
    <w:p>
      <w:pPr>
        <w:pStyle w:val="12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</w:t>
      </w:r>
      <w:r>
        <w:rPr>
          <w:rFonts w:hint="eastAsia"/>
          <w:sz w:val="84"/>
          <w:szCs w:val="84"/>
          <w:lang w:val="en-US" w:eastAsia="zh-CN"/>
        </w:rPr>
        <w:t>1</w:t>
      </w:r>
      <w:r>
        <w:rPr>
          <w:rFonts w:hint="eastAsia"/>
          <w:sz w:val="84"/>
          <w:szCs w:val="84"/>
        </w:rPr>
        <w:t>年度</w:t>
      </w:r>
    </w:p>
    <w:p>
      <w:pPr>
        <w:pStyle w:val="12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岳阳市中心医院</w:t>
      </w:r>
      <w:r>
        <w:rPr>
          <w:rFonts w:hint="eastAsia"/>
          <w:sz w:val="84"/>
          <w:szCs w:val="84"/>
        </w:rPr>
        <w:t>部门决算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（原岳阳市一人民医院）</w:t>
      </w: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56"/>
          <w:szCs w:val="56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jc w:val="center"/>
        <w:rPr>
          <w:sz w:val="32"/>
          <w:szCs w:val="32"/>
        </w:rPr>
      </w:pPr>
    </w:p>
    <w:p>
      <w:pPr>
        <w:pStyle w:val="12"/>
        <w:spacing w:line="540" w:lineRule="exact"/>
        <w:jc w:val="center"/>
        <w:rPr>
          <w:sz w:val="56"/>
          <w:szCs w:val="56"/>
        </w:rPr>
      </w:pPr>
    </w:p>
    <w:p>
      <w:pPr>
        <w:pStyle w:val="12"/>
        <w:spacing w:line="500" w:lineRule="exact"/>
        <w:jc w:val="center"/>
        <w:rPr>
          <w:b/>
          <w:sz w:val="36"/>
          <w:szCs w:val="28"/>
        </w:rPr>
      </w:pPr>
    </w:p>
    <w:p>
      <w:pPr>
        <w:pStyle w:val="12"/>
        <w:spacing w:line="500" w:lineRule="exact"/>
        <w:jc w:val="center"/>
        <w:rPr>
          <w:b/>
          <w:sz w:val="36"/>
          <w:szCs w:val="28"/>
        </w:rPr>
      </w:pPr>
    </w:p>
    <w:p>
      <w:pPr>
        <w:pStyle w:val="12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2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第一部分单位概况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及决算单位构成</w:t>
      </w:r>
    </w:p>
    <w:p>
      <w:pPr>
        <w:pStyle w:val="12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</w:t>
      </w:r>
      <w:r>
        <w:rPr>
          <w:rFonts w:hint="eastAsia" w:hAnsi="仿宋_GB2312"/>
          <w:b/>
          <w:sz w:val="28"/>
          <w:szCs w:val="28"/>
          <w:lang w:val="en-US" w:eastAsia="zh-CN"/>
        </w:rPr>
        <w:t>1</w:t>
      </w:r>
      <w:r>
        <w:rPr>
          <w:rFonts w:hint="eastAsia" w:hAnsi="仿宋_GB2312"/>
          <w:b/>
          <w:sz w:val="28"/>
          <w:szCs w:val="28"/>
        </w:rPr>
        <w:t>年度部门决算表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12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</w:t>
      </w:r>
      <w:r>
        <w:rPr>
          <w:rFonts w:hint="eastAsia" w:hAnsi="仿宋_GB2312"/>
          <w:b/>
          <w:sz w:val="28"/>
          <w:szCs w:val="28"/>
          <w:lang w:val="en-US" w:eastAsia="zh-CN"/>
        </w:rPr>
        <w:t>1</w:t>
      </w:r>
      <w:r>
        <w:rPr>
          <w:rFonts w:hint="eastAsia" w:hAnsi="仿宋_GB2312"/>
          <w:b/>
          <w:sz w:val="28"/>
          <w:szCs w:val="28"/>
        </w:rPr>
        <w:t>年度部门决算情况说明</w:t>
      </w:r>
    </w:p>
    <w:p>
      <w:pPr>
        <w:pStyle w:val="12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 xml:space="preserve">     九、国有资本经营预算财政拨款支出决算情况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 xml:space="preserve">     十、关于机关运行经费支出说明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 xml:space="preserve">     十一、一般性支出情况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 xml:space="preserve">     十二、关于政府采购支出说明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 xml:space="preserve">     十三、关于国有资产占用情况说明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hint="default" w:ascii="仿宋_GB2312" w:hAnsi="仿宋_GB2312" w:cs="仿宋_GB2312" w:eastAsia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十四、关于202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年度预算绩效情况的说明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第四部分名词解释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第五部分附件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12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12"/>
        <w:jc w:val="center"/>
        <w:rPr>
          <w:sz w:val="84"/>
          <w:szCs w:val="84"/>
        </w:rPr>
      </w:pPr>
    </w:p>
    <w:p>
      <w:pPr>
        <w:pStyle w:val="12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岳阳市中心医院</w:t>
      </w:r>
      <w:r>
        <w:rPr>
          <w:rFonts w:hint="eastAsia"/>
          <w:sz w:val="84"/>
          <w:szCs w:val="84"/>
        </w:rPr>
        <w:t>单位概况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（原岳阳市一人民医院）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3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3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3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3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  <w:highlight w:val="none"/>
        </w:rPr>
      </w:pPr>
      <w:r>
        <w:rPr>
          <w:rFonts w:ascii="黑体" w:hAnsi="黑体" w:eastAsia="黑体"/>
          <w:sz w:val="32"/>
          <w:szCs w:val="32"/>
          <w:highlight w:val="none"/>
        </w:rPr>
        <w:t>部门职责</w:t>
      </w:r>
    </w:p>
    <w:p>
      <w:pPr>
        <w:spacing w:line="560" w:lineRule="exact"/>
        <w:ind w:firstLine="640" w:firstLineChars="200"/>
        <w:rPr>
          <w:rFonts w:hint="eastAsia"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岳阳市</w:t>
      </w:r>
      <w:r>
        <w:rPr>
          <w:rFonts w:hint="eastAsia" w:hAnsi="仿宋_GB2312" w:cs="仿宋_GB2312"/>
          <w:sz w:val="32"/>
          <w:szCs w:val="32"/>
          <w:lang w:val="en-US" w:eastAsia="zh-CN"/>
        </w:rPr>
        <w:t>中心</w:t>
      </w:r>
      <w:r>
        <w:rPr>
          <w:rFonts w:hint="eastAsia" w:hAnsi="仿宋_GB2312" w:cs="仿宋_GB2312"/>
          <w:sz w:val="32"/>
          <w:szCs w:val="32"/>
        </w:rPr>
        <w:t>医院始建于1964年</w:t>
      </w:r>
      <w:r>
        <w:rPr>
          <w:rFonts w:hint="eastAsia" w:hAnsi="仿宋_GB2312" w:cs="仿宋_GB2312"/>
          <w:bCs w:val="0"/>
          <w:sz w:val="32"/>
          <w:szCs w:val="32"/>
        </w:rPr>
        <w:t>，是</w:t>
      </w:r>
      <w:r>
        <w:rPr>
          <w:rFonts w:hint="eastAsia" w:hAnsi="仿宋_GB2312" w:cs="仿宋_GB2312"/>
          <w:sz w:val="32"/>
          <w:szCs w:val="32"/>
        </w:rPr>
        <w:t>一所集医疗、教学、科研、预防、保健、康复于一体的三级甲等综合性医院。现有职工2500人，其中正高职称127人、副高职称347人、博士后2人、博士16人、硕士349人、硕士研究生导师12人。全院年门诊量110万人次，年住院病人9万人次，年手术3万台次，是中南大学湘雅二医院医疗协作医院、中南大学湘雅医学院临床教学基地，同时还承担着另外12所院校的临床教学工作，是湖南省全科医生转岗培训基地、国家住院医师规范化培训基地、国家药物临床试验机构、国家卫健委脑卒中筛查与防治基地、国际紧急救援网络医院、外国专家定点医疗机构、全国直升机医疗救援基地。医院先后被评为全国文明单位、全国卫生计生系统先进集体，是湖南省区域性医疗中心之一。</w:t>
      </w:r>
    </w:p>
    <w:p>
      <w:pPr>
        <w:pStyle w:val="13"/>
        <w:numPr>
          <w:ilvl w:val="0"/>
          <w:numId w:val="0"/>
        </w:numPr>
        <w:ind w:leftChars="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</w:t>
      </w:r>
      <w:r>
        <w:rPr>
          <w:rFonts w:hint="eastAsia" w:ascii="黑体" w:hAnsi="黑体" w:eastAsia="黑体"/>
          <w:bCs/>
          <w:kern w:val="0"/>
          <w:sz w:val="32"/>
          <w:szCs w:val="32"/>
          <w:highlight w:val="none"/>
        </w:rPr>
        <w:t>机构设置及决算单位构成</w:t>
      </w:r>
    </w:p>
    <w:p>
      <w:pPr>
        <w:widowControl/>
        <w:spacing w:line="600" w:lineRule="exact"/>
        <w:rPr>
          <w:rFonts w:hint="eastAsia" w:asciiTheme="minorEastAsia" w:hAnsi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</w:p>
    <w:p>
      <w:pPr>
        <w:widowControl/>
        <w:spacing w:line="600" w:lineRule="exact"/>
        <w:rPr>
          <w:rFonts w:hint="eastAsia" w:hAnsi="仿宋_GB2312" w:cs="仿宋_GB2312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hAnsi="仿宋_GB2312" w:cs="仿宋_GB2312"/>
          <w:sz w:val="32"/>
          <w:szCs w:val="32"/>
        </w:rPr>
        <w:t>医院分设</w:t>
      </w:r>
      <w:r>
        <w:rPr>
          <w:rFonts w:hint="eastAsia" w:hAnsi="仿宋_GB2312" w:cs="仿宋_GB2312"/>
          <w:sz w:val="32"/>
          <w:szCs w:val="32"/>
          <w:lang w:val="en-US" w:eastAsia="zh-CN"/>
        </w:rPr>
        <w:t>东茅岭院区</w:t>
      </w:r>
      <w:r>
        <w:rPr>
          <w:rFonts w:hint="eastAsia" w:hAnsi="仿宋_GB2312" w:cs="仿宋_GB2312"/>
          <w:sz w:val="32"/>
          <w:szCs w:val="32"/>
        </w:rPr>
        <w:t>、</w:t>
      </w:r>
      <w:r>
        <w:rPr>
          <w:rFonts w:hint="eastAsia" w:hAnsi="仿宋_GB2312" w:cs="仿宋_GB2312"/>
          <w:sz w:val="32"/>
          <w:szCs w:val="32"/>
          <w:lang w:val="en-US" w:eastAsia="zh-CN"/>
        </w:rPr>
        <w:t>珍珠山院区</w:t>
      </w:r>
      <w:r>
        <w:rPr>
          <w:rFonts w:hint="eastAsia" w:hAnsi="仿宋_GB2312" w:cs="仿宋_GB2312"/>
          <w:sz w:val="32"/>
          <w:szCs w:val="32"/>
        </w:rPr>
        <w:t>和</w:t>
      </w:r>
      <w:r>
        <w:rPr>
          <w:rFonts w:hint="eastAsia" w:hAnsi="仿宋_GB2312" w:cs="仿宋_GB2312"/>
          <w:sz w:val="32"/>
          <w:szCs w:val="32"/>
          <w:lang w:val="en-US" w:eastAsia="zh-CN"/>
        </w:rPr>
        <w:t>金鹗山</w:t>
      </w:r>
      <w:r>
        <w:rPr>
          <w:rFonts w:hint="eastAsia" w:hAnsi="仿宋_GB2312" w:cs="仿宋_GB2312"/>
          <w:sz w:val="32"/>
          <w:szCs w:val="32"/>
        </w:rPr>
        <w:t>院</w:t>
      </w:r>
      <w:r>
        <w:rPr>
          <w:rFonts w:hint="eastAsia" w:hAnsi="仿宋_GB2312" w:cs="仿宋_GB2312"/>
          <w:sz w:val="32"/>
          <w:szCs w:val="32"/>
          <w:lang w:val="en-US" w:eastAsia="zh-CN"/>
        </w:rPr>
        <w:t>区</w:t>
      </w:r>
      <w:r>
        <w:rPr>
          <w:rFonts w:hint="eastAsia" w:hAnsi="仿宋_GB2312" w:cs="仿宋_GB2312"/>
          <w:sz w:val="32"/>
          <w:szCs w:val="32"/>
        </w:rPr>
        <w:t>，编制病床共1949张。全院共开设59个诊疗科目，其中临床类47个，医技类12个。开放病区62个，其中院本部32个、东院13个、南院17个。</w:t>
      </w:r>
    </w:p>
    <w:p>
      <w:pPr>
        <w:widowControl/>
        <w:spacing w:line="600" w:lineRule="exact"/>
        <w:rPr>
          <w:rFonts w:hint="eastAsia" w:asciiTheme="minorEastAsia" w:hAnsi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（二）决算单位构成。</w:t>
      </w:r>
    </w:p>
    <w:p>
      <w:pPr>
        <w:widowControl/>
        <w:spacing w:line="600" w:lineRule="exact"/>
        <w:ind w:firstLine="960" w:firstLineChars="300"/>
        <w:rPr>
          <w:rFonts w:hint="eastAsia" w:asciiTheme="minorEastAsia" w:hAnsiTheme="minorEastAsia" w:eastAsiaTheme="minorEastAsia"/>
          <w:bCs/>
          <w:kern w:val="0"/>
          <w:sz w:val="32"/>
          <w:szCs w:val="32"/>
          <w:lang w:eastAsia="zh-CN"/>
        </w:rPr>
      </w:pPr>
      <w:r>
        <w:rPr>
          <w:rFonts w:asciiTheme="minorEastAsia" w:hAnsiTheme="minorEastAsia"/>
          <w:bCs/>
          <w:kern w:val="0"/>
          <w:sz w:val="32"/>
          <w:szCs w:val="32"/>
        </w:rPr>
        <w:t>20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2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年部门决算汇总公开单位构成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为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单位本级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。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pStyle w:val="2"/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 xml:space="preserve">  (见附件）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663" w:right="720" w:bottom="607" w:left="72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</w:p>
    <w:p>
      <w:pPr>
        <w:widowControl/>
        <w:ind w:left="93"/>
        <w:jc w:val="center"/>
        <w:rPr>
          <w:rFonts w:ascii="Times New Roman" w:hAnsi="Times New Roman" w:eastAsia="方正小标宋_GBK" w:cs="Times New Roman"/>
          <w:color w:val="000000"/>
          <w:kern w:val="0"/>
          <w:sz w:val="36"/>
          <w:szCs w:val="21"/>
        </w:rPr>
      </w:pPr>
    </w:p>
    <w:p>
      <w:pPr>
        <w:widowControl/>
        <w:jc w:val="both"/>
        <w:rPr>
          <w:rFonts w:ascii="Times New Roman" w:hAnsi="Times New Roman" w:eastAsia="方正小标宋_GBK" w:cs="Times New Roman"/>
          <w:color w:val="000000"/>
          <w:kern w:val="0"/>
          <w:sz w:val="36"/>
          <w:szCs w:val="21"/>
        </w:rPr>
      </w:pPr>
    </w:p>
    <w:p>
      <w:pPr>
        <w:widowControl/>
        <w:jc w:val="both"/>
        <w:rPr>
          <w:rFonts w:ascii="Times New Roman" w:hAnsi="Times New Roman" w:eastAsia="方正小标宋_GBK" w:cs="Times New Roman"/>
          <w:color w:val="000000"/>
          <w:kern w:val="0"/>
          <w:sz w:val="36"/>
          <w:szCs w:val="21"/>
        </w:rPr>
      </w:pPr>
    </w:p>
    <w:p>
      <w:pPr>
        <w:pStyle w:val="12"/>
        <w:jc w:val="center"/>
        <w:rPr>
          <w:sz w:val="72"/>
          <w:szCs w:val="72"/>
        </w:rPr>
      </w:pPr>
      <w:bookmarkStart w:id="0" w:name="RANGE!A1:I22"/>
      <w:bookmarkEnd w:id="0"/>
    </w:p>
    <w:p>
      <w:pPr>
        <w:pStyle w:val="12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12"/>
        <w:jc w:val="center"/>
        <w:rPr>
          <w:sz w:val="70"/>
          <w:szCs w:val="70"/>
        </w:rPr>
      </w:pPr>
    </w:p>
    <w:p>
      <w:pPr>
        <w:pStyle w:val="12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</w:t>
      </w:r>
      <w:r>
        <w:rPr>
          <w:rFonts w:hint="eastAsia"/>
          <w:sz w:val="70"/>
          <w:szCs w:val="70"/>
          <w:lang w:val="en-US" w:eastAsia="zh-CN"/>
        </w:rPr>
        <w:t>1</w:t>
      </w:r>
      <w:r>
        <w:rPr>
          <w:rFonts w:hint="eastAsia"/>
          <w:sz w:val="70"/>
          <w:szCs w:val="70"/>
        </w:rPr>
        <w:t>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12"/>
        <w:rPr>
          <w:rFonts w:hint="eastAsia" w:hAnsi="黑体"/>
          <w:b w:val="0"/>
          <w:bCs/>
          <w:sz w:val="32"/>
          <w:szCs w:val="32"/>
        </w:rPr>
      </w:pPr>
      <w:r>
        <w:rPr>
          <w:rFonts w:hint="eastAsia" w:hAnsi="黑体"/>
          <w:b w:val="0"/>
          <w:bCs/>
          <w:sz w:val="32"/>
          <w:szCs w:val="32"/>
        </w:rPr>
        <w:t>（由于决算编制时金额明细到了“分”，而公开表格显示和公开文档取数只到了“万元”，可能导致0.01的尾数差异。）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34" w:firstLineChars="200"/>
        <w:textAlignment w:val="auto"/>
        <w:outlineLvl w:val="9"/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2021年度收、支总计171224.91万元，与上年相比，收入、支出增加22560.87万元，增长15%，</w:t>
      </w:r>
      <w:r>
        <w:rPr>
          <w:rFonts w:hint="eastAsia" w:asciiTheme="minorEastAsia" w:hAnsiTheme="minorEastAsia" w:eastAsiaTheme="minorEastAsia"/>
          <w:sz w:val="32"/>
          <w:szCs w:val="32"/>
        </w:rPr>
        <w:t>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事业收入增加。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2020年受新冠疫情的影响，医疗收支减少，本年度收入增加的同时，支出也随之增加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169140.78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3705.17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2.19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164668.42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97.36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767.18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0.45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161762.02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160493.97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99.22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1268.05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0.78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numPr>
          <w:ilvl w:val="0"/>
          <w:numId w:val="0"/>
        </w:numPr>
        <w:spacing w:line="600" w:lineRule="exact"/>
        <w:ind w:firstLine="634" w:firstLineChars="200"/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yellow"/>
        </w:rPr>
        <w:t>2021年度财政拨款收、支总计</w:t>
      </w:r>
      <w:r>
        <w:rPr>
          <w:rFonts w:hint="eastAsia" w:asciiTheme="minorEastAsia" w:hAnsiTheme="minorEastAsia"/>
          <w:sz w:val="32"/>
          <w:szCs w:val="32"/>
          <w:highlight w:val="yellow"/>
          <w:lang w:val="en-US" w:eastAsia="zh-CN"/>
        </w:rPr>
        <w:t>5789.31万元，与上年相比，增加491.82万元，增长9.28%。主要是因为财政拨款略有增加.</w:t>
      </w:r>
      <w:bookmarkStart w:id="2" w:name="_GoBack"/>
      <w:bookmarkEnd w:id="2"/>
      <w:r>
        <w:rPr>
          <w:rFonts w:hint="eastAsia" w:asciiTheme="minorEastAsia" w:hAnsiTheme="minorEastAsia"/>
          <w:sz w:val="32"/>
          <w:szCs w:val="32"/>
          <w:lang w:val="en-US" w:eastAsia="zh-CN"/>
        </w:rPr>
        <w:t>其中：定额补助210万元，艾滋病经费拨款162万，医改补助1309万，市级重点学科经费300万，住院规培经费375万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。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医院临床重点学科建设基本达到了预期效果，医院医疗水平不断提高，学科体系建设不断完善，学术水平明显提升，整体情况较好，达到了年度预期建设目标。我院2021年度在培住院医师共计160人，根据国家和省卫生行政部门要求及医院关于“住院医师待遇的暂行规定”、“住培经费管理制度”等，确保了住培的专项资金能专款专用、完全、有效的落实到住培医师和教学中，保证了住培医师的待遇。培训人员满意，指标完成情况良好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34" w:firstLineChars="200"/>
        <w:textAlignment w:val="auto"/>
        <w:rPr>
          <w:rFonts w:hint="eastAsia" w:asciiTheme="minorEastAsia" w:hAnsiTheme="minorEastAsia"/>
          <w:sz w:val="32"/>
          <w:szCs w:val="32"/>
          <w:lang w:val="en-US" w:eastAsia="zh-CN"/>
        </w:rPr>
      </w:pP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12"/>
        <w:ind w:firstLine="793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3278.05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2.03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略有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增加</w:t>
      </w:r>
      <w:r>
        <w:rPr>
          <w:rFonts w:hint="eastAsia" w:asciiTheme="minorEastAsia" w:hAnsiTheme="minorEastAsia" w:eastAsiaTheme="minorEastAsia"/>
          <w:sz w:val="32"/>
          <w:szCs w:val="32"/>
        </w:rPr>
        <w:t>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公共卫生支出增加。</w:t>
      </w:r>
    </w:p>
    <w:p>
      <w:pPr>
        <w:pStyle w:val="12"/>
        <w:ind w:firstLine="476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3278.05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万元，主要用于以下方面：社会保障和就业支出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5.56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占财政拨款支出0.17%。</w:t>
      </w:r>
      <w:r>
        <w:rPr>
          <w:rFonts w:hint="eastAsia" w:asciiTheme="minorEastAsia" w:hAnsiTheme="minorEastAsia" w:eastAsiaTheme="minorEastAsia"/>
          <w:sz w:val="32"/>
          <w:szCs w:val="32"/>
        </w:rPr>
        <w:t>卫生健康支出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3272.49</w:t>
      </w:r>
      <w:r>
        <w:rPr>
          <w:rFonts w:hint="eastAsia" w:asciiTheme="minorEastAsia" w:hAnsiTheme="minorEastAsia" w:eastAsia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占财政拨款支出99.83%。</w:t>
      </w:r>
    </w:p>
    <w:p>
      <w:pPr>
        <w:pStyle w:val="12"/>
        <w:ind w:firstLine="793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12"/>
        <w:ind w:firstLine="793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3300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3278.05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99.33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2"/>
        <w:ind w:firstLine="793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1、社会保障和就业支出（类）残疾人事业（款）其他残疾人事业支出（项）。</w:t>
      </w:r>
    </w:p>
    <w:p>
      <w:pPr>
        <w:pStyle w:val="12"/>
        <w:ind w:firstLine="793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4.6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2"/>
        <w:numPr>
          <w:ilvl w:val="0"/>
          <w:numId w:val="2"/>
        </w:numPr>
        <w:ind w:firstLine="793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社会保障和就业支出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其他社会保障和就业支出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其他社会保障和就业支出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2"/>
        <w:numPr>
          <w:ilvl w:val="0"/>
          <w:numId w:val="0"/>
        </w:numPr>
        <w:rPr>
          <w:rFonts w:hint="eastAsia" w:asciiTheme="minorEastAsia" w:hAnsiTheme="minorEastAsia" w:eastAsiaTheme="minorEastAsia"/>
          <w:sz w:val="32"/>
          <w:szCs w:val="32"/>
          <w:highlight w:val="red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    年初预算为0万元，支出决算为0.96万元，决算数大于年初预算数的主要原因是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建国初期参加工作退休干部补贴年初无预算。</w:t>
      </w:r>
    </w:p>
    <w:p>
      <w:pPr>
        <w:pStyle w:val="12"/>
        <w:numPr>
          <w:ilvl w:val="0"/>
          <w:numId w:val="2"/>
        </w:numPr>
        <w:ind w:firstLine="793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卫生健康支出（类）公立医院（款）综合医院（项）。</w:t>
      </w:r>
    </w:p>
    <w:p>
      <w:pPr>
        <w:pStyle w:val="12"/>
        <w:ind w:firstLine="793" w:firstLineChars="250"/>
        <w:rPr>
          <w:rFonts w:hint="eastAsia" w:asciiTheme="minorEastAsia" w:hAnsiTheme="minorEastAsia" w:eastAsiaTheme="minorEastAsia"/>
          <w:sz w:val="32"/>
          <w:szCs w:val="32"/>
          <w:highlight w:val="red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450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431.59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95.91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</w:rPr>
        <w:t>决算数小于年初预算数的主要原因是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 xml:space="preserve">疫情影响，支出减少。                                </w:t>
      </w:r>
    </w:p>
    <w:p>
      <w:pPr>
        <w:pStyle w:val="12"/>
        <w:numPr>
          <w:ilvl w:val="0"/>
          <w:numId w:val="2"/>
        </w:numPr>
        <w:ind w:left="0" w:leftChars="0" w:firstLine="793" w:firstLineChars="250"/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卫生健康支出（类）公立医院（款）其他公立医院支出（项）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2"/>
        <w:ind w:firstLine="793" w:firstLineChars="250"/>
        <w:rPr>
          <w:rFonts w:hint="eastAsia" w:asciiTheme="minorEastAsia" w:hAnsiTheme="minorEastAsia" w:eastAsiaTheme="minorEastAsia"/>
          <w:sz w:val="32"/>
          <w:szCs w:val="32"/>
          <w:highlight w:val="red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年初预算为1900万元，支出决算为1853.38万元，</w:t>
      </w:r>
      <w:r>
        <w:rPr>
          <w:rFonts w:hint="eastAsia" w:asciiTheme="minorEastAsia" w:hAnsiTheme="minorEastAsia" w:eastAsiaTheme="minorEastAsia"/>
          <w:sz w:val="32"/>
          <w:szCs w:val="32"/>
        </w:rPr>
        <w:t>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97.55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</w:rPr>
        <w:t>决算数小于年初预算数的主要原因是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 xml:space="preserve">疫情影响，支出减少。                                </w:t>
      </w:r>
    </w:p>
    <w:p>
      <w:pPr>
        <w:pStyle w:val="12"/>
        <w:numPr>
          <w:ilvl w:val="0"/>
          <w:numId w:val="0"/>
        </w:numPr>
        <w:ind w:leftChars="250" w:firstLine="317" w:firstLineChars="100"/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</w:p>
    <w:p>
      <w:pPr>
        <w:pStyle w:val="12"/>
        <w:numPr>
          <w:ilvl w:val="0"/>
          <w:numId w:val="2"/>
        </w:numPr>
        <w:ind w:left="0" w:leftChars="0" w:firstLine="793" w:firstLineChars="250"/>
        <w:rPr>
          <w:rFonts w:hint="default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卫生健康支出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公共卫生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重大公共卫生服务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2"/>
        <w:numPr>
          <w:ilvl w:val="0"/>
          <w:numId w:val="0"/>
        </w:numPr>
        <w:ind w:firstLine="634" w:firstLineChars="200"/>
        <w:rPr>
          <w:rFonts w:hint="default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年初预算为0万元，支出决算为626.31万元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，决算数大于年初预算数的主要原因是由于在全院全员抗疫期间，购买设备。</w:t>
      </w:r>
    </w:p>
    <w:p>
      <w:pPr>
        <w:pStyle w:val="12"/>
        <w:numPr>
          <w:ilvl w:val="0"/>
          <w:numId w:val="2"/>
        </w:numPr>
        <w:ind w:left="0" w:leftChars="0" w:firstLine="793" w:firstLineChars="250"/>
        <w:rPr>
          <w:rFonts w:hint="default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卫生健康支出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公共卫生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突发公共卫生事件应急处理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2"/>
        <w:numPr>
          <w:ilvl w:val="0"/>
          <w:numId w:val="0"/>
        </w:numPr>
        <w:ind w:leftChars="250"/>
        <w:rPr>
          <w:rFonts w:hint="default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 xml:space="preserve">  年初预算为0万元，支出决算为343.21万元，决算数大于年初预算数的主要原因是由于疫情，作为定点医院，对防疫设施进行改造升级，不断完善。</w:t>
      </w:r>
    </w:p>
    <w:p>
      <w:pPr>
        <w:pStyle w:val="12"/>
        <w:numPr>
          <w:ilvl w:val="0"/>
          <w:numId w:val="2"/>
        </w:numPr>
        <w:ind w:left="0" w:leftChars="0" w:firstLine="793" w:firstLineChars="250"/>
        <w:rPr>
          <w:rFonts w:hint="default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卫生健康支出</w:t>
      </w:r>
      <w:r>
        <w:rPr>
          <w:rFonts w:hint="eastAsia" w:asciiTheme="minorEastAsia" w:hAnsiTheme="minorEastAsia" w:eastAsiaTheme="minorEastAsia"/>
          <w:sz w:val="32"/>
          <w:szCs w:val="32"/>
        </w:rPr>
        <w:t>（类）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公共卫生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>其他公共卫生支出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2"/>
        <w:numPr>
          <w:ilvl w:val="0"/>
          <w:numId w:val="0"/>
        </w:numPr>
        <w:ind w:leftChars="250"/>
        <w:rPr>
          <w:rFonts w:hint="default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 xml:space="preserve">    年初预算为0万元，支出决算为18万元，决算数大于年初预算数的主要原因是由于在抗疫期间，购买专项防疫物资材料、核酸试剂等支出增大，年初均未做预算。         </w:t>
      </w:r>
    </w:p>
    <w:p>
      <w:pPr>
        <w:pStyle w:val="12"/>
        <w:numPr>
          <w:ilvl w:val="0"/>
          <w:numId w:val="0"/>
        </w:numP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highlight w:val="none"/>
          <w:lang w:val="en-US" w:eastAsia="zh-CN"/>
        </w:rPr>
        <w:t xml:space="preserve">     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一般公共预算</w:t>
      </w:r>
      <w:r>
        <w:rPr>
          <w:rFonts w:hint="eastAsia" w:asciiTheme="minorEastAsia" w:hAnsiTheme="minorEastAsia" w:eastAsiaTheme="minorEastAsia"/>
          <w:sz w:val="32"/>
          <w:szCs w:val="32"/>
        </w:rPr>
        <w:t>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2010.00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210.00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一般公共预算财政</w:t>
      </w:r>
      <w:r>
        <w:rPr>
          <w:rFonts w:hint="eastAsia" w:asciiTheme="minorEastAsia" w:hAnsiTheme="minorEastAsia" w:eastAsiaTheme="minorEastAsia"/>
          <w:sz w:val="32"/>
          <w:szCs w:val="32"/>
        </w:rPr>
        <w:t>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10.45</w:t>
      </w:r>
      <w:r>
        <w:rPr>
          <w:rFonts w:hint="eastAsia" w:asciiTheme="minorEastAsia" w:hAnsiTheme="minorEastAsia" w:eastAsiaTheme="minorEastAsia"/>
          <w:sz w:val="32"/>
          <w:szCs w:val="32"/>
        </w:rPr>
        <w:t>%,主要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为</w:t>
      </w:r>
      <w:r>
        <w:rPr>
          <w:rFonts w:hint="eastAsia" w:asciiTheme="minorEastAsia" w:hAnsiTheme="minorEastAsia" w:eastAsiaTheme="minorEastAsia"/>
          <w:sz w:val="32"/>
          <w:szCs w:val="32"/>
        </w:rPr>
        <w:t>基本工资。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其他公用经费为1800万元，占一般公共预算财政基本支出89.55%。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七、一般公共预算财政拨款三公经费支出决算情况说明</w:t>
      </w:r>
    </w:p>
    <w:p>
      <w:pPr>
        <w:pStyle w:val="12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12"/>
        <w:ind w:firstLine="793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</w:t>
      </w:r>
    </w:p>
    <w:p>
      <w:pPr>
        <w:pStyle w:val="12"/>
        <w:ind w:firstLine="793" w:firstLineChars="2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万元，由于预算数为0，无法计算完成百分比，主要原因为本年未安排因公出国（境）；与上年相比无变化，主要原因是未安排外事出访活动。</w:t>
      </w:r>
    </w:p>
    <w:p>
      <w:pPr>
        <w:pStyle w:val="12"/>
        <w:ind w:firstLine="793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万元，由于预算数为0，无法计算完成百分比，主要原因为本年未安排公务接待；与上年相比无变化，主要原因是未安排公务接待活动。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公务用车购置费及运行维护费支出预算为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万元，由于预算数为0，无法计算完成百分比，主要原因为本年未购置公务用车；与上年相比无变化，主要原因为两年均未购置公务用车。</w:t>
      </w:r>
    </w:p>
    <w:p>
      <w:pPr>
        <w:pStyle w:val="12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万元。其中：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2"/>
        <w:ind w:firstLine="793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人次。</w:t>
      </w:r>
    </w:p>
    <w:p>
      <w:pPr>
        <w:ind w:firstLine="793" w:firstLineChars="2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sz w:val="32"/>
          <w:szCs w:val="32"/>
          <w:lang w:eastAsia="zh-CN"/>
        </w:rPr>
        <w:t>，更新公务用车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0辆</w:t>
      </w:r>
      <w:r>
        <w:rPr>
          <w:rFonts w:hint="eastAsia" w:asciiTheme="minorEastAsia" w:hAnsiTheme="minorEastAsia"/>
          <w:color w:val="000000" w:themeColor="text1"/>
          <w:sz w:val="32"/>
          <w:szCs w:val="32"/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12"/>
        <w:ind w:firstLine="632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 w:val="32"/>
          <w:szCs w:val="32"/>
        </w:rPr>
        <w:t>政府性基金预算财政拨款收入</w:t>
      </w:r>
    </w:p>
    <w:p>
      <w:pPr>
        <w:pStyle w:val="12"/>
        <w:ind w:firstLine="63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九、国有资本经营预算财政拨款支出决算情况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</w:t>
      </w:r>
      <w:r>
        <w:rPr>
          <w:rFonts w:hint="eastAsia" w:asciiTheme="minorEastAsia" w:hAnsiTheme="minorEastAsia" w:eastAsiaTheme="minorEastAsia"/>
          <w:sz w:val="32"/>
          <w:szCs w:val="32"/>
        </w:rPr>
        <w:t>单位无国有资本经营预算财政拨款支出</w:t>
      </w:r>
      <w:r>
        <w:rPr>
          <w:rFonts w:asciiTheme="minorEastAsia" w:hAnsiTheme="minorEastAsia" w:eastAsiaTheme="minorEastAsia"/>
          <w:sz w:val="32"/>
          <w:szCs w:val="32"/>
        </w:rPr>
        <w:t>。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十、关于机关运行经费支出说明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单位</w:t>
      </w: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</w:p>
    <w:p>
      <w:pPr>
        <w:pStyle w:val="12"/>
        <w:rPr>
          <w:rFonts w:hAnsi="黑体"/>
          <w:b/>
          <w:sz w:val="32"/>
          <w:szCs w:val="32"/>
          <w:highlight w:val="none"/>
        </w:rPr>
      </w:pPr>
      <w:r>
        <w:rPr>
          <w:rFonts w:hint="eastAsia" w:hAnsi="黑体"/>
          <w:b/>
          <w:sz w:val="32"/>
          <w:szCs w:val="32"/>
        </w:rPr>
        <w:t>十一、</w:t>
      </w:r>
      <w:r>
        <w:rPr>
          <w:rFonts w:hint="eastAsia" w:hAnsi="黑体"/>
          <w:b/>
          <w:sz w:val="32"/>
          <w:szCs w:val="32"/>
          <w:highlight w:val="none"/>
        </w:rPr>
        <w:t>一般性支出情况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年本单位开支会议费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132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输送医护人员前往上级医院进修学习</w:t>
      </w:r>
      <w:r>
        <w:rPr>
          <w:rFonts w:hint="eastAsia" w:asciiTheme="minorEastAsia" w:hAnsiTheme="minorEastAsia" w:eastAsiaTheme="minorEastAsia"/>
          <w:sz w:val="32"/>
          <w:szCs w:val="32"/>
        </w:rPr>
        <w:t>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150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医疗新技术进修学习；未举办节庆、晚会、论坛、赛事活动，开支0万元。</w:t>
      </w:r>
    </w:p>
    <w:p>
      <w:pPr>
        <w:pStyle w:val="12"/>
        <w:rPr>
          <w:rFonts w:hAnsi="黑体"/>
          <w:b/>
          <w:sz w:val="32"/>
          <w:szCs w:val="32"/>
          <w:highlight w:val="none"/>
        </w:rPr>
      </w:pPr>
      <w:r>
        <w:rPr>
          <w:rFonts w:hint="eastAsia" w:hAnsi="黑体"/>
          <w:b/>
          <w:sz w:val="32"/>
          <w:szCs w:val="32"/>
        </w:rPr>
        <w:t>十二、</w:t>
      </w:r>
      <w:r>
        <w:rPr>
          <w:rFonts w:hint="eastAsia" w:hAnsi="黑体"/>
          <w:b/>
          <w:sz w:val="32"/>
          <w:szCs w:val="32"/>
          <w:highlight w:val="none"/>
        </w:rPr>
        <w:t>关于政府采购支出说明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部门</w:t>
      </w:r>
      <w:r>
        <w:rPr>
          <w:rFonts w:hint="eastAsia" w:asciiTheme="minorEastAsia" w:hAnsiTheme="minorEastAsia" w:eastAsiaTheme="minorEastAsia"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年度政府采购支出总额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58000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58000</w:t>
      </w:r>
      <w:r>
        <w:rPr>
          <w:rFonts w:hint="eastAsia" w:asciiTheme="minorEastAsia" w:hAnsiTheme="minorEastAsia" w:eastAsia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政府采购工程支付0万元、政府采购服务支出0万元。</w:t>
      </w:r>
      <w:r>
        <w:rPr>
          <w:rFonts w:hint="eastAsia" w:asciiTheme="minorEastAsia" w:hAnsiTheme="minorEastAsia" w:eastAsiaTheme="minorEastAsia"/>
          <w:sz w:val="32"/>
          <w:szCs w:val="32"/>
        </w:rPr>
        <w:t>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占授予中小企业合同金额的0%；货物采购授予中小企业合同金额占货物支出金额的0%，工程采购授予中小企业合同金额占工程支出金额的0%，服务采购授予中小企业合同金额占服务支出金额的0%。</w:t>
      </w:r>
    </w:p>
    <w:p>
      <w:pPr>
        <w:pStyle w:val="12"/>
        <w:rPr>
          <w:rFonts w:hAnsi="黑体"/>
          <w:b/>
          <w:sz w:val="32"/>
          <w:szCs w:val="32"/>
          <w:highlight w:val="none"/>
        </w:rPr>
      </w:pPr>
      <w:r>
        <w:rPr>
          <w:rFonts w:hint="eastAsia" w:hAnsi="黑体"/>
          <w:b/>
          <w:sz w:val="32"/>
          <w:szCs w:val="32"/>
        </w:rPr>
        <w:t>十三、</w:t>
      </w:r>
      <w:r>
        <w:rPr>
          <w:rFonts w:hint="eastAsia" w:hAnsi="黑体"/>
          <w:b/>
          <w:sz w:val="32"/>
          <w:szCs w:val="32"/>
          <w:highlight w:val="none"/>
        </w:rPr>
        <w:t>关于国有资产占用情况说明</w:t>
      </w:r>
    </w:p>
    <w:p>
      <w:pPr>
        <w:pStyle w:val="12"/>
        <w:ind w:firstLine="634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年12月31日，本单位共有车辆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32"/>
          <w:szCs w:val="32"/>
        </w:rPr>
        <w:t>辆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全部为救护车。</w:t>
      </w:r>
      <w:r>
        <w:rPr>
          <w:rFonts w:hint="eastAsia" w:asciiTheme="minorEastAsia" w:hAnsiTheme="minorEastAsia" w:eastAsiaTheme="minorEastAsia"/>
          <w:sz w:val="32"/>
          <w:szCs w:val="32"/>
        </w:rPr>
        <w:t>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26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102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12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十四、202</w:t>
      </w:r>
      <w:r>
        <w:rPr>
          <w:rFonts w:hint="eastAsia" w:hAnsi="黑体"/>
          <w:b/>
          <w:sz w:val="32"/>
          <w:szCs w:val="32"/>
          <w:lang w:val="en-US" w:eastAsia="zh-CN"/>
        </w:rPr>
        <w:t>1</w:t>
      </w:r>
      <w:r>
        <w:rPr>
          <w:rFonts w:hint="eastAsia" w:hAnsi="黑体"/>
          <w:b/>
          <w:sz w:val="32"/>
          <w:szCs w:val="32"/>
        </w:rPr>
        <w:t>年度预算绩效情况的说明</w:t>
      </w:r>
    </w:p>
    <w:p>
      <w:pPr>
        <w:autoSpaceDE w:val="0"/>
        <w:autoSpaceDN w:val="0"/>
        <w:adjustRightInd w:val="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hAnsi="黑体"/>
          <w:b/>
          <w:sz w:val="32"/>
          <w:szCs w:val="32"/>
          <w:lang w:val="en-US" w:eastAsia="zh-CN"/>
        </w:rPr>
        <w:t xml:space="preserve"> 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34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2021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年度“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艾滋病专项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”项目开展了部门评价，涉及一般公共预算支出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万元，国有资本经营预算支出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万元。从评价情况来看，完成大部分艾滋病人的防治与救治工作，并以多种形式向社会宣传艾滋病知识，主动与市疾控及各县区疾控传感科联系，培训基层艾滋病专科医生，均取得良好的社会效益。</w:t>
      </w:r>
    </w:p>
    <w:p>
      <w:pPr>
        <w:autoSpaceDE w:val="0"/>
        <w:autoSpaceDN w:val="0"/>
        <w:adjustRightInd w:val="0"/>
        <w:ind w:firstLine="634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本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单位开展整体支出绩效评价，涉及一般公共预算支出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325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万元，政府性基金预算支出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我院在切实做好常态化疫情防控基础上，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业务收入实现持续稳定增长，积极参加公立医院改革，根据改革要求认真落实上级主管部门各项便民惠民措施，加强医疗质量管理，强化学科建设及技术攻关，做好优质服务工作。真正成为一座学科特色鲜明、技术先进、服务规范、管理科学、患者信任度高、员工幸福感强的区域医疗中心。业务收入合理增长。防范恶性医疗纠纷，杜绝重大医疗事故，确保社会对医院工作的满意率在9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%以上。圆满完成市委、市政府及上级主管部门下达的各项指令性任务，努力让人民群众就医更加满意。</w:t>
      </w:r>
    </w:p>
    <w:p>
      <w:pPr>
        <w:autoSpaceDE w:val="0"/>
        <w:autoSpaceDN w:val="0"/>
        <w:adjustRightInd w:val="0"/>
        <w:ind w:firstLine="634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（2）部门决算中项目绩效自评结果（如有）。</w:t>
      </w:r>
    </w:p>
    <w:p>
      <w:pPr>
        <w:autoSpaceDE w:val="0"/>
        <w:autoSpaceDN w:val="0"/>
        <w:adjustRightInd w:val="0"/>
        <w:ind w:left="629" w:leftChars="304" w:firstLine="0" w:firstLineChars="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本单位无重点项目，故未开展重点项目自评，无自评结果。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）部门评价项目绩效评价结果。</w:t>
      </w:r>
    </w:p>
    <w:p>
      <w:pPr>
        <w:autoSpaceDE w:val="0"/>
        <w:autoSpaceDN w:val="0"/>
        <w:adjustRightInd w:val="0"/>
        <w:ind w:firstLine="634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部门评价项目数量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3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个以内的，至少将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1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个部门评价报告向社会公开；部门评价项目数量大于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3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个的，至少将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2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个部门评价报告向社会公开。报告框架可参考《项目支出绩效评价办法》（财预〔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〕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10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号）中《项目支出绩效评价报告（参考提纲）》、《湖南省预算支出绩效评价管理办法》（湘财绩〔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〕7号）。</w:t>
      </w:r>
    </w:p>
    <w:p>
      <w:pPr>
        <w:pStyle w:val="12"/>
        <w:rPr>
          <w:rFonts w:hAnsi="黑体"/>
          <w:b/>
          <w:sz w:val="32"/>
          <w:szCs w:val="3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jc w:val="both"/>
        <w:rPr>
          <w:rFonts w:hint="eastAsia"/>
          <w:sz w:val="72"/>
          <w:szCs w:val="72"/>
        </w:rPr>
      </w:pPr>
    </w:p>
    <w:p>
      <w:pPr>
        <w:pStyle w:val="12"/>
        <w:ind w:firstLine="2868" w:firstLineChars="4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34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34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ind w:firstLine="634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ind w:firstLine="634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both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岳阳市202</w:t>
      </w:r>
      <w:r>
        <w:rPr>
          <w:rFonts w:hint="eastAsia" w:eastAsia="方正小标宋简体"/>
          <w:bCs/>
          <w:sz w:val="46"/>
          <w:szCs w:val="46"/>
          <w:lang w:val="en-US" w:eastAsia="zh-CN"/>
        </w:rPr>
        <w:t>1</w:t>
      </w:r>
      <w:r>
        <w:rPr>
          <w:rFonts w:hint="eastAsia" w:eastAsia="方正小标宋简体"/>
          <w:bCs/>
          <w:sz w:val="46"/>
          <w:szCs w:val="46"/>
        </w:rPr>
        <w:t>年度部门整体支出</w:t>
      </w: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岳阳市一人民医院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>
      <w:pPr>
        <w:spacing w:beforeLines="50" w:line="348" w:lineRule="auto"/>
        <w:ind w:firstLine="476" w:firstLineChars="150"/>
        <w:rPr>
          <w:rFonts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hint="eastAsia" w:eastAsia="仿宋_GB2312"/>
          <w:spacing w:val="30"/>
          <w:sz w:val="32"/>
          <w:szCs w:val="32"/>
        </w:rPr>
        <w:t xml:space="preserve"> 算 编 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302210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    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评价机构：部门（单位）评价组   </w:t>
      </w: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>2022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>09</w:t>
      </w:r>
      <w:r>
        <w:rPr>
          <w:rFonts w:hint="eastAsia" w:eastAsia="仿宋_GB2312"/>
          <w:sz w:val="32"/>
        </w:rPr>
        <w:t xml:space="preserve"> 月 </w:t>
      </w:r>
      <w:r>
        <w:rPr>
          <w:rFonts w:hint="eastAsia" w:eastAsia="仿宋_GB2312"/>
          <w:sz w:val="32"/>
          <w:lang w:val="en-US" w:eastAsia="zh-CN"/>
        </w:rPr>
        <w:t>20</w:t>
      </w:r>
      <w:r>
        <w:rPr>
          <w:rFonts w:hint="eastAsia" w:eastAsia="仿宋_GB2312"/>
          <w:sz w:val="32"/>
        </w:rPr>
        <w:t xml:space="preserve"> 日</w:t>
      </w:r>
    </w:p>
    <w:p>
      <w:pPr>
        <w:autoSpaceDN w:val="0"/>
        <w:jc w:val="center"/>
        <w:textAlignment w:val="center"/>
        <w:rPr>
          <w:rFonts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247" w:right="1588" w:bottom="1247" w:left="1588" w:header="851" w:footer="992" w:gutter="0"/>
          <w:pgNumType w:start="1"/>
          <w:cols w:space="720" w:num="1"/>
          <w:docGrid w:type="linesAndChars" w:linePitch="602" w:charSpace="-782"/>
        </w:sectPr>
      </w:pPr>
      <w:r>
        <w:rPr>
          <w:rFonts w:hint="eastAsia" w:eastAsia="仿宋_GB2312"/>
          <w:sz w:val="32"/>
        </w:rPr>
        <w:t>岳阳市财政</w:t>
      </w:r>
      <w:r>
        <w:rPr>
          <w:rFonts w:hint="eastAsia" w:eastAsia="仿宋_GB2312"/>
          <w:sz w:val="32"/>
          <w:szCs w:val="32"/>
        </w:rPr>
        <w:t>局（制）</w:t>
      </w:r>
    </w:p>
    <w:tbl>
      <w:tblPr>
        <w:tblStyle w:val="9"/>
        <w:tblW w:w="980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808"/>
        <w:gridCol w:w="1479"/>
        <w:gridCol w:w="226"/>
        <w:gridCol w:w="196"/>
        <w:gridCol w:w="259"/>
        <w:gridCol w:w="1080"/>
        <w:gridCol w:w="265"/>
        <w:gridCol w:w="139"/>
        <w:gridCol w:w="316"/>
        <w:gridCol w:w="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一、部门（单位）基本概况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钟珊珊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联络电话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13575008348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人员编制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801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实有人数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2232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职能职责概述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一所集医疗、教学、科研、预防、保健、康复于一体的三级甲等综合性医院。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年度主要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工作内容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继续深入</w:t>
            </w:r>
            <w:r>
              <w:rPr>
                <w:rFonts w:hint="eastAsia" w:ascii="仿宋_GB2312" w:eastAsia="仿宋_GB2312"/>
                <w:sz w:val="24"/>
                <w:szCs w:val="24"/>
              </w:rPr>
              <w:t>学习党的十九大精神，贯彻落实市委提出“一三五”发展思路，以社会需求、群众满意和医院自身发展的需要为标准，加快医院发展建设步伐，深化全国文明单位创建成果，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病人为中心，认真持久抓好医疗服务质量，确保医疗安全,强化内部管理，大力推进学科建设,不断提升医疗服务水平和核心竞争力,使就医环境进一步改善，服务态度进一步好转，经济效益和社会效益明显提高，医院综合实力及可持续发展能力明显增强，职工待遇进一步提高。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年预计工作量达到门诊人次1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万，出院病人9万人次，住院手术3万台。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146" w:type="dxa"/>
            <w:gridSpan w:val="15"/>
            <w:vAlign w:val="center"/>
          </w:tcPr>
          <w:p>
            <w:pPr>
              <w:tabs>
                <w:tab w:val="left" w:pos="108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bookmarkStart w:id="1" w:name="OLE_LINK7"/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资产总额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150778</w:t>
            </w:r>
            <w:r>
              <w:rPr>
                <w:rFonts w:hint="eastAsia" w:ascii="仿宋" w:hAnsi="仿宋" w:eastAsia="仿宋" w:cs="仿宋"/>
                <w:sz w:val="24"/>
              </w:rPr>
              <w:t>万元，比年初增加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17231</w:t>
            </w:r>
            <w:r>
              <w:rPr>
                <w:rFonts w:hint="eastAsia" w:ascii="仿宋" w:hAnsi="仿宋" w:eastAsia="仿宋" w:cs="仿宋"/>
                <w:sz w:val="24"/>
              </w:rPr>
              <w:t>万元，增幅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12.9</w:t>
            </w:r>
            <w:r>
              <w:rPr>
                <w:rFonts w:hint="eastAsia" w:ascii="仿宋" w:hAnsi="仿宋" w:eastAsia="仿宋" w:cs="仿宋"/>
                <w:sz w:val="24"/>
              </w:rPr>
              <w:t>%，其中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货币资金</w:t>
            </w:r>
            <w:r>
              <w:rPr>
                <w:rFonts w:hint="eastAsia" w:ascii="仿宋" w:hAnsi="仿宋" w:eastAsia="仿宋" w:cs="仿宋"/>
                <w:sz w:val="24"/>
              </w:rPr>
              <w:t>及库存物品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41812</w:t>
            </w:r>
            <w:r>
              <w:rPr>
                <w:rFonts w:hint="eastAsia" w:ascii="仿宋" w:hAnsi="仿宋" w:eastAsia="仿宋" w:cs="仿宋"/>
                <w:sz w:val="24"/>
              </w:rPr>
              <w:t>万元，固定资产净值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32378</w:t>
            </w:r>
            <w:r>
              <w:rPr>
                <w:rFonts w:hint="eastAsia" w:ascii="仿宋" w:hAnsi="仿宋" w:eastAsia="仿宋" w:cs="仿宋"/>
                <w:sz w:val="24"/>
              </w:rPr>
              <w:t>万元；负债总额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64572</w:t>
            </w:r>
            <w:r>
              <w:rPr>
                <w:rFonts w:hint="eastAsia" w:ascii="仿宋" w:hAnsi="仿宋" w:eastAsia="仿宋" w:cs="仿宋"/>
                <w:sz w:val="24"/>
              </w:rPr>
              <w:t>万元，净资产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86206</w:t>
            </w:r>
            <w:r>
              <w:rPr>
                <w:rFonts w:hint="eastAsia" w:ascii="仿宋" w:hAnsi="仿宋" w:eastAsia="仿宋" w:cs="仿宋"/>
                <w:sz w:val="24"/>
              </w:rPr>
              <w:t>万元</w:t>
            </w:r>
            <w:bookmarkEnd w:id="1"/>
            <w:r>
              <w:rPr>
                <w:rFonts w:hint="eastAsia" w:ascii="仿宋" w:hAnsi="仿宋" w:eastAsia="仿宋" w:cs="仿宋"/>
                <w:sz w:val="24"/>
              </w:rPr>
              <w:t>，较年初增加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7624</w:t>
            </w:r>
            <w:r>
              <w:rPr>
                <w:rFonts w:hint="eastAsia" w:ascii="仿宋" w:hAnsi="仿宋" w:eastAsia="仿宋" w:cs="仿宋"/>
                <w:sz w:val="24"/>
              </w:rPr>
              <w:t>万元，增幅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9.7</w:t>
            </w:r>
            <w:r>
              <w:rPr>
                <w:rFonts w:hint="eastAsia" w:ascii="仿宋" w:hAnsi="仿宋" w:eastAsia="仿宋" w:cs="仿宋"/>
                <w:sz w:val="24"/>
              </w:rPr>
              <w:t>%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</w:t>
            </w:r>
          </w:p>
          <w:p>
            <w:pPr>
              <w:tabs>
                <w:tab w:val="left" w:pos="900"/>
              </w:tabs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完成业务收入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163912</w:t>
            </w:r>
            <w:r>
              <w:rPr>
                <w:rFonts w:hint="eastAsia" w:ascii="仿宋" w:hAnsi="仿宋" w:eastAsia="仿宋" w:cs="仿宋"/>
                <w:sz w:val="24"/>
              </w:rPr>
              <w:t>万元，业务支出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162401</w:t>
            </w:r>
            <w:r>
              <w:rPr>
                <w:rFonts w:hint="eastAsia" w:ascii="仿宋" w:hAnsi="仿宋" w:eastAsia="仿宋" w:cs="仿宋"/>
                <w:sz w:val="24"/>
              </w:rPr>
              <w:t>万元。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二、部门（单位）收支情况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上年结转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公共财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政拨款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岳阳市一人民医院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335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210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125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支出合计</w:t>
            </w:r>
          </w:p>
        </w:tc>
        <w:tc>
          <w:tcPr>
            <w:tcW w:w="56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34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项目支出</w:t>
            </w: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累计结余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人员支出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公用支出</w:t>
            </w: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岳阳市一人民医院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335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210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125</w:t>
            </w: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三公经费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7020" w:type="dxa"/>
            <w:gridSpan w:val="13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公务接待费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公务用车运维费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公务用车购置费</w:t>
            </w: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因公出国费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岳阳市一人民医院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2.65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2.65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固定资产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41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在用固定资产</w:t>
            </w:r>
          </w:p>
        </w:tc>
        <w:tc>
          <w:tcPr>
            <w:tcW w:w="36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出租固定资产</w:t>
            </w:r>
          </w:p>
        </w:tc>
        <w:tc>
          <w:tcPr>
            <w:tcW w:w="94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岳阳市一人民医院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92751</w:t>
            </w: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92751</w:t>
            </w: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tcBorders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三、部门（单位）整体支出绩效自评情况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74" w:type="dxa"/>
            <w:gridSpan w:val="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预期目标</w:t>
            </w:r>
          </w:p>
        </w:tc>
        <w:tc>
          <w:tcPr>
            <w:tcW w:w="4585" w:type="dxa"/>
            <w:gridSpan w:val="9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72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774" w:type="dxa"/>
            <w:gridSpan w:val="7"/>
            <w:vAlign w:val="center"/>
          </w:tcPr>
          <w:p>
            <w:pPr>
              <w:numPr>
                <w:ilvl w:val="0"/>
                <w:numId w:val="3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医疗收入160000万元</w:t>
            </w:r>
          </w:p>
          <w:p>
            <w:pPr>
              <w:numPr>
                <w:ilvl w:val="0"/>
                <w:numId w:val="3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年门诊量120万人次</w:t>
            </w:r>
          </w:p>
          <w:p>
            <w:pPr>
              <w:numPr>
                <w:ilvl w:val="0"/>
                <w:numId w:val="3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住院病人数8万人次</w:t>
            </w:r>
          </w:p>
        </w:tc>
        <w:tc>
          <w:tcPr>
            <w:tcW w:w="4585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1、医疗收入163912万元</w:t>
            </w:r>
          </w:p>
          <w:p>
            <w:pPr>
              <w:numPr>
                <w:ilvl w:val="0"/>
                <w:numId w:val="0"/>
              </w:num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2、年门诊量110万人次</w:t>
            </w:r>
          </w:p>
          <w:p>
            <w:pPr>
              <w:autoSpaceDN w:val="0"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3、住院人次7.6万人次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产出目标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（部门工作实绩，包含上级部门和市委市政府布置的重点工作、实事任务等，根据部门实际进行调整细化）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杜绝重大医疗事故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0起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防范恶性医疗纠纷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0起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1、实现医疗收入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163912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2、年门诊量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1099967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3、出院病人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76131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完成年工作计划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成本控制在预算范围内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162401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效益目标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优化就医流程、方便病人就医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医疗收入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163912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污水处理、医疗废物处置达标率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vAlign w:val="center"/>
          </w:tcPr>
          <w:p>
            <w:pPr>
              <w:autoSpaceDN w:val="0"/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4"/>
            <w:vAlign w:val="center"/>
          </w:tcPr>
          <w:p>
            <w:pPr>
              <w:autoSpaceDN w:val="0"/>
              <w:spacing w:line="320" w:lineRule="exact"/>
              <w:ind w:firstLine="600" w:firstLineChars="25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患者满意度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9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绩效自评综合得分</w:t>
            </w:r>
          </w:p>
        </w:tc>
        <w:tc>
          <w:tcPr>
            <w:tcW w:w="6810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90分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评价等次</w:t>
            </w:r>
          </w:p>
        </w:tc>
        <w:tc>
          <w:tcPr>
            <w:tcW w:w="6810" w:type="dxa"/>
            <w:gridSpan w:val="1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优秀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李自华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副院长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岳阳市一人民医院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黄培新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财务科长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岳阳市一人民医院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钟珊珊</w:t>
            </w: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主管会计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岳阳市一人民医院</w:t>
            </w: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1" w:type="dxa"/>
            <w:gridSpan w:val="6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94" w:hRule="atLeast"/>
          <w:jc w:val="center"/>
        </w:trPr>
        <w:tc>
          <w:tcPr>
            <w:tcW w:w="9800" w:type="dxa"/>
            <w:gridSpan w:val="17"/>
            <w:vAlign w:val="center"/>
          </w:tcPr>
          <w:p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财政部门归口业务科室负责人（签章）：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   年 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9"/>
        <w:tblW w:w="95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558" w:type="dxa"/>
          </w:tcPr>
          <w:p>
            <w:pPr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一、概况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医院各项工作有序进行、各项事业蓬勃发展，医院积极落实党委领导下的院长负责制，充分发挥院党委的领导作用，坚持“扩规模、强内涵、提能力”的工作思路，优化运行机制，提升运行效率，业务数据呈现稳步发展趋势。全院广大干部职工围绕中心工作，聚焦“一院三址”统筹发展，提高医疗质量，改善医疗服务，优化人才队伍，规范日常管理，实现安全生产，注重惠民便民，抓好党建引领，做好文化建设，各项工作捷报频传，在全国、全省卫生系统的多项赛事中屡创佳绩，收获了良好的社会形象与群众口碑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二、整体支出管理及使用情况</w:t>
            </w:r>
          </w:p>
          <w:p>
            <w:pPr>
              <w:ind w:firstLine="560" w:firstLineChars="200"/>
              <w:rPr>
                <w:rFonts w:hint="eastAsia" w:ascii="仿宋_GB2312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Cs/>
                <w:sz w:val="28"/>
                <w:szCs w:val="28"/>
              </w:rPr>
              <w:t>为了合理、有效、规范的使用专项资金，完善专项资金管理流程，确保财政性资金的安全合理使用，根据国家有关制度等法律法规，我院特制定了《专项资金管理办法》。建立专项资金使用管理责任制，明确专项资金的管理部门，提高使用效率。财务科负责此项资金的预算、决算的编制，资金使用的审批、监督和审查以及汇总和分析，做到了专款专用专帐。20</w:t>
            </w:r>
            <w:r>
              <w:rPr>
                <w:rFonts w:hint="eastAsia" w:ascii="仿宋_GB2312" w:eastAsia="仿宋_GB2312" w:cs="宋体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_GB2312" w:eastAsia="仿宋_GB2312" w:cs="宋体"/>
                <w:bCs/>
                <w:sz w:val="28"/>
                <w:szCs w:val="28"/>
              </w:rPr>
              <w:t>年收到财政下拨的艾滋病专项资金</w:t>
            </w:r>
            <w:r>
              <w:rPr>
                <w:rFonts w:hint="eastAsia" w:ascii="仿宋_GB2312" w:eastAsia="仿宋_GB2312" w:cs="宋体"/>
                <w:bCs/>
                <w:sz w:val="28"/>
                <w:szCs w:val="28"/>
                <w:lang w:val="en-US" w:eastAsia="zh-CN"/>
              </w:rPr>
              <w:t>162</w:t>
            </w:r>
            <w:r>
              <w:rPr>
                <w:rFonts w:hint="eastAsia" w:ascii="仿宋_GB2312" w:eastAsia="仿宋_GB2312" w:cs="宋体"/>
                <w:bCs/>
                <w:sz w:val="28"/>
                <w:szCs w:val="28"/>
              </w:rPr>
              <w:t>万元，全部用于艾滋病人的救治。</w:t>
            </w:r>
          </w:p>
          <w:p>
            <w:pPr>
              <w:ind w:firstLine="560" w:firstLineChars="200"/>
              <w:rPr>
                <w:rFonts w:hint="eastAsia" w:ascii="仿宋_GB2312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Cs/>
                <w:sz w:val="28"/>
                <w:szCs w:val="28"/>
              </w:rPr>
              <w:t>非税收入</w:t>
            </w:r>
            <w:r>
              <w:rPr>
                <w:rFonts w:hint="eastAsia" w:ascii="仿宋_GB2312" w:eastAsia="仿宋_GB2312" w:cs="宋体"/>
                <w:bCs/>
                <w:sz w:val="28"/>
                <w:szCs w:val="28"/>
                <w:lang w:val="en-US" w:eastAsia="zh-CN"/>
              </w:rPr>
              <w:t>125</w:t>
            </w:r>
            <w:r>
              <w:rPr>
                <w:rFonts w:hint="eastAsia" w:ascii="仿宋_GB2312" w:eastAsia="仿宋_GB2312" w:cs="宋体"/>
                <w:bCs/>
                <w:sz w:val="28"/>
                <w:szCs w:val="28"/>
              </w:rPr>
              <w:t>万元为学生的培训费及停车收费收入，主要用于改善学生的住宿环境及停车场的维修与管理。</w:t>
            </w:r>
          </w:p>
          <w:p>
            <w:pPr>
              <w:ind w:firstLine="560" w:firstLineChars="200"/>
              <w:rPr>
                <w:rFonts w:hint="eastAsia" w:ascii="仿宋_GB2312" w:eastAsia="仿宋_GB2312"/>
                <w:color w:val="0000FF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Cs/>
                <w:sz w:val="28"/>
                <w:szCs w:val="28"/>
              </w:rPr>
              <w:t>定额补助210万元主要用于医院正常运行的医务人员工资补贴。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三、建议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在肯定成绩的同时，也深刻认识到工作中存在的不足。必须深化内部管理，促进改革创新，继续推进公立医院改革，推进全面的预算与成本管理，增收节支。</w:t>
            </w:r>
            <w:r>
              <w:rPr>
                <w:rFonts w:hint="eastAsia" w:ascii="仿宋_GB2312" w:eastAsia="仿宋_GB2312"/>
                <w:sz w:val="28"/>
                <w:szCs w:val="28"/>
              </w:rPr>
              <w:t>202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年医院也将继续实施深化医疗改革、优化医疗资源和方便病人就诊的各种举措，在医院党政领导班子的正确领导下，大家齐心协力、努力工作，将再续医院发展的新篇章。</w:t>
            </w: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</w:p>
        </w:tc>
      </w:tr>
    </w:tbl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pStyle w:val="12"/>
        <w:jc w:val="center"/>
        <w:rPr>
          <w:sz w:val="72"/>
          <w:szCs w:val="72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8E1999"/>
    <w:multiLevelType w:val="singleLevel"/>
    <w:tmpl w:val="C38E199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C818F6"/>
    <w:multiLevelType w:val="singleLevel"/>
    <w:tmpl w:val="60C818F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YyYWQzYWNhMGJlNGVhNmU1MDdiOTI2YTZkZGI1OTUifQ=="/>
  </w:docVars>
  <w:rsids>
    <w:rsidRoot w:val="004506F9"/>
    <w:rsid w:val="0002229B"/>
    <w:rsid w:val="000273BD"/>
    <w:rsid w:val="000415B7"/>
    <w:rsid w:val="00041E3F"/>
    <w:rsid w:val="00055DAA"/>
    <w:rsid w:val="00061F7B"/>
    <w:rsid w:val="000658A3"/>
    <w:rsid w:val="00074155"/>
    <w:rsid w:val="000A3F69"/>
    <w:rsid w:val="000E3EB2"/>
    <w:rsid w:val="00103957"/>
    <w:rsid w:val="00152C6D"/>
    <w:rsid w:val="00162D39"/>
    <w:rsid w:val="001678BD"/>
    <w:rsid w:val="00185DB4"/>
    <w:rsid w:val="001A67DB"/>
    <w:rsid w:val="001C3C29"/>
    <w:rsid w:val="001D4F1A"/>
    <w:rsid w:val="001D51E5"/>
    <w:rsid w:val="001E080D"/>
    <w:rsid w:val="001E53D0"/>
    <w:rsid w:val="001F0C3B"/>
    <w:rsid w:val="00202C82"/>
    <w:rsid w:val="00210B4D"/>
    <w:rsid w:val="00214427"/>
    <w:rsid w:val="00226CB7"/>
    <w:rsid w:val="00264552"/>
    <w:rsid w:val="00264EF9"/>
    <w:rsid w:val="00265724"/>
    <w:rsid w:val="0027426B"/>
    <w:rsid w:val="002D7169"/>
    <w:rsid w:val="002E0A30"/>
    <w:rsid w:val="003130C4"/>
    <w:rsid w:val="00316C4B"/>
    <w:rsid w:val="0032192B"/>
    <w:rsid w:val="003479BD"/>
    <w:rsid w:val="00353197"/>
    <w:rsid w:val="0037197D"/>
    <w:rsid w:val="003768D5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500E5F"/>
    <w:rsid w:val="005122EF"/>
    <w:rsid w:val="0051441A"/>
    <w:rsid w:val="00517C33"/>
    <w:rsid w:val="00523644"/>
    <w:rsid w:val="0054069E"/>
    <w:rsid w:val="00544866"/>
    <w:rsid w:val="00552A5D"/>
    <w:rsid w:val="005767CC"/>
    <w:rsid w:val="00590D9F"/>
    <w:rsid w:val="00595D26"/>
    <w:rsid w:val="005A74E6"/>
    <w:rsid w:val="005B404E"/>
    <w:rsid w:val="005B74B2"/>
    <w:rsid w:val="005D4D55"/>
    <w:rsid w:val="005E2CFB"/>
    <w:rsid w:val="005F3D1C"/>
    <w:rsid w:val="0062378F"/>
    <w:rsid w:val="00641842"/>
    <w:rsid w:val="00651EEC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7006"/>
    <w:rsid w:val="00717621"/>
    <w:rsid w:val="00720FF1"/>
    <w:rsid w:val="00727A53"/>
    <w:rsid w:val="00770C9A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05F0E"/>
    <w:rsid w:val="00D148C6"/>
    <w:rsid w:val="00D17A8A"/>
    <w:rsid w:val="00D415BA"/>
    <w:rsid w:val="00D644EE"/>
    <w:rsid w:val="00DD06FF"/>
    <w:rsid w:val="00DD5FE9"/>
    <w:rsid w:val="00E00C7A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1B75FC1"/>
    <w:rsid w:val="036C0808"/>
    <w:rsid w:val="04DD0D86"/>
    <w:rsid w:val="053813AD"/>
    <w:rsid w:val="05664C61"/>
    <w:rsid w:val="093C3A4A"/>
    <w:rsid w:val="0A0C4A8C"/>
    <w:rsid w:val="0A977388"/>
    <w:rsid w:val="0A9F14A8"/>
    <w:rsid w:val="0AB16FE0"/>
    <w:rsid w:val="0B293291"/>
    <w:rsid w:val="0BAF3205"/>
    <w:rsid w:val="0BEB7CE4"/>
    <w:rsid w:val="0C0052E4"/>
    <w:rsid w:val="0C0F246E"/>
    <w:rsid w:val="0C2B09D3"/>
    <w:rsid w:val="0CFE31E3"/>
    <w:rsid w:val="0D7A6F9C"/>
    <w:rsid w:val="0EB77D21"/>
    <w:rsid w:val="0F2F3829"/>
    <w:rsid w:val="0F597156"/>
    <w:rsid w:val="0FDB777F"/>
    <w:rsid w:val="10607A46"/>
    <w:rsid w:val="108C5B73"/>
    <w:rsid w:val="10A97065"/>
    <w:rsid w:val="111571AF"/>
    <w:rsid w:val="12546CD8"/>
    <w:rsid w:val="12EA74E0"/>
    <w:rsid w:val="1320686D"/>
    <w:rsid w:val="138008BB"/>
    <w:rsid w:val="14CD240B"/>
    <w:rsid w:val="159B4880"/>
    <w:rsid w:val="15D942D4"/>
    <w:rsid w:val="15F9221C"/>
    <w:rsid w:val="162076FF"/>
    <w:rsid w:val="16821354"/>
    <w:rsid w:val="17423915"/>
    <w:rsid w:val="181400A3"/>
    <w:rsid w:val="181830FB"/>
    <w:rsid w:val="18301E86"/>
    <w:rsid w:val="1874090F"/>
    <w:rsid w:val="187915AF"/>
    <w:rsid w:val="18940D83"/>
    <w:rsid w:val="18AD06C2"/>
    <w:rsid w:val="18BD57C2"/>
    <w:rsid w:val="18DF0FDC"/>
    <w:rsid w:val="18F07F79"/>
    <w:rsid w:val="190C439D"/>
    <w:rsid w:val="19310A0D"/>
    <w:rsid w:val="19385E8C"/>
    <w:rsid w:val="19A63526"/>
    <w:rsid w:val="1A2D0A58"/>
    <w:rsid w:val="1A841F40"/>
    <w:rsid w:val="1B636B19"/>
    <w:rsid w:val="1B726E12"/>
    <w:rsid w:val="1C2D785A"/>
    <w:rsid w:val="1CE32BDA"/>
    <w:rsid w:val="1E7B4050"/>
    <w:rsid w:val="1EA23F07"/>
    <w:rsid w:val="1EAA7490"/>
    <w:rsid w:val="1F8F1465"/>
    <w:rsid w:val="20626AA3"/>
    <w:rsid w:val="20A960BB"/>
    <w:rsid w:val="21547705"/>
    <w:rsid w:val="21D11300"/>
    <w:rsid w:val="229A2ADE"/>
    <w:rsid w:val="23D60A9F"/>
    <w:rsid w:val="252B2924"/>
    <w:rsid w:val="255A2E37"/>
    <w:rsid w:val="25F409E7"/>
    <w:rsid w:val="2680057A"/>
    <w:rsid w:val="27365A04"/>
    <w:rsid w:val="2A6945D3"/>
    <w:rsid w:val="2AEB308E"/>
    <w:rsid w:val="2AF1798F"/>
    <w:rsid w:val="2B846A0F"/>
    <w:rsid w:val="2BFD0B41"/>
    <w:rsid w:val="2C401F0E"/>
    <w:rsid w:val="2C5159C9"/>
    <w:rsid w:val="2D1C47CF"/>
    <w:rsid w:val="2D9D32D5"/>
    <w:rsid w:val="2E592C97"/>
    <w:rsid w:val="2EA21BC3"/>
    <w:rsid w:val="2F857E08"/>
    <w:rsid w:val="30BC170B"/>
    <w:rsid w:val="326F6AEA"/>
    <w:rsid w:val="33195EB0"/>
    <w:rsid w:val="33A2416D"/>
    <w:rsid w:val="346F018A"/>
    <w:rsid w:val="34EB080D"/>
    <w:rsid w:val="35775945"/>
    <w:rsid w:val="357C5915"/>
    <w:rsid w:val="3697789F"/>
    <w:rsid w:val="37385D1C"/>
    <w:rsid w:val="38421DC6"/>
    <w:rsid w:val="387905A9"/>
    <w:rsid w:val="39DD6A85"/>
    <w:rsid w:val="3A582BE0"/>
    <w:rsid w:val="3ACA3041"/>
    <w:rsid w:val="3B0C247F"/>
    <w:rsid w:val="3BBE7890"/>
    <w:rsid w:val="3BEE0DE7"/>
    <w:rsid w:val="3C0454EB"/>
    <w:rsid w:val="3C982C9A"/>
    <w:rsid w:val="3D2B52C3"/>
    <w:rsid w:val="3E4D4F5A"/>
    <w:rsid w:val="3FBE6054"/>
    <w:rsid w:val="40B91B9C"/>
    <w:rsid w:val="410B3F5E"/>
    <w:rsid w:val="411924B2"/>
    <w:rsid w:val="42617F4D"/>
    <w:rsid w:val="42BC4AC7"/>
    <w:rsid w:val="42F8159F"/>
    <w:rsid w:val="44DA5825"/>
    <w:rsid w:val="45176092"/>
    <w:rsid w:val="4550494C"/>
    <w:rsid w:val="457E5FC7"/>
    <w:rsid w:val="459D1F38"/>
    <w:rsid w:val="45B06DAB"/>
    <w:rsid w:val="45FB7C5C"/>
    <w:rsid w:val="46283D30"/>
    <w:rsid w:val="4633230A"/>
    <w:rsid w:val="46F838E1"/>
    <w:rsid w:val="477855CE"/>
    <w:rsid w:val="478D6352"/>
    <w:rsid w:val="47F13267"/>
    <w:rsid w:val="48545552"/>
    <w:rsid w:val="4D3C169B"/>
    <w:rsid w:val="501374BB"/>
    <w:rsid w:val="50A42BAF"/>
    <w:rsid w:val="511176DF"/>
    <w:rsid w:val="519307F0"/>
    <w:rsid w:val="51AA71F4"/>
    <w:rsid w:val="51CE714C"/>
    <w:rsid w:val="51FD6E5C"/>
    <w:rsid w:val="5218389F"/>
    <w:rsid w:val="524E7BAA"/>
    <w:rsid w:val="5270169A"/>
    <w:rsid w:val="52E65000"/>
    <w:rsid w:val="52FF573F"/>
    <w:rsid w:val="530D51F5"/>
    <w:rsid w:val="53190771"/>
    <w:rsid w:val="539E1A73"/>
    <w:rsid w:val="542C2EC3"/>
    <w:rsid w:val="56877177"/>
    <w:rsid w:val="56E33FE7"/>
    <w:rsid w:val="57FA68FC"/>
    <w:rsid w:val="581F224B"/>
    <w:rsid w:val="597E76B9"/>
    <w:rsid w:val="59C361BE"/>
    <w:rsid w:val="5A9002D2"/>
    <w:rsid w:val="5AD22D56"/>
    <w:rsid w:val="5CF1156F"/>
    <w:rsid w:val="5D3614A9"/>
    <w:rsid w:val="5D741C0E"/>
    <w:rsid w:val="5E433296"/>
    <w:rsid w:val="5EBD7573"/>
    <w:rsid w:val="5FA14651"/>
    <w:rsid w:val="5FA67BB5"/>
    <w:rsid w:val="5FD945E0"/>
    <w:rsid w:val="60680E0F"/>
    <w:rsid w:val="607E2A63"/>
    <w:rsid w:val="60D52759"/>
    <w:rsid w:val="60F34AC6"/>
    <w:rsid w:val="61153C27"/>
    <w:rsid w:val="614F6B19"/>
    <w:rsid w:val="61B169B0"/>
    <w:rsid w:val="623A1517"/>
    <w:rsid w:val="623D0796"/>
    <w:rsid w:val="62BA0B40"/>
    <w:rsid w:val="62F0532B"/>
    <w:rsid w:val="62F51A4E"/>
    <w:rsid w:val="62FC7825"/>
    <w:rsid w:val="631F5B2D"/>
    <w:rsid w:val="63B51B37"/>
    <w:rsid w:val="658E0CDC"/>
    <w:rsid w:val="66071CDB"/>
    <w:rsid w:val="66612346"/>
    <w:rsid w:val="66950C6D"/>
    <w:rsid w:val="66E46B0C"/>
    <w:rsid w:val="68D839BA"/>
    <w:rsid w:val="690416D7"/>
    <w:rsid w:val="691377AF"/>
    <w:rsid w:val="69E4670B"/>
    <w:rsid w:val="6AB1060F"/>
    <w:rsid w:val="6B174E72"/>
    <w:rsid w:val="6B270B80"/>
    <w:rsid w:val="6C9F5A46"/>
    <w:rsid w:val="6D702F07"/>
    <w:rsid w:val="6D7C753E"/>
    <w:rsid w:val="6E467689"/>
    <w:rsid w:val="6F780AC3"/>
    <w:rsid w:val="700A3445"/>
    <w:rsid w:val="705C438A"/>
    <w:rsid w:val="710C71F3"/>
    <w:rsid w:val="71161472"/>
    <w:rsid w:val="71B41FD0"/>
    <w:rsid w:val="71C74C9F"/>
    <w:rsid w:val="72242ECC"/>
    <w:rsid w:val="726C502F"/>
    <w:rsid w:val="73481B52"/>
    <w:rsid w:val="734A2F63"/>
    <w:rsid w:val="73521EDC"/>
    <w:rsid w:val="73903C4C"/>
    <w:rsid w:val="7392164A"/>
    <w:rsid w:val="73EA3FA8"/>
    <w:rsid w:val="74051864"/>
    <w:rsid w:val="74D21819"/>
    <w:rsid w:val="74DE1384"/>
    <w:rsid w:val="74EE261E"/>
    <w:rsid w:val="75C31803"/>
    <w:rsid w:val="75C675F4"/>
    <w:rsid w:val="765D0091"/>
    <w:rsid w:val="76D34838"/>
    <w:rsid w:val="76FB6F54"/>
    <w:rsid w:val="785F3E75"/>
    <w:rsid w:val="78C0497D"/>
    <w:rsid w:val="79137313"/>
    <w:rsid w:val="79AA5BD3"/>
    <w:rsid w:val="7A361478"/>
    <w:rsid w:val="7A6974E0"/>
    <w:rsid w:val="7AE43D51"/>
    <w:rsid w:val="7BA13485"/>
    <w:rsid w:val="7C2A127E"/>
    <w:rsid w:val="7C3A4185"/>
    <w:rsid w:val="7D6F3375"/>
    <w:rsid w:val="7E897698"/>
    <w:rsid w:val="7EDC17BA"/>
    <w:rsid w:val="7F271FA7"/>
    <w:rsid w:val="7F4B1136"/>
    <w:rsid w:val="7F59562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3">
    <w:name w:val="endnote text"/>
    <w:basedOn w:val="1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10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qFormat/>
    <w:uiPriority w:val="99"/>
    <w:rPr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783442-B9FC-476F-83C9-27EA0B9F67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6083</Words>
  <Characters>6583</Characters>
  <Lines>63</Lines>
  <Paragraphs>17</Paragraphs>
  <ScaleCrop>false</ScaleCrop>
  <LinksUpToDate>false</LinksUpToDate>
  <CharactersWithSpaces>7119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2021-09-08T01:50:00Z</dcterms:created>
  <dc:creator>李航 null</dc:creator>
  <cp:lastModifiedBy>Administrator</cp:lastModifiedBy>
  <cp:lastPrinted>2021-07-28T00:12:00Z</cp:lastPrinted>
  <dcterms:modified xsi:type="dcterms:W3CDTF">2023-09-26T08:05:04Z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1519D14FF4DA45AC90F71AFFA1A449E4</vt:lpwstr>
  </property>
</Properties>
</file>