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p>
    <w:p>
      <w:pPr>
        <w:spacing w:line="348" w:lineRule="auto"/>
        <w:rPr>
          <w:rFonts w:hint="eastAsia" w:ascii="黑体" w:hAnsi="黑体"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sym w:font="Wingdings 2" w:char="0052"/>
      </w:r>
      <w:r>
        <w:rPr>
          <w:rFonts w:hint="eastAsia" w:eastAsia="仿宋_GB2312"/>
          <w:sz w:val="32"/>
          <w:szCs w:val="32"/>
        </w:rPr>
        <w:t xml:space="preserve">   项目完成结果评价</w:t>
      </w:r>
      <w:r>
        <w:rPr>
          <w:rFonts w:hint="eastAsia" w:eastAsia="仿宋_GB2312"/>
          <w:sz w:val="32"/>
          <w:szCs w:val="32"/>
        </w:rPr>
        <w:sym w:font="Wingdings 2" w:char="00A3"/>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0"/>
          <w:szCs w:val="30"/>
          <w:u w:val="single"/>
          <w:lang w:val="en-US" w:eastAsia="zh-CN"/>
        </w:rPr>
        <w:t>2021年度铁山水库供水渠道运行维护项目群工程</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岳阳市铁山供水工程事务中心</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岳阳市水利局</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bookmarkStart w:id="0" w:name="_GoBack"/>
      <w:bookmarkEnd w:id="0"/>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2021 </w:t>
      </w:r>
      <w:r>
        <w:rPr>
          <w:rFonts w:hint="eastAsia" w:eastAsia="仿宋_GB2312"/>
          <w:sz w:val="32"/>
        </w:rPr>
        <w:t>年</w:t>
      </w:r>
      <w:r>
        <w:rPr>
          <w:rFonts w:hint="eastAsia" w:eastAsia="仿宋_GB2312"/>
          <w:sz w:val="32"/>
          <w:lang w:val="en-US" w:eastAsia="zh-CN"/>
        </w:rPr>
        <w:t>12</w:t>
      </w:r>
      <w:r>
        <w:rPr>
          <w:rFonts w:hint="eastAsia" w:eastAsia="仿宋_GB2312"/>
          <w:sz w:val="32"/>
        </w:rPr>
        <w:t>月</w:t>
      </w:r>
      <w:r>
        <w:rPr>
          <w:rFonts w:hint="eastAsia" w:eastAsia="仿宋_GB2312"/>
          <w:sz w:val="32"/>
          <w:lang w:val="en-US" w:eastAsia="zh-CN"/>
        </w:rPr>
        <w:t>31</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602"/>
        <w:gridCol w:w="1613"/>
        <w:gridCol w:w="306"/>
        <w:gridCol w:w="413"/>
        <w:gridCol w:w="307"/>
        <w:gridCol w:w="609"/>
        <w:gridCol w:w="738"/>
        <w:gridCol w:w="409"/>
        <w:gridCol w:w="608"/>
        <w:gridCol w:w="60"/>
        <w:gridCol w:w="156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default" w:eastAsia="仿宋_GB2312"/>
                <w:sz w:val="24"/>
                <w:lang w:val="en-US" w:eastAsia="zh-CN"/>
              </w:rPr>
            </w:pPr>
            <w:r>
              <w:rPr>
                <w:rFonts w:hint="eastAsia" w:eastAsia="仿宋_GB2312"/>
                <w:sz w:val="24"/>
                <w:lang w:val="en-US" w:eastAsia="zh-CN"/>
              </w:rPr>
              <w:t>胡世忠</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eastAsia="仿宋_GB2312"/>
                <w:sz w:val="24"/>
              </w:rPr>
            </w:pPr>
            <w:r>
              <w:rPr>
                <w:rFonts w:ascii="宋体" w:hAnsi="宋体"/>
                <w:kern w:val="0"/>
                <w:sz w:val="24"/>
              </w:rPr>
              <w:t>13908400396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hint="default" w:eastAsia="仿宋_GB2312"/>
                <w:sz w:val="24"/>
                <w:lang w:val="en-US" w:eastAsia="zh-CN"/>
              </w:rPr>
            </w:pPr>
            <w:r>
              <w:rPr>
                <w:rFonts w:hint="eastAsia" w:eastAsia="仿宋_GB2312"/>
                <w:sz w:val="24"/>
                <w:lang w:val="en-US" w:eastAsia="zh-CN"/>
              </w:rPr>
              <w:t>岳阳市岳阳县公田镇</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ascii="宋体" w:hAnsi="宋体"/>
                <w:kern w:val="0"/>
                <w:sz w:val="24"/>
                <w:lang w:val="en-US" w:eastAsia="zh-CN"/>
              </w:rPr>
              <w:t>414114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hint="default" w:eastAsia="宋体"/>
                <w:sz w:val="24"/>
                <w:lang w:val="en-US" w:eastAsia="zh-CN"/>
              </w:rPr>
            </w:pPr>
            <w:r>
              <w:rPr>
                <w:rFonts w:ascii="宋体" w:hAnsi="宋体"/>
                <w:kern w:val="0"/>
                <w:sz w:val="24"/>
              </w:rPr>
              <w:t>2021.1.1</w:t>
            </w:r>
            <w:r>
              <w:rPr>
                <w:rFonts w:hint="eastAsia" w:ascii="宋体" w:hAnsi="宋体"/>
                <w:kern w:val="0"/>
                <w:sz w:val="24"/>
                <w:lang w:val="en-US" w:eastAsia="zh-CN"/>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602"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300</w:t>
            </w:r>
          </w:p>
        </w:tc>
        <w:tc>
          <w:tcPr>
            <w:tcW w:w="1919"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w w:val="90"/>
                <w:sz w:val="24"/>
                <w:lang w:val="en-US" w:eastAsia="zh-CN"/>
              </w:rPr>
            </w:pPr>
            <w:r>
              <w:rPr>
                <w:rFonts w:hint="eastAsia" w:eastAsia="仿宋_GB2312"/>
                <w:w w:val="90"/>
                <w:sz w:val="24"/>
                <w:lang w:val="en-US" w:eastAsia="zh-CN"/>
              </w:rPr>
              <w:t>300</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8" w:type="dxa"/>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spacing w:val="-20"/>
                <w:w w:val="90"/>
                <w:sz w:val="24"/>
                <w:lang w:val="en-US" w:eastAsia="zh-CN"/>
              </w:rPr>
              <w:t>300</w:t>
            </w:r>
          </w:p>
        </w:tc>
        <w:tc>
          <w:tcPr>
            <w:tcW w:w="1620"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602" w:type="dxa"/>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919"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8" w:type="dxa"/>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620"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8"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02"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300</w:t>
            </w:r>
          </w:p>
        </w:tc>
        <w:tc>
          <w:tcPr>
            <w:tcW w:w="1919"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300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8"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300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8"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8"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613"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3450" w:type="dxa"/>
            <w:gridSpan w:val="8"/>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256" w:type="dxa"/>
            <w:gridSpan w:val="2"/>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63" w:type="dxa"/>
            <w:gridSpan w:val="3"/>
            <w:tcBorders>
              <w:bottom w:val="single" w:color="auto" w:sz="4" w:space="0"/>
            </w:tcBorders>
            <w:vAlign w:val="center"/>
          </w:tcPr>
          <w:p>
            <w:pPr>
              <w:jc w:val="center"/>
              <w:rPr>
                <w:rFonts w:eastAsia="仿宋_GB2312"/>
                <w:sz w:val="24"/>
              </w:rPr>
            </w:pPr>
            <w:r>
              <w:rPr>
                <w:rFonts w:ascii="宋体" w:hAnsi="宋体"/>
                <w:kern w:val="0"/>
                <w:sz w:val="24"/>
              </w:rPr>
              <w:t>1.</w:t>
            </w:r>
            <w:r>
              <w:rPr>
                <w:rFonts w:hint="eastAsia" w:ascii="宋体" w:hAnsi="宋体"/>
                <w:kern w:val="0"/>
                <w:sz w:val="24"/>
              </w:rPr>
              <w:t>渠道日常维护</w:t>
            </w:r>
          </w:p>
        </w:tc>
        <w:tc>
          <w:tcPr>
            <w:tcW w:w="1613"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61.94万</w:t>
            </w:r>
          </w:p>
        </w:tc>
        <w:tc>
          <w:tcPr>
            <w:tcW w:w="3450" w:type="dxa"/>
            <w:gridSpan w:val="8"/>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2月50#</w:t>
            </w: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ind w:firstLine="240" w:firstLineChars="100"/>
              <w:jc w:val="both"/>
              <w:rPr>
                <w:rFonts w:hint="default" w:eastAsia="仿宋_GB2312"/>
                <w:sz w:val="24"/>
                <w:lang w:val="en-US" w:eastAsia="zh-CN"/>
              </w:rPr>
            </w:pPr>
            <w:r>
              <w:rPr>
                <w:rFonts w:ascii="宋体" w:hAnsi="宋体"/>
                <w:kern w:val="0"/>
                <w:sz w:val="24"/>
              </w:rPr>
              <w:t>2.</w:t>
            </w:r>
            <w:r>
              <w:rPr>
                <w:rFonts w:hint="eastAsia" w:ascii="宋体" w:hAnsi="宋体"/>
                <w:kern w:val="0"/>
                <w:sz w:val="24"/>
              </w:rPr>
              <w:t>除险加固</w:t>
            </w:r>
          </w:p>
        </w:tc>
        <w:tc>
          <w:tcPr>
            <w:tcW w:w="1613"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119.23万</w:t>
            </w:r>
          </w:p>
        </w:tc>
        <w:tc>
          <w:tcPr>
            <w:tcW w:w="3450" w:type="dxa"/>
            <w:gridSpan w:val="8"/>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9月2#</w:t>
            </w: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ind w:firstLine="240" w:firstLineChars="100"/>
              <w:jc w:val="both"/>
              <w:rPr>
                <w:rFonts w:eastAsia="仿宋_GB2312"/>
                <w:sz w:val="24"/>
              </w:rPr>
            </w:pPr>
            <w:r>
              <w:rPr>
                <w:rFonts w:ascii="宋体" w:hAnsi="宋体"/>
                <w:kern w:val="0"/>
                <w:sz w:val="24"/>
              </w:rPr>
              <w:t>3.</w:t>
            </w:r>
            <w:r>
              <w:rPr>
                <w:rFonts w:hint="eastAsia" w:ascii="宋体" w:hAnsi="宋体"/>
                <w:kern w:val="0"/>
                <w:sz w:val="24"/>
              </w:rPr>
              <w:t>应急处险</w:t>
            </w:r>
          </w:p>
        </w:tc>
        <w:tc>
          <w:tcPr>
            <w:tcW w:w="1613"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 xml:space="preserve"> 118.83万</w:t>
            </w:r>
          </w:p>
        </w:tc>
        <w:tc>
          <w:tcPr>
            <w:tcW w:w="3450" w:type="dxa"/>
            <w:gridSpan w:val="8"/>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12月3#</w:t>
            </w: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613" w:type="dxa"/>
            <w:tcBorders>
              <w:bottom w:val="single" w:color="auto" w:sz="4" w:space="0"/>
            </w:tcBorders>
            <w:vAlign w:val="center"/>
          </w:tcPr>
          <w:p>
            <w:pPr>
              <w:jc w:val="center"/>
              <w:rPr>
                <w:rFonts w:eastAsia="仿宋_GB2312"/>
                <w:sz w:val="24"/>
              </w:rPr>
            </w:pPr>
          </w:p>
        </w:tc>
        <w:tc>
          <w:tcPr>
            <w:tcW w:w="3450"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613" w:type="dxa"/>
            <w:tcBorders>
              <w:bottom w:val="single" w:color="auto" w:sz="4" w:space="0"/>
            </w:tcBorders>
            <w:vAlign w:val="center"/>
          </w:tcPr>
          <w:p>
            <w:pPr>
              <w:jc w:val="center"/>
              <w:rPr>
                <w:rFonts w:eastAsia="仿宋_GB2312"/>
                <w:sz w:val="24"/>
              </w:rPr>
            </w:pPr>
          </w:p>
        </w:tc>
        <w:tc>
          <w:tcPr>
            <w:tcW w:w="3450"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613" w:type="dxa"/>
            <w:tcBorders>
              <w:bottom w:val="single" w:color="auto" w:sz="4" w:space="0"/>
            </w:tcBorders>
            <w:vAlign w:val="center"/>
          </w:tcPr>
          <w:p>
            <w:pPr>
              <w:jc w:val="center"/>
              <w:rPr>
                <w:rFonts w:eastAsia="仿宋_GB2312"/>
                <w:sz w:val="24"/>
              </w:rPr>
            </w:pPr>
          </w:p>
        </w:tc>
        <w:tc>
          <w:tcPr>
            <w:tcW w:w="3450"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613" w:type="dxa"/>
            <w:tcBorders>
              <w:bottom w:val="single" w:color="auto" w:sz="4" w:space="0"/>
            </w:tcBorders>
            <w:vAlign w:val="center"/>
          </w:tcPr>
          <w:p>
            <w:pPr>
              <w:jc w:val="center"/>
              <w:rPr>
                <w:rFonts w:eastAsia="仿宋_GB2312"/>
                <w:sz w:val="24"/>
              </w:rPr>
            </w:pPr>
          </w:p>
        </w:tc>
        <w:tc>
          <w:tcPr>
            <w:tcW w:w="3450"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613" w:type="dxa"/>
            <w:tcBorders>
              <w:bottom w:val="single" w:color="auto" w:sz="4" w:space="0"/>
            </w:tcBorders>
            <w:vAlign w:val="center"/>
          </w:tcPr>
          <w:p>
            <w:pPr>
              <w:jc w:val="center"/>
              <w:rPr>
                <w:rFonts w:hint="default" w:eastAsia="仿宋_GB2312"/>
                <w:b/>
                <w:sz w:val="24"/>
                <w:lang w:val="en-US"/>
              </w:rPr>
            </w:pPr>
            <w:r>
              <w:rPr>
                <w:rFonts w:hint="eastAsia" w:eastAsia="仿宋_GB2312"/>
                <w:sz w:val="24"/>
                <w:lang w:val="en-US" w:eastAsia="zh-CN"/>
              </w:rPr>
              <w:t>300万</w:t>
            </w:r>
          </w:p>
        </w:tc>
        <w:tc>
          <w:tcPr>
            <w:tcW w:w="3450" w:type="dxa"/>
            <w:gridSpan w:val="8"/>
            <w:tcBorders>
              <w:bottom w:val="single" w:color="auto" w:sz="4" w:space="0"/>
            </w:tcBorders>
            <w:vAlign w:val="center"/>
          </w:tcPr>
          <w:p>
            <w:pPr>
              <w:jc w:val="center"/>
              <w:rPr>
                <w:rFonts w:eastAsia="仿宋_GB2312"/>
                <w:b/>
                <w:sz w:val="24"/>
              </w:rPr>
            </w:pPr>
          </w:p>
        </w:tc>
        <w:tc>
          <w:tcPr>
            <w:tcW w:w="225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854" w:type="dxa"/>
            <w:gridSpan w:val="11"/>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256"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854" w:type="dxa"/>
            <w:gridSpan w:val="11"/>
            <w:tcBorders>
              <w:bottom w:val="single" w:color="auto" w:sz="4" w:space="0"/>
            </w:tcBorders>
            <w:vAlign w:val="center"/>
          </w:tcPr>
          <w:p>
            <w:pPr>
              <w:spacing w:line="240" w:lineRule="exact"/>
              <w:jc w:val="left"/>
              <w:rPr>
                <w:rFonts w:eastAsia="仿宋_GB2312"/>
                <w:b/>
                <w:sz w:val="24"/>
              </w:rPr>
            </w:pPr>
            <w:r>
              <w:rPr>
                <w:rFonts w:hint="eastAsia" w:ascii="仿宋_GB2312" w:hAnsi="仿宋_GB2312" w:eastAsia="仿宋_GB2312" w:cs="仿宋_GB2312"/>
                <w:kern w:val="0"/>
                <w:sz w:val="24"/>
              </w:rPr>
              <w:t>1.农田灌溉水有效利用系数得到提升</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2.提升输水能力缩短放水时间</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3.达到节水灌溉目标</w:t>
            </w:r>
          </w:p>
        </w:tc>
        <w:tc>
          <w:tcPr>
            <w:tcW w:w="2256" w:type="dxa"/>
            <w:gridSpan w:val="2"/>
            <w:tcBorders>
              <w:bottom w:val="single" w:color="auto" w:sz="4" w:space="0"/>
            </w:tcBorders>
            <w:vAlign w:val="center"/>
          </w:tcPr>
          <w:p>
            <w:pPr>
              <w:widowControl/>
              <w:spacing w:line="240" w:lineRule="exact"/>
              <w:jc w:val="left"/>
              <w:rPr>
                <w:rFonts w:ascii="宋体" w:hAnsi="宋体" w:eastAsia="宋体" w:cs="Times New Roman"/>
                <w:kern w:val="2"/>
                <w:sz w:val="15"/>
                <w:szCs w:val="15"/>
                <w:lang w:val="en-US" w:eastAsia="zh-CN" w:bidi="ar-SA"/>
              </w:rPr>
            </w:pPr>
            <w:r>
              <w:rPr>
                <w:rFonts w:hint="eastAsia" w:ascii="仿宋_GB2312" w:hAnsi="仿宋_GB2312" w:eastAsia="仿宋_GB2312" w:cs="仿宋_GB2312"/>
                <w:kern w:val="0"/>
                <w:sz w:val="24"/>
              </w:rPr>
              <w:t>完成北总干处险13处，南总干渠处险7处、跌水5处，完成两座水库、四条渠道、三条管线的日常维修养护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791" w:type="dxa"/>
            <w:gridSpan w:val="2"/>
            <w:vAlign w:val="center"/>
          </w:tcPr>
          <w:p>
            <w:pPr>
              <w:jc w:val="center"/>
              <w:rPr>
                <w:rFonts w:eastAsia="仿宋_GB2312"/>
                <w:sz w:val="24"/>
              </w:rPr>
            </w:pPr>
            <w:r>
              <w:rPr>
                <w:rFonts w:hint="eastAsia" w:eastAsia="仿宋_GB2312"/>
                <w:sz w:val="24"/>
              </w:rPr>
              <w:t>一级指标</w:t>
            </w:r>
          </w:p>
        </w:tc>
        <w:tc>
          <w:tcPr>
            <w:tcW w:w="1613"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63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81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256" w:type="dxa"/>
            <w:gridSpan w:val="2"/>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项目产出指标</w:t>
            </w:r>
          </w:p>
        </w:tc>
        <w:tc>
          <w:tcPr>
            <w:tcW w:w="1613" w:type="dxa"/>
            <w:vAlign w:val="center"/>
          </w:tcPr>
          <w:p>
            <w:pPr>
              <w:spacing w:line="360" w:lineRule="exact"/>
              <w:jc w:val="center"/>
              <w:rPr>
                <w:rFonts w:eastAsia="仿宋_GB2312"/>
                <w:sz w:val="24"/>
              </w:rPr>
            </w:pPr>
            <w:r>
              <w:rPr>
                <w:rFonts w:hint="eastAsia" w:eastAsia="仿宋_GB2312"/>
                <w:sz w:val="24"/>
              </w:rPr>
              <w:t>数量指标</w:t>
            </w:r>
          </w:p>
        </w:tc>
        <w:tc>
          <w:tcPr>
            <w:tcW w:w="1635" w:type="dxa"/>
            <w:gridSpan w:val="4"/>
            <w:tcBorders>
              <w:bottom w:val="single" w:color="auto" w:sz="4" w:space="0"/>
            </w:tcBorders>
            <w:vAlign w:val="center"/>
          </w:tcPr>
          <w:p>
            <w:pPr>
              <w:spacing w:line="3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15"/>
                <w:szCs w:val="15"/>
              </w:rPr>
              <w:t>项目工程量完成率</w:t>
            </w:r>
          </w:p>
        </w:tc>
        <w:tc>
          <w:tcPr>
            <w:tcW w:w="1815" w:type="dxa"/>
            <w:gridSpan w:val="4"/>
            <w:tcBorders>
              <w:bottom w:val="single" w:color="auto" w:sz="4" w:space="0"/>
            </w:tcBorders>
            <w:vAlign w:val="center"/>
          </w:tcPr>
          <w:p>
            <w:pPr>
              <w:widowControl/>
              <w:spacing w:line="240" w:lineRule="exact"/>
              <w:jc w:val="left"/>
              <w:rPr>
                <w:rFonts w:hint="eastAsia" w:ascii="仿宋_GB2312" w:hAnsi="仿宋_GB2312" w:eastAsia="仿宋_GB2312" w:cs="仿宋_GB2312"/>
                <w:kern w:val="2"/>
                <w:sz w:val="15"/>
                <w:szCs w:val="15"/>
                <w:lang w:val="en-US" w:eastAsia="zh-CN" w:bidi="ar-SA"/>
              </w:rPr>
            </w:pPr>
            <w:r>
              <w:rPr>
                <w:rFonts w:hint="eastAsia" w:ascii="仿宋_GB2312" w:hAnsi="仿宋_GB2312" w:eastAsia="仿宋_GB2312" w:cs="仿宋_GB2312"/>
                <w:sz w:val="15"/>
                <w:szCs w:val="15"/>
              </w:rPr>
              <w:t xml:space="preserve"> 完成北总干处险13处，南总干渠处险7处、跌水5处，完成两座水库、四条渠道、三条管线的日常维修养护</w:t>
            </w:r>
          </w:p>
        </w:tc>
        <w:tc>
          <w:tcPr>
            <w:tcW w:w="2256" w:type="dxa"/>
            <w:gridSpan w:val="2"/>
            <w:tcBorders>
              <w:bottom w:val="single" w:color="auto" w:sz="4" w:space="0"/>
            </w:tcBorders>
            <w:vAlign w:val="center"/>
          </w:tcPr>
          <w:p>
            <w:pPr>
              <w:widowControl/>
              <w:spacing w:line="240" w:lineRule="exact"/>
              <w:ind w:firstLine="900" w:firstLineChars="600"/>
              <w:jc w:val="left"/>
              <w:rPr>
                <w:rFonts w:hint="default" w:ascii="宋体" w:hAnsi="宋体" w:eastAsia="宋体" w:cs="Times New Roman"/>
                <w:kern w:val="2"/>
                <w:sz w:val="15"/>
                <w:szCs w:val="15"/>
                <w:lang w:val="en-US" w:eastAsia="zh-CN" w:bidi="ar-SA"/>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635"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rPr>
            </w:pPr>
            <w:r>
              <w:rPr>
                <w:rFonts w:hint="eastAsia" w:ascii="仿宋_GB2312" w:hAnsi="仿宋_GB2312" w:eastAsia="仿宋_GB2312" w:cs="仿宋_GB2312"/>
                <w:sz w:val="15"/>
                <w:szCs w:val="15"/>
              </w:rPr>
              <w:t>质量合格率</w:t>
            </w:r>
          </w:p>
        </w:tc>
        <w:tc>
          <w:tcPr>
            <w:tcW w:w="1815" w:type="dxa"/>
            <w:gridSpan w:val="4"/>
            <w:tcBorders>
              <w:bottom w:val="single" w:color="auto" w:sz="4" w:space="0"/>
            </w:tcBorders>
            <w:vAlign w:val="center"/>
          </w:tcPr>
          <w:p>
            <w:pPr>
              <w:jc w:val="both"/>
              <w:rPr>
                <w:rFonts w:hint="eastAsia" w:ascii="仿宋_GB2312" w:hAnsi="仿宋_GB2312" w:eastAsia="仿宋_GB2312" w:cs="仿宋_GB2312"/>
                <w:sz w:val="24"/>
              </w:rPr>
            </w:pPr>
            <w:r>
              <w:rPr>
                <w:rFonts w:hint="eastAsia" w:ascii="仿宋_GB2312" w:hAnsi="仿宋_GB2312" w:eastAsia="仿宋_GB2312" w:cs="仿宋_GB2312"/>
                <w:sz w:val="15"/>
                <w:szCs w:val="15"/>
              </w:rPr>
              <w:t xml:space="preserve"> 质量合格率100%</w:t>
            </w:r>
          </w:p>
        </w:tc>
        <w:tc>
          <w:tcPr>
            <w:tcW w:w="2256" w:type="dxa"/>
            <w:gridSpan w:val="2"/>
            <w:tcBorders>
              <w:bottom w:val="single" w:color="auto" w:sz="4" w:space="0"/>
            </w:tcBorders>
            <w:vAlign w:val="center"/>
          </w:tcPr>
          <w:p>
            <w:pPr>
              <w:jc w:val="center"/>
              <w:rPr>
                <w:rFonts w:eastAsia="仿宋_GB2312"/>
                <w:sz w:val="24"/>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Merge w:val="continue"/>
            <w:vAlign w:val="center"/>
          </w:tcPr>
          <w:p>
            <w:pPr>
              <w:spacing w:line="360" w:lineRule="exact"/>
              <w:jc w:val="center"/>
              <w:rPr>
                <w:rFonts w:eastAsia="仿宋_GB2312"/>
                <w:sz w:val="24"/>
              </w:rPr>
            </w:pPr>
          </w:p>
        </w:tc>
        <w:tc>
          <w:tcPr>
            <w:tcW w:w="1635"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rPr>
            </w:pPr>
            <w:r>
              <w:rPr>
                <w:rFonts w:hint="eastAsia" w:ascii="仿宋_GB2312" w:hAnsi="仿宋_GB2312" w:eastAsia="仿宋_GB2312" w:cs="仿宋_GB2312"/>
                <w:sz w:val="15"/>
                <w:szCs w:val="15"/>
              </w:rPr>
              <w:t>工程验收合格率</w:t>
            </w:r>
          </w:p>
        </w:tc>
        <w:tc>
          <w:tcPr>
            <w:tcW w:w="1815" w:type="dxa"/>
            <w:gridSpan w:val="4"/>
            <w:tcBorders>
              <w:bottom w:val="single" w:color="auto" w:sz="4" w:space="0"/>
            </w:tcBorders>
            <w:vAlign w:val="center"/>
          </w:tcPr>
          <w:p>
            <w:pPr>
              <w:jc w:val="both"/>
              <w:rPr>
                <w:rFonts w:hint="eastAsia" w:ascii="仿宋_GB2312" w:hAnsi="仿宋_GB2312" w:eastAsia="仿宋_GB2312" w:cs="仿宋_GB2312"/>
                <w:sz w:val="24"/>
              </w:rPr>
            </w:pPr>
            <w:r>
              <w:rPr>
                <w:rFonts w:hint="eastAsia" w:ascii="仿宋_GB2312" w:hAnsi="仿宋_GB2312" w:eastAsia="仿宋_GB2312" w:cs="仿宋_GB2312"/>
                <w:sz w:val="15"/>
                <w:szCs w:val="15"/>
              </w:rPr>
              <w:t xml:space="preserve"> 工程验收合格率100%</w:t>
            </w:r>
          </w:p>
        </w:tc>
        <w:tc>
          <w:tcPr>
            <w:tcW w:w="2256" w:type="dxa"/>
            <w:gridSpan w:val="2"/>
            <w:tcBorders>
              <w:bottom w:val="single" w:color="auto" w:sz="4" w:space="0"/>
            </w:tcBorders>
            <w:vAlign w:val="center"/>
          </w:tcPr>
          <w:p>
            <w:pPr>
              <w:jc w:val="center"/>
              <w:rPr>
                <w:rFonts w:eastAsia="仿宋_GB2312"/>
                <w:sz w:val="24"/>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Align w:val="center"/>
          </w:tcPr>
          <w:p>
            <w:pPr>
              <w:spacing w:line="360" w:lineRule="exact"/>
              <w:jc w:val="center"/>
              <w:rPr>
                <w:rFonts w:eastAsia="仿宋_GB2312"/>
                <w:sz w:val="24"/>
              </w:rPr>
            </w:pPr>
            <w:r>
              <w:rPr>
                <w:rFonts w:hint="eastAsia" w:eastAsia="仿宋_GB2312"/>
                <w:sz w:val="24"/>
              </w:rPr>
              <w:t>时效指标</w:t>
            </w:r>
          </w:p>
        </w:tc>
        <w:tc>
          <w:tcPr>
            <w:tcW w:w="1635"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rPr>
              <w:t xml:space="preserve"> 项目在本年内完成</w:t>
            </w:r>
          </w:p>
        </w:tc>
        <w:tc>
          <w:tcPr>
            <w:tcW w:w="1815" w:type="dxa"/>
            <w:gridSpan w:val="4"/>
            <w:tcBorders>
              <w:bottom w:val="single" w:color="auto" w:sz="4" w:space="0"/>
            </w:tcBorders>
            <w:vAlign w:val="center"/>
          </w:tcPr>
          <w:p>
            <w:pPr>
              <w:spacing w:line="360" w:lineRule="exact"/>
              <w:jc w:val="center"/>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rPr>
              <w:t>2021年1月-2021年12月</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lang w:val="en-US" w:eastAsia="zh-CN"/>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Align w:val="center"/>
          </w:tcPr>
          <w:p>
            <w:pPr>
              <w:spacing w:line="360" w:lineRule="exact"/>
              <w:jc w:val="center"/>
              <w:rPr>
                <w:rFonts w:eastAsia="仿宋_GB2312"/>
                <w:sz w:val="24"/>
              </w:rPr>
            </w:pPr>
            <w:r>
              <w:rPr>
                <w:rFonts w:hint="eastAsia" w:eastAsia="仿宋_GB2312"/>
                <w:sz w:val="24"/>
              </w:rPr>
              <w:t>成本指标</w:t>
            </w:r>
          </w:p>
        </w:tc>
        <w:tc>
          <w:tcPr>
            <w:tcW w:w="1635"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15"/>
                <w:szCs w:val="15"/>
                <w:lang w:val="en-US" w:eastAsia="zh-CN"/>
              </w:rPr>
            </w:pPr>
            <w:r>
              <w:rPr>
                <w:rFonts w:hint="eastAsia" w:eastAsia="仿宋_GB2312"/>
                <w:sz w:val="15"/>
                <w:szCs w:val="15"/>
              </w:rPr>
              <w:t>实际成本是否在项目计划成本内</w:t>
            </w:r>
          </w:p>
        </w:tc>
        <w:tc>
          <w:tcPr>
            <w:tcW w:w="1815" w:type="dxa"/>
            <w:gridSpan w:val="4"/>
            <w:tcBorders>
              <w:bottom w:val="single" w:color="auto" w:sz="4" w:space="0"/>
            </w:tcBorders>
            <w:vAlign w:val="center"/>
          </w:tcPr>
          <w:p>
            <w:pPr>
              <w:widowControl/>
              <w:spacing w:line="240" w:lineRule="exact"/>
              <w:jc w:val="left"/>
              <w:rPr>
                <w:rFonts w:hint="eastAsia" w:ascii="宋体" w:hAnsi="宋体" w:eastAsia="宋体" w:cs="Times New Roman"/>
                <w:kern w:val="2"/>
                <w:sz w:val="15"/>
                <w:szCs w:val="15"/>
                <w:lang w:val="en-US" w:eastAsia="zh-CN" w:bidi="ar-SA"/>
              </w:rPr>
            </w:pPr>
            <w:r>
              <w:rPr>
                <w:rFonts w:hint="eastAsia" w:ascii="仿宋_GB2312" w:hAnsi="仿宋_GB2312" w:eastAsia="仿宋_GB2312" w:cs="仿宋_GB2312"/>
                <w:sz w:val="15"/>
                <w:szCs w:val="15"/>
              </w:rPr>
              <w:t>实施成本控制在300万预算内</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lang w:eastAsia="zh-CN"/>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项目效益指标</w:t>
            </w:r>
          </w:p>
        </w:tc>
        <w:tc>
          <w:tcPr>
            <w:tcW w:w="1613"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635" w:type="dxa"/>
            <w:gridSpan w:val="4"/>
            <w:tcBorders>
              <w:bottom w:val="single" w:color="auto" w:sz="4" w:space="0"/>
            </w:tcBorders>
            <w:vAlign w:val="center"/>
          </w:tcPr>
          <w:p>
            <w:pPr>
              <w:spacing w:line="360" w:lineRule="exact"/>
              <w:jc w:val="center"/>
              <w:rPr>
                <w:rFonts w:hint="eastAsia" w:ascii="仿宋_GB2312" w:hAnsi="仿宋_GB2312" w:eastAsia="仿宋_GB2312" w:cs="仿宋_GB2312"/>
                <w:sz w:val="15"/>
                <w:szCs w:val="15"/>
              </w:rPr>
            </w:pPr>
            <w:r>
              <w:rPr>
                <w:rFonts w:hint="eastAsia" w:eastAsia="仿宋_GB2312"/>
                <w:sz w:val="15"/>
                <w:szCs w:val="15"/>
              </w:rPr>
              <w:t>灌溉面积改善率</w:t>
            </w:r>
          </w:p>
        </w:tc>
        <w:tc>
          <w:tcPr>
            <w:tcW w:w="1815" w:type="dxa"/>
            <w:gridSpan w:val="4"/>
            <w:tcBorders>
              <w:bottom w:val="single" w:color="auto" w:sz="4" w:space="0"/>
            </w:tcBorders>
            <w:vAlign w:val="center"/>
          </w:tcPr>
          <w:p>
            <w:pPr>
              <w:spacing w:line="360" w:lineRule="exact"/>
              <w:jc w:val="center"/>
              <w:rPr>
                <w:rFonts w:hint="eastAsia" w:ascii="仿宋_GB2312" w:hAnsi="仿宋_GB2312" w:eastAsia="仿宋_GB2312" w:cs="仿宋_GB2312"/>
                <w:sz w:val="15"/>
                <w:szCs w:val="15"/>
              </w:rPr>
            </w:pPr>
            <w:r>
              <w:rPr>
                <w:rFonts w:hint="eastAsia" w:eastAsia="仿宋_GB2312"/>
                <w:sz w:val="15"/>
                <w:szCs w:val="15"/>
              </w:rPr>
              <w:t>改善灌溉面积0.15万亩</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635" w:type="dxa"/>
            <w:gridSpan w:val="4"/>
            <w:tcBorders>
              <w:bottom w:val="single" w:color="auto" w:sz="4" w:space="0"/>
            </w:tcBorders>
            <w:vAlign w:val="center"/>
          </w:tcPr>
          <w:p>
            <w:pPr>
              <w:widowControl/>
              <w:spacing w:line="240" w:lineRule="exact"/>
              <w:jc w:val="left"/>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rPr>
              <w:t>供水保证率</w:t>
            </w:r>
          </w:p>
        </w:tc>
        <w:tc>
          <w:tcPr>
            <w:tcW w:w="1815" w:type="dxa"/>
            <w:gridSpan w:val="4"/>
            <w:tcBorders>
              <w:bottom w:val="single" w:color="auto" w:sz="4" w:space="0"/>
            </w:tcBorders>
            <w:vAlign w:val="center"/>
          </w:tcPr>
          <w:p>
            <w:pPr>
              <w:widowControl/>
              <w:spacing w:line="240" w:lineRule="exact"/>
              <w:jc w:val="left"/>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rPr>
              <w:t>供水保证率</w:t>
            </w:r>
            <w:r>
              <w:rPr>
                <w:rFonts w:hint="eastAsia" w:ascii="仿宋_GB2312" w:hAnsi="仿宋_GB2312" w:eastAsia="仿宋_GB2312" w:cs="仿宋_GB2312"/>
                <w:sz w:val="15"/>
                <w:szCs w:val="15"/>
                <w:lang w:val="en-US" w:eastAsia="zh-CN"/>
              </w:rPr>
              <w:t>100%</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lang w:val="en-US" w:eastAsia="zh-CN"/>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Merge w:val="continue"/>
            <w:vAlign w:val="center"/>
          </w:tcPr>
          <w:p>
            <w:pPr>
              <w:spacing w:line="360" w:lineRule="exact"/>
              <w:jc w:val="center"/>
              <w:rPr>
                <w:rFonts w:eastAsia="仿宋_GB2312"/>
                <w:sz w:val="24"/>
              </w:rPr>
            </w:pPr>
          </w:p>
        </w:tc>
        <w:tc>
          <w:tcPr>
            <w:tcW w:w="1635" w:type="dxa"/>
            <w:gridSpan w:val="4"/>
            <w:tcBorders>
              <w:bottom w:val="single" w:color="auto" w:sz="4" w:space="0"/>
            </w:tcBorders>
            <w:vAlign w:val="center"/>
          </w:tcPr>
          <w:p>
            <w:pPr>
              <w:widowControl/>
              <w:spacing w:line="240" w:lineRule="exact"/>
              <w:jc w:val="left"/>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灌区农村用水稳定性</w:t>
            </w:r>
          </w:p>
        </w:tc>
        <w:tc>
          <w:tcPr>
            <w:tcW w:w="1815" w:type="dxa"/>
            <w:gridSpan w:val="4"/>
            <w:tcBorders>
              <w:bottom w:val="single" w:color="auto" w:sz="4" w:space="0"/>
            </w:tcBorders>
            <w:vAlign w:val="center"/>
          </w:tcPr>
          <w:p>
            <w:pPr>
              <w:widowControl/>
              <w:spacing w:line="240" w:lineRule="exact"/>
              <w:jc w:val="left"/>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rPr>
              <w:t>灌区农村用水稳定</w:t>
            </w:r>
            <w:r>
              <w:rPr>
                <w:rFonts w:hint="eastAsia" w:ascii="仿宋_GB2312" w:hAnsi="仿宋_GB2312" w:eastAsia="仿宋_GB2312" w:cs="仿宋_GB2312"/>
                <w:sz w:val="15"/>
                <w:szCs w:val="15"/>
                <w:lang w:val="en-US" w:eastAsia="zh-CN"/>
              </w:rPr>
              <w:t>率100%</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635" w:type="dxa"/>
            <w:gridSpan w:val="4"/>
            <w:tcBorders>
              <w:bottom w:val="single" w:color="auto" w:sz="4" w:space="0"/>
            </w:tcBorders>
            <w:vAlign w:val="center"/>
          </w:tcPr>
          <w:p>
            <w:pPr>
              <w:widowControl/>
              <w:spacing w:line="240" w:lineRule="exact"/>
              <w:jc w:val="left"/>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水利灌排情况改善率</w:t>
            </w:r>
          </w:p>
        </w:tc>
        <w:tc>
          <w:tcPr>
            <w:tcW w:w="1815" w:type="dxa"/>
            <w:gridSpan w:val="4"/>
            <w:tcBorders>
              <w:bottom w:val="single" w:color="auto" w:sz="4" w:space="0"/>
            </w:tcBorders>
            <w:vAlign w:val="center"/>
          </w:tcPr>
          <w:p>
            <w:pPr>
              <w:spacing w:line="360" w:lineRule="exact"/>
              <w:jc w:val="center"/>
              <w:rPr>
                <w:rFonts w:hint="eastAsia" w:ascii="仿宋_GB2312" w:hAnsi="仿宋_GB2312" w:eastAsia="仿宋_GB2312" w:cs="仿宋_GB2312"/>
                <w:sz w:val="15"/>
                <w:szCs w:val="15"/>
              </w:rPr>
            </w:pPr>
            <w:r>
              <w:rPr>
                <w:rFonts w:hint="eastAsia" w:eastAsia="仿宋_GB2312"/>
                <w:sz w:val="15"/>
                <w:szCs w:val="15"/>
              </w:rPr>
              <w:t>改善灌溉面积0.15万亩</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Align w:val="center"/>
          </w:tcPr>
          <w:p>
            <w:pPr>
              <w:spacing w:line="360" w:lineRule="exact"/>
              <w:jc w:val="center"/>
              <w:rPr>
                <w:rFonts w:eastAsia="仿宋_GB2312"/>
                <w:sz w:val="24"/>
              </w:rPr>
            </w:pPr>
            <w:r>
              <w:rPr>
                <w:rFonts w:hint="eastAsia" w:eastAsia="仿宋_GB2312"/>
                <w:sz w:val="24"/>
              </w:rPr>
              <w:t>服务对象满意度指标</w:t>
            </w:r>
          </w:p>
        </w:tc>
        <w:tc>
          <w:tcPr>
            <w:tcW w:w="1635" w:type="dxa"/>
            <w:gridSpan w:val="4"/>
            <w:tcBorders>
              <w:bottom w:val="single" w:color="auto" w:sz="4" w:space="0"/>
            </w:tcBorders>
            <w:vAlign w:val="center"/>
          </w:tcPr>
          <w:p>
            <w:pPr>
              <w:spacing w:line="360" w:lineRule="exact"/>
              <w:jc w:val="center"/>
              <w:rPr>
                <w:rFonts w:hint="default" w:ascii="仿宋_GB2312" w:hAnsi="仿宋_GB2312" w:eastAsia="仿宋_GB2312" w:cs="仿宋_GB2312"/>
                <w:sz w:val="15"/>
                <w:szCs w:val="15"/>
                <w:lang w:val="en-US" w:eastAsia="zh-CN"/>
              </w:rPr>
            </w:pPr>
            <w:r>
              <w:rPr>
                <w:rFonts w:hint="eastAsia" w:ascii="宋体" w:hAnsi="宋体"/>
                <w:sz w:val="15"/>
                <w:szCs w:val="15"/>
              </w:rPr>
              <w:t>人民群众对项目发挥作用的好评率</w:t>
            </w:r>
          </w:p>
        </w:tc>
        <w:tc>
          <w:tcPr>
            <w:tcW w:w="1815" w:type="dxa"/>
            <w:gridSpan w:val="4"/>
            <w:tcBorders>
              <w:bottom w:val="single" w:color="auto" w:sz="4" w:space="0"/>
            </w:tcBorders>
            <w:vAlign w:val="center"/>
          </w:tcPr>
          <w:p>
            <w:pPr>
              <w:spacing w:line="360" w:lineRule="exact"/>
              <w:jc w:val="center"/>
              <w:rPr>
                <w:rFonts w:hint="eastAsia" w:ascii="仿宋_GB2312" w:hAnsi="仿宋_GB2312" w:eastAsia="仿宋_GB2312" w:cs="仿宋_GB2312"/>
                <w:sz w:val="15"/>
                <w:szCs w:val="15"/>
              </w:rPr>
            </w:pPr>
            <w:r>
              <w:rPr>
                <w:rFonts w:hint="eastAsia" w:ascii="宋体" w:hAnsi="宋体"/>
                <w:sz w:val="15"/>
                <w:szCs w:val="15"/>
              </w:rPr>
              <w:t>人民群众支持项目建设</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lang w:val="en-US" w:eastAsia="zh-CN"/>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319" w:type="dxa"/>
            <w:gridSpan w:val="11"/>
            <w:tcBorders>
              <w:bottom w:val="single" w:color="auto" w:sz="4" w:space="0"/>
            </w:tcBorders>
            <w:vAlign w:val="center"/>
          </w:tcPr>
          <w:p>
            <w:pP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319" w:type="dxa"/>
            <w:gridSpan w:val="11"/>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731" w:type="dxa"/>
            <w:gridSpan w:val="6"/>
            <w:vAlign w:val="center"/>
          </w:tcPr>
          <w:p>
            <w:pPr>
              <w:jc w:val="center"/>
              <w:rPr>
                <w:rFonts w:eastAsia="仿宋_GB2312"/>
                <w:sz w:val="24"/>
              </w:rPr>
            </w:pPr>
            <w:r>
              <w:rPr>
                <w:rFonts w:hint="eastAsia" w:eastAsia="仿宋_GB2312"/>
                <w:sz w:val="24"/>
              </w:rPr>
              <w:t>单  位</w:t>
            </w:r>
          </w:p>
        </w:tc>
        <w:tc>
          <w:tcPr>
            <w:tcW w:w="2256" w:type="dxa"/>
            <w:gridSpan w:val="2"/>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rPr>
                <w:rFonts w:hint="default" w:eastAsia="仿宋_GB2312"/>
                <w:sz w:val="24"/>
                <w:lang w:val="en-US" w:eastAsia="zh-CN"/>
              </w:rPr>
            </w:pPr>
          </w:p>
        </w:tc>
        <w:tc>
          <w:tcPr>
            <w:tcW w:w="2332" w:type="dxa"/>
            <w:gridSpan w:val="3"/>
            <w:vAlign w:val="center"/>
          </w:tcPr>
          <w:p>
            <w:pPr>
              <w:rPr>
                <w:rFonts w:hint="default" w:eastAsia="仿宋_GB2312"/>
                <w:sz w:val="24"/>
                <w:lang w:val="en-US" w:eastAsia="zh-CN"/>
              </w:rPr>
            </w:pPr>
          </w:p>
        </w:tc>
        <w:tc>
          <w:tcPr>
            <w:tcW w:w="2731" w:type="dxa"/>
            <w:gridSpan w:val="6"/>
            <w:vAlign w:val="center"/>
          </w:tcPr>
          <w:p>
            <w:pPr>
              <w:rPr>
                <w:rFonts w:eastAsia="仿宋_GB2312"/>
                <w:sz w:val="24"/>
              </w:rPr>
            </w:pPr>
          </w:p>
        </w:tc>
        <w:tc>
          <w:tcPr>
            <w:tcW w:w="2256"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rPr>
                <w:rFonts w:hint="eastAsia" w:eastAsia="仿宋_GB2312"/>
                <w:sz w:val="24"/>
                <w:lang w:eastAsia="zh-CN"/>
              </w:rPr>
            </w:pPr>
          </w:p>
        </w:tc>
        <w:tc>
          <w:tcPr>
            <w:tcW w:w="2332" w:type="dxa"/>
            <w:gridSpan w:val="3"/>
            <w:vAlign w:val="center"/>
          </w:tcPr>
          <w:p>
            <w:pPr>
              <w:rPr>
                <w:rFonts w:hint="eastAsia" w:eastAsia="仿宋_GB2312"/>
                <w:sz w:val="24"/>
                <w:lang w:eastAsia="zh-CN"/>
              </w:rPr>
            </w:pPr>
          </w:p>
        </w:tc>
        <w:tc>
          <w:tcPr>
            <w:tcW w:w="2731" w:type="dxa"/>
            <w:gridSpan w:val="6"/>
            <w:vAlign w:val="center"/>
          </w:tcPr>
          <w:p>
            <w:pPr>
              <w:rPr>
                <w:rFonts w:eastAsia="仿宋_GB2312"/>
                <w:sz w:val="24"/>
              </w:rPr>
            </w:pPr>
          </w:p>
        </w:tc>
        <w:tc>
          <w:tcPr>
            <w:tcW w:w="2256"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rPr>
                <w:rFonts w:hint="eastAsia" w:eastAsia="仿宋_GB2312"/>
                <w:sz w:val="24"/>
                <w:lang w:eastAsia="zh-CN"/>
              </w:rPr>
            </w:pPr>
          </w:p>
        </w:tc>
        <w:tc>
          <w:tcPr>
            <w:tcW w:w="2332" w:type="dxa"/>
            <w:gridSpan w:val="3"/>
            <w:vAlign w:val="center"/>
          </w:tcPr>
          <w:p>
            <w:pPr>
              <w:rPr>
                <w:rFonts w:hint="eastAsia" w:eastAsia="仿宋_GB2312"/>
                <w:sz w:val="24"/>
                <w:lang w:eastAsia="zh-CN"/>
              </w:rPr>
            </w:pPr>
          </w:p>
        </w:tc>
        <w:tc>
          <w:tcPr>
            <w:tcW w:w="2731" w:type="dxa"/>
            <w:gridSpan w:val="6"/>
            <w:vAlign w:val="center"/>
          </w:tcPr>
          <w:p>
            <w:pPr>
              <w:rPr>
                <w:rFonts w:eastAsia="仿宋_GB2312"/>
                <w:sz w:val="24"/>
              </w:rPr>
            </w:pPr>
          </w:p>
        </w:tc>
        <w:tc>
          <w:tcPr>
            <w:tcW w:w="2256"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（一）项目基本概况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一、项目背景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铁山灌区位于湖南省岳阳市北部新墙河下游，以新墙河为界分为南、北两大灌区，灌溉岳阳县、汨罗市、临湘市、岳阳经开区等四县、市区，共灌溉</w:t>
            </w:r>
            <w:r>
              <w:rPr>
                <w:rFonts w:hint="eastAsia" w:ascii="仿宋_GB2312" w:eastAsia="仿宋_GB2312"/>
                <w:sz w:val="30"/>
                <w:szCs w:val="30"/>
                <w:lang w:val="en-US" w:eastAsia="zh-CN"/>
              </w:rPr>
              <w:t>水田、</w:t>
            </w:r>
            <w:r>
              <w:rPr>
                <w:rFonts w:hint="eastAsia" w:ascii="仿宋_GB2312" w:eastAsia="仿宋_GB2312"/>
                <w:sz w:val="30"/>
                <w:szCs w:val="30"/>
              </w:rPr>
              <w:t>耕地85.41万亩</w:t>
            </w:r>
            <w:r>
              <w:rPr>
                <w:rFonts w:hint="eastAsia" w:ascii="仿宋_GB2312" w:eastAsia="仿宋_GB2312"/>
                <w:sz w:val="30"/>
                <w:szCs w:val="30"/>
                <w:lang w:eastAsia="zh-CN"/>
              </w:rPr>
              <w:t>；</w:t>
            </w:r>
            <w:r>
              <w:rPr>
                <w:rFonts w:hint="eastAsia" w:ascii="仿宋_GB2312" w:eastAsia="仿宋_GB2312"/>
                <w:sz w:val="30"/>
                <w:szCs w:val="30"/>
                <w:lang w:val="en-US" w:eastAsia="zh-CN"/>
              </w:rPr>
              <w:t>铁山</w:t>
            </w:r>
            <w:r>
              <w:rPr>
                <w:rFonts w:hint="eastAsia" w:ascii="仿宋_GB2312" w:eastAsia="仿宋_GB2312"/>
                <w:sz w:val="30"/>
                <w:szCs w:val="30"/>
              </w:rPr>
              <w:t>水库集雨面积493平方公里，总库容6.35亿立方米，</w:t>
            </w:r>
            <w:r>
              <w:rPr>
                <w:rFonts w:hint="eastAsia" w:ascii="仿宋_GB2312" w:eastAsia="仿宋_GB2312"/>
                <w:sz w:val="30"/>
                <w:szCs w:val="30"/>
                <w:lang w:val="en-US" w:eastAsia="zh-CN"/>
              </w:rPr>
              <w:t>是岳阳市人民生活饮用水源地</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根据岳政发[2013]9号文《岳阳市人民政府关于印发岳阳市铁山水源生态保护资金管理暂行办法的通知》，市政府每年拨付300万元用于铁山水库供水渠道运行维护项目。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二、项目的政府采购工作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lang w:val="zh-CN" w:eastAsia="zh-CN"/>
              </w:rPr>
            </w:pPr>
            <w:r>
              <w:rPr>
                <w:rFonts w:hint="eastAsia" w:eastAsia="仿宋_GB2312"/>
                <w:sz w:val="30"/>
                <w:szCs w:val="30"/>
                <w:u w:val="none"/>
                <w:lang w:val="en-US" w:eastAsia="zh-CN"/>
              </w:rPr>
              <w:t>2021年度铁山水库供水渠道运行维护项目群工程由20个单项工程组成，</w:t>
            </w:r>
            <w:r>
              <w:rPr>
                <w:rFonts w:hint="eastAsia" w:ascii="仿宋_GB2312" w:hAnsi="仿宋_GB2312" w:eastAsia="仿宋_GB2312" w:cs="仿宋_GB2312"/>
                <w:sz w:val="32"/>
                <w:szCs w:val="32"/>
                <w:lang w:val="zh-CN" w:eastAsia="zh-CN"/>
              </w:rPr>
              <w:t>根据岳阳市财政局文件《岳阳市财政局关于全面开展2019年财政支出绩效自评的通知》（岳财发[2019]11号）的要求，</w:t>
            </w:r>
            <w:r>
              <w:rPr>
                <w:rFonts w:hint="eastAsia" w:ascii="仿宋_GB2312" w:hAnsi="仿宋_GB2312" w:eastAsia="仿宋_GB2312" w:cs="仿宋_GB2312"/>
                <w:sz w:val="32"/>
                <w:szCs w:val="32"/>
                <w:lang w:val="en-US" w:eastAsia="zh-CN"/>
              </w:rPr>
              <w:t>每亩个单项工程实施前</w:t>
            </w:r>
            <w:r>
              <w:rPr>
                <w:rFonts w:hint="eastAsia" w:ascii="仿宋_GB2312" w:hAnsi="仿宋_GB2312" w:eastAsia="仿宋_GB2312" w:cs="仿宋_GB2312"/>
                <w:sz w:val="32"/>
                <w:szCs w:val="32"/>
                <w:lang w:val="zh-CN" w:eastAsia="zh-CN"/>
              </w:rPr>
              <w:t>我</w:t>
            </w:r>
            <w:r>
              <w:rPr>
                <w:rFonts w:hint="eastAsia" w:ascii="仿宋_GB2312" w:hAnsi="仿宋_GB2312" w:eastAsia="仿宋_GB2312" w:cs="仿宋_GB2312"/>
                <w:sz w:val="32"/>
                <w:szCs w:val="32"/>
                <w:lang w:val="en-US" w:eastAsia="zh-CN"/>
              </w:rPr>
              <w:t>单位均会</w:t>
            </w:r>
            <w:r>
              <w:rPr>
                <w:rFonts w:hint="eastAsia" w:ascii="仿宋_GB2312" w:hAnsi="仿宋_GB2312" w:eastAsia="仿宋_GB2312" w:cs="仿宋_GB2312"/>
                <w:sz w:val="32"/>
                <w:szCs w:val="32"/>
                <w:lang w:val="zh-CN" w:eastAsia="zh-CN"/>
              </w:rPr>
              <w:t>组织</w:t>
            </w:r>
            <w:r>
              <w:rPr>
                <w:rFonts w:hint="eastAsia" w:ascii="仿宋_GB2312" w:hAnsi="仿宋_GB2312" w:eastAsia="仿宋_GB2312" w:cs="仿宋_GB2312"/>
                <w:sz w:val="32"/>
                <w:szCs w:val="32"/>
                <w:lang w:val="en-US" w:eastAsia="zh-CN"/>
              </w:rPr>
              <w:t>综合部、</w:t>
            </w:r>
            <w:r>
              <w:rPr>
                <w:rFonts w:hint="eastAsia" w:ascii="仿宋_GB2312" w:hAnsi="仿宋_GB2312" w:eastAsia="仿宋_GB2312" w:cs="仿宋_GB2312"/>
                <w:sz w:val="32"/>
                <w:szCs w:val="32"/>
                <w:lang w:val="zh-CN" w:eastAsia="zh-CN"/>
              </w:rPr>
              <w:t>工程</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zh-CN" w:eastAsia="zh-CN"/>
              </w:rPr>
              <w:t>、财务</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zh-CN" w:eastAsia="zh-CN"/>
              </w:rPr>
              <w:t>、机关纪委工作人员组成会商小组，对受邀三家施工单位进行比选，选择最优施工单位。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三、项目建设工作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eastAsia="仿宋_GB2312"/>
                <w:sz w:val="30"/>
                <w:szCs w:val="30"/>
                <w:lang w:val="en-US" w:eastAsia="zh-CN"/>
              </w:rPr>
            </w:pPr>
            <w:r>
              <w:rPr>
                <w:rFonts w:hint="eastAsia" w:eastAsia="仿宋_GB2312"/>
                <w:sz w:val="30"/>
                <w:szCs w:val="30"/>
                <w:u w:val="none"/>
                <w:lang w:val="en-US" w:eastAsia="zh-CN"/>
              </w:rPr>
              <w:t>2021年度铁山水库供水渠道运行维护项目群工程主要工作内容包括：(1)南总干渠32km、北总干渠55km、饶港分干5.5km、岳汨分干22km、梅溪支渠3km和铁山水库、金凤水库等日常维修养护以及一水厂原水供水管线14.5km、二水厂原水供水箱涵3.6km和</w:t>
            </w:r>
            <w:r>
              <w:rPr>
                <w:rFonts w:hint="eastAsia" w:ascii="Times New Roman" w:hAnsi="Times New Roman" w:eastAsia="仿宋_GB2312" w:cs="Times New Roman"/>
                <w:sz w:val="30"/>
                <w:szCs w:val="30"/>
                <w:u w:val="none"/>
                <w:lang w:val="en-US" w:eastAsia="zh-CN"/>
              </w:rPr>
              <w:t>岳化管线16.8km</w:t>
            </w:r>
            <w:r>
              <w:rPr>
                <w:rFonts w:hint="eastAsia" w:eastAsia="仿宋_GB2312"/>
                <w:sz w:val="30"/>
                <w:szCs w:val="30"/>
                <w:u w:val="none"/>
                <w:lang w:val="en-US" w:eastAsia="zh-CN"/>
              </w:rPr>
              <w:t>日常维修养护；(2)南总干姑桥段等10处防渗衬砌697m、饶港分干沙河渡槽进口段除险加固125m、北总干渠桃林渡槽进口等13处除险加固500m、梅溪支渠老屋徐家除险加固130m和北总干渠K19+400~26+200段渠槽清淤6.8km。</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（二）项目资金使用及管理情况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hAnsi="仿宋_GB2312" w:eastAsia="仿宋_GB2312" w:cs="仿宋_GB2312"/>
                <w:sz w:val="30"/>
                <w:szCs w:val="30"/>
                <w:lang w:val="en-US" w:eastAsia="zh-CN"/>
              </w:rPr>
              <w:t>根据专项资金管理需要，建立了相关的财务制度，设立专帐。没有挤占、挪用、浪费及套用资金现象，做到了专款专用。资金由市财政局按专项资金管理办法进行管理。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（三）项目组织实施情况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eastAsia="仿宋_GB2312"/>
                <w:sz w:val="30"/>
                <w:szCs w:val="30"/>
                <w:u w:val="none"/>
                <w:lang w:val="en-US" w:eastAsia="zh-CN"/>
              </w:rPr>
              <w:t>2021年度铁山水库供水渠道运行维护项目群工程，我单位按年初计划</w:t>
            </w:r>
            <w:r>
              <w:rPr>
                <w:rFonts w:hint="eastAsia" w:ascii="仿宋_GB2312" w:hAnsi="仿宋_GB2312" w:eastAsia="仿宋_GB2312" w:cs="仿宋_GB2312"/>
                <w:sz w:val="32"/>
                <w:szCs w:val="32"/>
                <w:lang w:val="en-US" w:eastAsia="zh-CN"/>
              </w:rPr>
              <w:t>1-7月完成水库、渠道、管线的日常维修养护工作，6月、7月、10月、11月停水期实施南、北总干渠的除险加固及应急抢险工程，7月-10月对铁山二水厂原水供水箱涵止水橡皮进行修补。8月完成第一阶段的项目资金申报支付，11月底完成剩余项目资金的申报支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（四）综合评价情况及评价结论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根据岳阳市财政局文件《岳阳市财政局关于全面开展2019年财政支出绩效自评的通知》（岳财发[2019]11号）的要求，我局坚决贯彻上级的决策和部署，迅速启动相关工作。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0"/>
                <w:szCs w:val="30"/>
                <w:lang w:val="en-US"/>
              </w:rPr>
            </w:pPr>
            <w:r>
              <w:rPr>
                <w:rFonts w:hint="eastAsia" w:ascii="仿宋_GB2312" w:hAnsi="仿宋_GB2312" w:eastAsia="仿宋_GB2312" w:cs="仿宋_GB2312"/>
                <w:sz w:val="32"/>
                <w:szCs w:val="32"/>
                <w:lang w:val="zh-CN" w:eastAsia="zh-CN"/>
              </w:rPr>
              <w:t>根据绩效考核办法，整体上看我局决策正确，资金管理规范，项目管理到位，政策执行有力，有效发挥了财政资金的使用效率。通过发放调查问卷和现场考评结果表明，本项目综合评价达到预期的效果，综合评价结果为良</w:t>
            </w:r>
            <w:r>
              <w:rPr>
                <w:rFonts w:hint="eastAsia" w:ascii="仿宋_GB2312" w:hAnsi="仿宋_GB2312" w:eastAsia="仿宋_GB2312" w:cs="仿宋_GB2312"/>
                <w:sz w:val="32"/>
                <w:szCs w:val="32"/>
                <w:lang w:val="en-US" w:eastAsia="zh-CN"/>
              </w:rPr>
              <w:t>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0"/>
                <w:szCs w:val="30"/>
              </w:rPr>
            </w:pPr>
            <w:r>
              <w:rPr>
                <w:rFonts w:hint="eastAsia" w:ascii="仿宋_GB2312" w:hAnsi="仿宋_GB2312" w:eastAsia="仿宋_GB2312" w:cs="仿宋_GB2312"/>
                <w:sz w:val="32"/>
                <w:szCs w:val="32"/>
                <w:lang w:val="zh-CN" w:eastAsia="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年度铁山水库供水渠道运行维护项目工程实施取得经济、社会和环境三丰收：第一，提高了供水及灌溉能力，渠系水利用系数与灌溉水利用系数有了明显的提高，灌溉周期缩短。第二，提高了工程标准。部分老损建筑物得到了加固处理，有效降低了工程事故发生的几率，提高了灌区工程安全运行的保证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（六）主要经验及做法、存在问题和建议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cs="Times New Roman"/>
                <w:sz w:val="30"/>
                <w:szCs w:val="30"/>
              </w:rPr>
            </w:pPr>
            <w:r>
              <w:rPr>
                <w:rFonts w:hint="eastAsia" w:eastAsia="楷体_GB2312"/>
                <w:bCs/>
                <w:sz w:val="28"/>
                <w:szCs w:val="28"/>
                <w:lang w:val="en-US" w:eastAsia="zh-CN"/>
              </w:rPr>
              <w:t xml:space="preserve">    </w:t>
            </w:r>
            <w:r>
              <w:rPr>
                <w:rFonts w:hint="eastAsia" w:ascii="仿宋_GB2312" w:hAnsi="黑体" w:eastAsia="仿宋_GB2312" w:cs="Times New Roman"/>
                <w:sz w:val="30"/>
                <w:szCs w:val="30"/>
                <w:lang w:val="en-US" w:eastAsia="zh-CN"/>
              </w:rPr>
              <w:t xml:space="preserve">  </w:t>
            </w:r>
            <w:r>
              <w:rPr>
                <w:rFonts w:hint="eastAsia" w:ascii="仿宋_GB2312" w:hAnsi="黑体" w:eastAsia="仿宋_GB2312" w:cs="Times New Roman"/>
                <w:sz w:val="30"/>
                <w:szCs w:val="30"/>
              </w:rPr>
              <w:t>1.主要经验和做法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cs="Times New Roman"/>
                <w:sz w:val="30"/>
                <w:szCs w:val="30"/>
              </w:rPr>
            </w:pPr>
            <w:r>
              <w:rPr>
                <w:rFonts w:hint="eastAsia" w:ascii="仿宋_GB2312" w:hAnsi="黑体" w:eastAsia="仿宋_GB2312" w:cs="Times New Roman"/>
                <w:sz w:val="30"/>
                <w:szCs w:val="30"/>
              </w:rPr>
              <w:t>为确保项目建设任务圆满完成，我局积极采取了各项有力措施：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cs="Times New Roman"/>
                <w:sz w:val="30"/>
                <w:szCs w:val="30"/>
              </w:rPr>
            </w:pPr>
            <w:r>
              <w:rPr>
                <w:rFonts w:hint="eastAsia" w:ascii="仿宋_GB2312" w:hAnsi="黑体" w:eastAsia="仿宋_GB2312" w:cs="Times New Roman"/>
                <w:sz w:val="30"/>
                <w:szCs w:val="30"/>
              </w:rPr>
              <w:t>一是健全组织机构，形成工作合力。二是狠抓项目建设，确保工程质量。实行任务具体到人，对质量、安全、工期和投资严格控制和负责，并严把材料、工序和阶段验收等关键环节。三是严格财务管理，确保资金安全。做到项目资金专款专用、专户专帐、专人管理，并严格按照工程进度拨付资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cs="Times New Roman"/>
                <w:sz w:val="30"/>
                <w:szCs w:val="30"/>
              </w:rPr>
            </w:pPr>
            <w:r>
              <w:rPr>
                <w:rFonts w:hint="eastAsia" w:ascii="仿宋_GB2312" w:hAnsi="黑体" w:eastAsia="仿宋_GB2312" w:cs="Times New Roman"/>
                <w:sz w:val="30"/>
                <w:szCs w:val="30"/>
              </w:rPr>
              <w:t>2.主要问题及原因分析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cs="Times New Roman"/>
                <w:sz w:val="30"/>
                <w:szCs w:val="30"/>
              </w:rPr>
            </w:pPr>
            <w:r>
              <w:rPr>
                <w:rFonts w:hint="eastAsia" w:ascii="仿宋_GB2312" w:hAnsi="黑体" w:eastAsia="仿宋_GB2312" w:cs="Times New Roman"/>
                <w:sz w:val="30"/>
                <w:szCs w:val="30"/>
              </w:rPr>
              <w:t>主要问题以下：一是灌区管理财政收支矛盾突出，维持正常运转举步维艰，维修养护资金严重不足。二是灌区工程老化严重，投入不足，效益难以正常发挥。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cs="Times New Roman"/>
                <w:sz w:val="30"/>
                <w:szCs w:val="30"/>
              </w:rPr>
            </w:pPr>
            <w:r>
              <w:rPr>
                <w:rFonts w:hint="eastAsia" w:ascii="仿宋_GB2312" w:hAnsi="黑体" w:eastAsia="仿宋_GB2312" w:cs="Times New Roman"/>
                <w:sz w:val="30"/>
                <w:szCs w:val="30"/>
              </w:rPr>
              <w:t>3.建议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eastAsia="楷体_GB2312"/>
                <w:bCs/>
                <w:sz w:val="28"/>
                <w:szCs w:val="28"/>
                <w:lang w:val="en-US" w:eastAsia="zh-CN"/>
              </w:rPr>
            </w:pPr>
            <w:r>
              <w:rPr>
                <w:rFonts w:hint="eastAsia" w:ascii="仿宋_GB2312" w:hAnsi="黑体" w:eastAsia="仿宋_GB2312" w:cs="Times New Roman"/>
                <w:sz w:val="30"/>
                <w:szCs w:val="30"/>
              </w:rPr>
              <w:t>建议政府进一步加大对灌区投资力度，确保灌区综合效益充分发挥。</w:t>
            </w:r>
          </w:p>
        </w:tc>
      </w:tr>
    </w:tbl>
    <w:p>
      <w:pPr>
        <w:spacing w:before="156" w:beforeLines="5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6"/>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lNDQzNWEyZTNjODQ0MDFlOWIzYWM4NTFjNmIyNjY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2867"/>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34C5"/>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97A"/>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0113"/>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37DD2"/>
    <w:rsid w:val="00540C9D"/>
    <w:rsid w:val="0054794C"/>
    <w:rsid w:val="005530D1"/>
    <w:rsid w:val="00553902"/>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84A"/>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3CBF"/>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84803"/>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3E79"/>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1A02"/>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8F737D"/>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44D"/>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1C23"/>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36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6B"/>
    <w:rsid w:val="00CA51B6"/>
    <w:rsid w:val="00CA69DC"/>
    <w:rsid w:val="00CA7090"/>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237"/>
    <w:rsid w:val="00E43960"/>
    <w:rsid w:val="00E466E4"/>
    <w:rsid w:val="00E46FF3"/>
    <w:rsid w:val="00E51CA2"/>
    <w:rsid w:val="00E53278"/>
    <w:rsid w:val="00E5328E"/>
    <w:rsid w:val="00E55CE8"/>
    <w:rsid w:val="00E57083"/>
    <w:rsid w:val="00E57B64"/>
    <w:rsid w:val="00E6224F"/>
    <w:rsid w:val="00E6319B"/>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0F19"/>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F81946"/>
    <w:rsid w:val="04723566"/>
    <w:rsid w:val="04EA2C78"/>
    <w:rsid w:val="06F90612"/>
    <w:rsid w:val="07532D57"/>
    <w:rsid w:val="08321B5D"/>
    <w:rsid w:val="086957D3"/>
    <w:rsid w:val="08806C9E"/>
    <w:rsid w:val="092C1F5D"/>
    <w:rsid w:val="099F6F75"/>
    <w:rsid w:val="09BB340E"/>
    <w:rsid w:val="09D46F84"/>
    <w:rsid w:val="0A0B2BA1"/>
    <w:rsid w:val="0AE97DD7"/>
    <w:rsid w:val="0B1F3FDB"/>
    <w:rsid w:val="0BA6031D"/>
    <w:rsid w:val="0BCC4C65"/>
    <w:rsid w:val="0BEF049C"/>
    <w:rsid w:val="0CD27968"/>
    <w:rsid w:val="0D005B4E"/>
    <w:rsid w:val="0E875A86"/>
    <w:rsid w:val="10371B3F"/>
    <w:rsid w:val="10ED4807"/>
    <w:rsid w:val="111C4602"/>
    <w:rsid w:val="11751C07"/>
    <w:rsid w:val="11E64743"/>
    <w:rsid w:val="13013117"/>
    <w:rsid w:val="130C5B6F"/>
    <w:rsid w:val="139A36C9"/>
    <w:rsid w:val="13FD6BA3"/>
    <w:rsid w:val="149C5EAA"/>
    <w:rsid w:val="16BD5E48"/>
    <w:rsid w:val="16C26394"/>
    <w:rsid w:val="17A43566"/>
    <w:rsid w:val="17D62449"/>
    <w:rsid w:val="18166C57"/>
    <w:rsid w:val="1834204D"/>
    <w:rsid w:val="19995198"/>
    <w:rsid w:val="1A061399"/>
    <w:rsid w:val="1A816D32"/>
    <w:rsid w:val="1B451F82"/>
    <w:rsid w:val="1BC17DD9"/>
    <w:rsid w:val="1D5875E2"/>
    <w:rsid w:val="20C05FEB"/>
    <w:rsid w:val="2150117A"/>
    <w:rsid w:val="230663AE"/>
    <w:rsid w:val="234356F6"/>
    <w:rsid w:val="234D11AE"/>
    <w:rsid w:val="248B0D70"/>
    <w:rsid w:val="24F47A9F"/>
    <w:rsid w:val="25362417"/>
    <w:rsid w:val="2641067D"/>
    <w:rsid w:val="26910987"/>
    <w:rsid w:val="27831DEA"/>
    <w:rsid w:val="27F33C7F"/>
    <w:rsid w:val="282F1E8B"/>
    <w:rsid w:val="28B453D5"/>
    <w:rsid w:val="28B501B6"/>
    <w:rsid w:val="29920A20"/>
    <w:rsid w:val="29FF3454"/>
    <w:rsid w:val="2A024927"/>
    <w:rsid w:val="2AE422B4"/>
    <w:rsid w:val="2B571D3D"/>
    <w:rsid w:val="2E124D4B"/>
    <w:rsid w:val="2FAB3B39"/>
    <w:rsid w:val="30096031"/>
    <w:rsid w:val="31B47AAC"/>
    <w:rsid w:val="32F61BFE"/>
    <w:rsid w:val="33D81965"/>
    <w:rsid w:val="33FB79C4"/>
    <w:rsid w:val="35327B23"/>
    <w:rsid w:val="353304EB"/>
    <w:rsid w:val="3547731A"/>
    <w:rsid w:val="3662489D"/>
    <w:rsid w:val="366375D2"/>
    <w:rsid w:val="379B40A4"/>
    <w:rsid w:val="3B110503"/>
    <w:rsid w:val="3B681D67"/>
    <w:rsid w:val="3CC6041E"/>
    <w:rsid w:val="3DB14044"/>
    <w:rsid w:val="3E446A1F"/>
    <w:rsid w:val="41DB497A"/>
    <w:rsid w:val="432C3BF6"/>
    <w:rsid w:val="456A3C81"/>
    <w:rsid w:val="456F6819"/>
    <w:rsid w:val="47AC402E"/>
    <w:rsid w:val="488C1A5A"/>
    <w:rsid w:val="497A5C9E"/>
    <w:rsid w:val="4A921CA8"/>
    <w:rsid w:val="4B0D129B"/>
    <w:rsid w:val="4CAD6623"/>
    <w:rsid w:val="4CC47888"/>
    <w:rsid w:val="4D78026E"/>
    <w:rsid w:val="4F0A0126"/>
    <w:rsid w:val="4FC86BB2"/>
    <w:rsid w:val="4FDF32BD"/>
    <w:rsid w:val="50067E3A"/>
    <w:rsid w:val="50770BDE"/>
    <w:rsid w:val="51574B32"/>
    <w:rsid w:val="518665EC"/>
    <w:rsid w:val="52CB6318"/>
    <w:rsid w:val="531A0AE1"/>
    <w:rsid w:val="53810CBC"/>
    <w:rsid w:val="54D97C92"/>
    <w:rsid w:val="54DA5AFE"/>
    <w:rsid w:val="54E96D2E"/>
    <w:rsid w:val="55737069"/>
    <w:rsid w:val="55742F2F"/>
    <w:rsid w:val="55C331B7"/>
    <w:rsid w:val="55CC7CA4"/>
    <w:rsid w:val="57D24C11"/>
    <w:rsid w:val="59876B61"/>
    <w:rsid w:val="5A8E583E"/>
    <w:rsid w:val="5C771920"/>
    <w:rsid w:val="5DD123FC"/>
    <w:rsid w:val="5DE825D6"/>
    <w:rsid w:val="5E153581"/>
    <w:rsid w:val="6022537E"/>
    <w:rsid w:val="604844AC"/>
    <w:rsid w:val="60617302"/>
    <w:rsid w:val="60FF1D56"/>
    <w:rsid w:val="615F2210"/>
    <w:rsid w:val="62616160"/>
    <w:rsid w:val="639F5900"/>
    <w:rsid w:val="63C218CD"/>
    <w:rsid w:val="64452A14"/>
    <w:rsid w:val="656715B4"/>
    <w:rsid w:val="658658CD"/>
    <w:rsid w:val="6596001E"/>
    <w:rsid w:val="65D43BF4"/>
    <w:rsid w:val="67A24393"/>
    <w:rsid w:val="689D49C6"/>
    <w:rsid w:val="6A535F74"/>
    <w:rsid w:val="6B7E1985"/>
    <w:rsid w:val="6E394A98"/>
    <w:rsid w:val="6E81656F"/>
    <w:rsid w:val="6ED872FF"/>
    <w:rsid w:val="6F642AF4"/>
    <w:rsid w:val="70310938"/>
    <w:rsid w:val="70796201"/>
    <w:rsid w:val="7261193B"/>
    <w:rsid w:val="74AF008E"/>
    <w:rsid w:val="759A216F"/>
    <w:rsid w:val="75A814FF"/>
    <w:rsid w:val="77253503"/>
    <w:rsid w:val="779E30CB"/>
    <w:rsid w:val="7801100A"/>
    <w:rsid w:val="78592FD3"/>
    <w:rsid w:val="78875A40"/>
    <w:rsid w:val="78F46178"/>
    <w:rsid w:val="7ACE4250"/>
    <w:rsid w:val="7BC307D9"/>
    <w:rsid w:val="7C4A40EA"/>
    <w:rsid w:val="7EA06D55"/>
    <w:rsid w:val="7F0A3C90"/>
    <w:rsid w:val="7F85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ody Text Indent 2"/>
    <w:basedOn w:val="1"/>
    <w:link w:val="14"/>
    <w:unhideWhenUsed/>
    <w:qFormat/>
    <w:uiPriority w:val="99"/>
    <w:pPr>
      <w:ind w:firstLine="588" w:firstLineChars="200"/>
    </w:pPr>
    <w:rPr>
      <w:rFonts w:ascii="仿宋_GB2312" w:hAnsi="Calibri" w:eastAsia="仿宋_GB2312"/>
      <w:sz w:val="32"/>
    </w:rPr>
  </w:style>
  <w:style w:type="paragraph" w:styleId="4">
    <w:name w:val="Balloon Text"/>
    <w:basedOn w:val="1"/>
    <w:link w:val="17"/>
    <w:semiHidden/>
    <w:qFormat/>
    <w:uiPriority w:val="0"/>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customStyle="1" w:styleId="10">
    <w:name w:val="页眉 字符"/>
    <w:basedOn w:val="8"/>
    <w:link w:val="6"/>
    <w:semiHidden/>
    <w:qFormat/>
    <w:uiPriority w:val="99"/>
    <w:rPr>
      <w:sz w:val="18"/>
      <w:szCs w:val="18"/>
    </w:rPr>
  </w:style>
  <w:style w:type="character" w:customStyle="1" w:styleId="11">
    <w:name w:val="页脚 字符"/>
    <w:basedOn w:val="8"/>
    <w:link w:val="5"/>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Char"/>
    <w:basedOn w:val="1"/>
    <w:qFormat/>
    <w:uiPriority w:val="0"/>
    <w:pPr>
      <w:autoSpaceDE w:val="0"/>
      <w:autoSpaceDN w:val="0"/>
      <w:adjustRightInd w:val="0"/>
    </w:pPr>
    <w:rPr>
      <w:rFonts w:ascii="宋体" w:cs="宋体"/>
      <w:kern w:val="0"/>
      <w:sz w:val="20"/>
      <w:szCs w:val="20"/>
      <w:lang w:val="zh-CN"/>
    </w:rPr>
  </w:style>
  <w:style w:type="character" w:customStyle="1" w:styleId="14">
    <w:name w:val="正文文本缩进 2 字符"/>
    <w:basedOn w:val="8"/>
    <w:link w:val="3"/>
    <w:qFormat/>
    <w:uiPriority w:val="99"/>
    <w:rPr>
      <w:rFonts w:ascii="仿宋_GB2312" w:hAnsi="Calibri" w:eastAsia="仿宋_GB2312" w:cs="Times New Roman"/>
      <w:sz w:val="32"/>
      <w:szCs w:val="24"/>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批注框文本 字符"/>
    <w:basedOn w:val="8"/>
    <w:link w:val="4"/>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5239</Words>
  <Characters>5497</Characters>
  <Lines>47</Lines>
  <Paragraphs>13</Paragraphs>
  <TotalTime>23</TotalTime>
  <ScaleCrop>false</ScaleCrop>
  <LinksUpToDate>false</LinksUpToDate>
  <CharactersWithSpaces>6078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2021-06-24T12:17:00Z</dcterms:created>
  <dc:creator>蒋恒意</dc:creator>
  <cp:lastModifiedBy>Administrator</cp:lastModifiedBy>
  <cp:lastPrinted>2021-06-25T03:03:00Z</cp:lastPrinted>
  <dcterms:modified xsi:type="dcterms:W3CDTF">2023-09-26T03:03:16Z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E5FC3B44943146CA9804276F835D89FA</vt:lpwstr>
  </property>
</Properties>
</file>