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60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湖南城陵矶新港区财政支出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60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66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财源建设奖励资金     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eastAsia="zh-CN"/>
        </w:rPr>
        <w:t>城陵矶新港区管理委员会招商联络部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lang w:eastAsia="zh-CN"/>
        </w:rPr>
        <w:t>城陵矶新港区管理委员会</w:t>
      </w:r>
      <w:r>
        <w:rPr>
          <w:rFonts w:hint="eastAsia" w:eastAsia="仿宋_GB2312"/>
          <w:sz w:val="32"/>
          <w:u w:val="single"/>
        </w:rPr>
        <w:t xml:space="preserve">                                     </w:t>
      </w:r>
    </w:p>
    <w:p>
      <w:pPr>
        <w:spacing w:beforeLines="50" w:line="760" w:lineRule="exact"/>
        <w:ind w:firstLine="476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76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16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2023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2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27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4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34"/>
        <w:gridCol w:w="791"/>
        <w:gridCol w:w="30"/>
        <w:gridCol w:w="1114"/>
        <w:gridCol w:w="191"/>
        <w:gridCol w:w="819"/>
        <w:gridCol w:w="178"/>
        <w:gridCol w:w="1287"/>
        <w:gridCol w:w="366"/>
        <w:gridCol w:w="486"/>
        <w:gridCol w:w="720"/>
        <w:gridCol w:w="318"/>
        <w:gridCol w:w="1001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1969" w:type="dxa"/>
            <w:gridSpan w:val="4"/>
            <w:vAlign w:val="center"/>
          </w:tcPr>
          <w:p>
            <w:pPr>
              <w:ind w:firstLine="948" w:firstLineChars="400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王虹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18073053007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1969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城陵矶新港区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9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8143" w:type="dxa"/>
            <w:gridSpan w:val="14"/>
            <w:vAlign w:val="center"/>
          </w:tcPr>
          <w:p>
            <w:pPr>
              <w:ind w:firstLine="1176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</w:rPr>
              <w:t xml:space="preserve">年   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 xml:space="preserve">  月起至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</w:rPr>
              <w:t xml:space="preserve">  年    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 xml:space="preserve">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70312</w:t>
            </w:r>
          </w:p>
        </w:tc>
        <w:tc>
          <w:tcPr>
            <w:tcW w:w="13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70312</w:t>
            </w:r>
          </w:p>
        </w:tc>
        <w:tc>
          <w:tcPr>
            <w:tcW w:w="23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2235.78</w:t>
            </w: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68076.22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8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3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23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70312</w:t>
            </w:r>
          </w:p>
        </w:tc>
        <w:tc>
          <w:tcPr>
            <w:tcW w:w="13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70312</w:t>
            </w:r>
          </w:p>
        </w:tc>
        <w:tc>
          <w:tcPr>
            <w:tcW w:w="23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2235.78</w:t>
            </w: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68076.22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购房契税及住房刚性需求补贴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196.72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厂房租金补贴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338.69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产业引导资金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申岳汽车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道道全补贴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攀华项目装卸及运输费用补贴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69.78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设备补贴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22.52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税收奖励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727.05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退还保证金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140.28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污水处理费及税费补贴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装修补贴资金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294.97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白杨湖北岸景观养护费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2235.78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630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30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实施财源建设扶持政策，对重点税源企业拢聚税源、增加地方税收等方面进行扶持和奖励，调动企业纳税积极性，稳定我区存量税源、拢聚增量税源。确保全区财政收入预算和收入增长目标的顺利完成。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达到年初绩效目标管理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82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11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项目产出指标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数量指标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租用厂房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121336m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质量指标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租厂房项目实现投产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时效指标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年度内按计划</w:t>
            </w:r>
            <w:r>
              <w:rPr>
                <w:rFonts w:hint="eastAsia" w:ascii="仿宋_GB2312" w:eastAsia="仿宋_GB2312"/>
                <w:spacing w:val="-8"/>
                <w:sz w:val="24"/>
                <w:szCs w:val="24"/>
                <w:lang w:eastAsia="zh-CN"/>
              </w:rPr>
              <w:t>发放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按计划完成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成本指标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按财政预算实施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未超预算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项目效益指标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经济效益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吸引相关企业落地投资，带动整体经济发展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社会效益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提升新港区在500强企业中的知名度影响力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实现高效率、低消耗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服务对象满意度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公众满意度</w:t>
            </w:r>
          </w:p>
        </w:tc>
        <w:tc>
          <w:tcPr>
            <w:tcW w:w="189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18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340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617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317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樊顺</w:t>
            </w:r>
          </w:p>
        </w:tc>
        <w:tc>
          <w:tcPr>
            <w:tcW w:w="2332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办公室主任</w:t>
            </w:r>
          </w:p>
        </w:tc>
        <w:tc>
          <w:tcPr>
            <w:tcW w:w="3177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招商联络部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王虹</w:t>
            </w:r>
          </w:p>
        </w:tc>
        <w:tc>
          <w:tcPr>
            <w:tcW w:w="2332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科员</w:t>
            </w:r>
          </w:p>
        </w:tc>
        <w:tc>
          <w:tcPr>
            <w:tcW w:w="317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招商联络部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exact"/>
          <w:jc w:val="center"/>
        </w:trPr>
        <w:tc>
          <w:tcPr>
            <w:tcW w:w="9582" w:type="dxa"/>
            <w:gridSpan w:val="15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exact"/>
          <w:jc w:val="center"/>
        </w:trPr>
        <w:tc>
          <w:tcPr>
            <w:tcW w:w="9582" w:type="dxa"/>
            <w:gridSpan w:val="15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hint="eastAsia" w:eastAsia="仿宋_GB2312"/>
                <w:b/>
                <w:bCs/>
                <w:sz w:val="36"/>
                <w:szCs w:val="36"/>
              </w:rPr>
            </w:pP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eastAsia="仿宋_GB2312"/>
                <w:b/>
                <w:bCs/>
                <w:sz w:val="36"/>
                <w:szCs w:val="36"/>
              </w:rPr>
            </w:pPr>
            <w:r>
              <w:rPr>
                <w:rFonts w:hint="eastAsia" w:eastAsia="仿宋_GB2312"/>
                <w:b/>
                <w:bCs/>
                <w:sz w:val="36"/>
                <w:szCs w:val="36"/>
              </w:rPr>
              <w:t>评价报告综述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eastAsia="仿宋_GB2312"/>
                <w:b/>
                <w:bCs/>
                <w:sz w:val="36"/>
                <w:szCs w:val="36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根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据《岳阳市财政局关于落实2020年度财政项目支出绩效自评及绩效监控工作的通知》（岳财预[2020]86号）要求，现对我单位财源建设奖励资金支出使用管理的绩效情况，开展了绩效自评工作，现将情况汇报如下：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项目基本概况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贯彻执行国家国内外贸易及国际经济合作的发展战略，有效推进招商引资和区域合作，为港区招商引资的组织、协调、监督、统计工作提供服务，促进本区招商引资快速发展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left="0" w:leftChars="0"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项目资金使用及管理情况</w:t>
            </w:r>
          </w:p>
          <w:p>
            <w:pPr>
              <w:pStyle w:val="3"/>
              <w:widowControl w:val="0"/>
              <w:spacing w:before="0" w:beforeAutospacing="0" w:after="0" w:afterAutospacing="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1、项目资金到位情况。截止2022年12月31日，我单位收到财政拨入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财源建设奖励资金</w:t>
            </w: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70312万元。</w:t>
            </w:r>
          </w:p>
          <w:p>
            <w:pPr>
              <w:pStyle w:val="3"/>
              <w:widowControl w:val="0"/>
              <w:spacing w:before="0" w:beforeAutospacing="0" w:after="0" w:afterAutospacing="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　　2、项目资金实际使用情况分析。我单位2022年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财源建设奖励资金</w:t>
            </w: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实际支出2235.78</w:t>
            </w: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万元，项目支出依照《会计法》、《会计基础工作规范》、《行政单位财务制</w:t>
            </w:r>
            <w:bookmarkStart w:id="0" w:name="_GoBack"/>
            <w:bookmarkEnd w:id="0"/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度》、《行政单位会计制度》、《国库集中支付管理规定》和《本单位财务管理制度》与财政年初预算安排的行政运行资金集合管理使用，采取总量控制、计划管理，按预算科目和项目资金的使用规定，坚持勤俭节约、量入为出，保证重点、兼顾一般、从严控制，以保证财政资金的安全和高效运行。</w:t>
            </w:r>
          </w:p>
          <w:p>
            <w:pPr>
              <w:pStyle w:val="3"/>
              <w:widowControl w:val="0"/>
              <w:spacing w:before="0" w:beforeAutospacing="0" w:after="0" w:afterAutospacing="0"/>
              <w:ind w:firstLine="48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3、项目资金管理情况分析。严格落实项目资金管理办法，严格审批流程，对所有的项目执行情况，由财务、分管负责人、部门负责人、主管领导共同把关，确保资金管理到位，使用安全。</w:t>
            </w:r>
          </w:p>
          <w:p>
            <w:p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pStyle w:val="3"/>
              <w:widowControl w:val="0"/>
              <w:spacing w:before="0" w:beforeAutospacing="0" w:after="0" w:afterAutospacing="0"/>
              <w:ind w:firstLine="48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</w:t>
            </w: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1、项目组织情况分析。对五万元以上的项目严格进行财评，对招投标的项目严格按程序进行，每个项目完成后，组织相关部门人员共同进行验收，对不达标的服务内容必须整改到位，否则不予认定不予支付，切实保障服务项目与服务要求一致。</w:t>
            </w:r>
          </w:p>
          <w:p>
            <w:pPr>
              <w:pStyle w:val="3"/>
              <w:widowControl w:val="0"/>
              <w:spacing w:before="0" w:beforeAutospacing="0" w:after="0" w:afterAutospacing="0"/>
              <w:ind w:firstLine="48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　2、项目管理情况分析。项目推进过程中，定期对服务项目开展督促，严格按时间进度进行评价，并作为考核合作单位的依据。邀请各部门宣传委员对宣传项目情况进行督查，提高监督的广度和密度。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（四）</w:t>
            </w:r>
            <w:r>
              <w:rPr>
                <w:rFonts w:hint="eastAsia" w:eastAsia="仿宋_GB2312"/>
                <w:sz w:val="30"/>
                <w:szCs w:val="30"/>
              </w:rPr>
              <w:t>综合评价情况及评价结论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1、本年预算配置控制较好。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2、预算执行方面，支出总额控制在预算总额以内；不存在截留或滞留专项资金情况。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预算管理方面，制度执行总体较为有效，仍需进一步强化；资金使用管理需进一步加强。</w:t>
            </w:r>
          </w:p>
          <w:p>
            <w:p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（五）项目主要绩效情况分析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根据自评绩效评分细则，我部严格执行预算管理、防止各种违反财经纪律的行为、保障重点、量入为出、收支平衡的原则，提高了资金使用效益， 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财源建设奖励资金</w:t>
            </w:r>
            <w:r>
              <w:rPr>
                <w:rFonts w:hint="eastAsia" w:eastAsia="仿宋_GB2312"/>
                <w:sz w:val="30"/>
                <w:szCs w:val="30"/>
              </w:rPr>
              <w:t>在项目绩效考核评价中自评合格率100%,优良率95%以上。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891" w:firstLineChars="300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3"/>
              </w:numPr>
              <w:spacing w:line="240" w:lineRule="auto"/>
              <w:ind w:firstLine="594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主要经验及做法、存在问题和建议</w:t>
            </w:r>
          </w:p>
          <w:p>
            <w:pPr>
              <w:pStyle w:val="3"/>
              <w:spacing w:before="0" w:beforeAutospacing="0" w:after="0" w:afterAutospacing="0" w:line="33" w:lineRule="atLeast"/>
              <w:ind w:firstLine="891" w:firstLineChars="300"/>
              <w:jc w:val="both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1.预算编制有待进一步加强，确保预算执行力度。预算管理制度不够健全，相应的管理制度还需要更加有效地执行。</w:t>
            </w:r>
          </w:p>
          <w:p>
            <w:pPr>
              <w:spacing w:line="560" w:lineRule="exact"/>
              <w:ind w:firstLine="594" w:firstLineChars="200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2.是资金安排并用于产生生态效益、经济效益的活动、项目有待于探索和加强。</w:t>
            </w:r>
          </w:p>
          <w:p>
            <w:pPr>
              <w:spacing w:line="560" w:lineRule="exact"/>
              <w:ind w:firstLine="594" w:firstLineChars="200"/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30"/>
                <w:szCs w:val="30"/>
                <w:lang w:val="en-US" w:eastAsia="zh-CN" w:bidi="ar-SA"/>
              </w:rPr>
              <w:t>加强学习。建议组织财务人员和部门工作人员预算、绩效工作培训，加强预算、绩效管理意识。严格财务审核，按照预算规定的项目进行财务核算，在预算金额内严格控制费用开支。</w:t>
            </w:r>
          </w:p>
          <w:p>
            <w:pPr>
              <w:spacing w:line="560" w:lineRule="exact"/>
              <w:ind w:firstLine="554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/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4" w:beforeLines="50" w:after="304" w:afterLines="50" w:line="560" w:lineRule="exact"/>
        <w:jc w:val="center"/>
        <w:textAlignment w:val="auto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4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98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>
      <w:pPr>
        <w:adjustRightInd w:val="0"/>
        <w:snapToGrid w:val="0"/>
        <w:spacing w:line="640" w:lineRule="exact"/>
        <w:contextualSpacing/>
        <w:rPr>
          <w:rFonts w:hint="eastAsia"/>
          <w:sz w:val="28"/>
          <w:szCs w:val="28"/>
        </w:rPr>
      </w:pPr>
    </w:p>
    <w:p/>
    <w:sectPr>
      <w:pgSz w:w="11906" w:h="16838"/>
      <w:pgMar w:top="1588" w:right="1588" w:bottom="1588" w:left="1588" w:header="851" w:footer="992" w:gutter="0"/>
      <w:pgNumType w:start="1"/>
      <w:cols w:space="720" w:num="1"/>
      <w:docGrid w:type="linesAndChars" w:linePitch="602" w:charSpace="-7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836E29"/>
    <w:multiLevelType w:val="singleLevel"/>
    <w:tmpl w:val="19836E2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BBDE222"/>
    <w:multiLevelType w:val="singleLevel"/>
    <w:tmpl w:val="1BBDE22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CFB9F93"/>
    <w:multiLevelType w:val="singleLevel"/>
    <w:tmpl w:val="2CFB9F93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YzI1ZDQzNzJiYzQ1OWZjY2IwOWE4NDM5ODFiNzYifQ=="/>
  </w:docVars>
  <w:rsids>
    <w:rsidRoot w:val="0D8E66ED"/>
    <w:rsid w:val="001C5989"/>
    <w:rsid w:val="017A5EF0"/>
    <w:rsid w:val="01DC3277"/>
    <w:rsid w:val="03091250"/>
    <w:rsid w:val="031713E0"/>
    <w:rsid w:val="05047E97"/>
    <w:rsid w:val="05D44C82"/>
    <w:rsid w:val="06E452A7"/>
    <w:rsid w:val="07E964EF"/>
    <w:rsid w:val="0AA50272"/>
    <w:rsid w:val="0B8210A0"/>
    <w:rsid w:val="0CEC11E8"/>
    <w:rsid w:val="0D8E66ED"/>
    <w:rsid w:val="0FAB490E"/>
    <w:rsid w:val="1220238E"/>
    <w:rsid w:val="12364C36"/>
    <w:rsid w:val="124D7D31"/>
    <w:rsid w:val="12D24479"/>
    <w:rsid w:val="156C3923"/>
    <w:rsid w:val="166E331E"/>
    <w:rsid w:val="16F041E6"/>
    <w:rsid w:val="173300B0"/>
    <w:rsid w:val="18487F66"/>
    <w:rsid w:val="18933DE3"/>
    <w:rsid w:val="18D906B6"/>
    <w:rsid w:val="1D2E09A3"/>
    <w:rsid w:val="1D940EAF"/>
    <w:rsid w:val="1DB767CD"/>
    <w:rsid w:val="1DE22839"/>
    <w:rsid w:val="1F4D6119"/>
    <w:rsid w:val="1FFB05D4"/>
    <w:rsid w:val="209169AC"/>
    <w:rsid w:val="21D3341E"/>
    <w:rsid w:val="22B17F28"/>
    <w:rsid w:val="237D7A48"/>
    <w:rsid w:val="244F61EB"/>
    <w:rsid w:val="246A731A"/>
    <w:rsid w:val="257758F6"/>
    <w:rsid w:val="25D54AB7"/>
    <w:rsid w:val="26CB0C69"/>
    <w:rsid w:val="281909F7"/>
    <w:rsid w:val="287B2B6B"/>
    <w:rsid w:val="29F77908"/>
    <w:rsid w:val="2AA135CE"/>
    <w:rsid w:val="2ABA4949"/>
    <w:rsid w:val="2DD418A0"/>
    <w:rsid w:val="2FBA4EEB"/>
    <w:rsid w:val="30B973ED"/>
    <w:rsid w:val="31A96801"/>
    <w:rsid w:val="32B0724F"/>
    <w:rsid w:val="331669D7"/>
    <w:rsid w:val="333202BC"/>
    <w:rsid w:val="36093EED"/>
    <w:rsid w:val="364A4F82"/>
    <w:rsid w:val="376F7A7E"/>
    <w:rsid w:val="379A3058"/>
    <w:rsid w:val="39F262B7"/>
    <w:rsid w:val="3AE61C4B"/>
    <w:rsid w:val="3B416548"/>
    <w:rsid w:val="3CE37662"/>
    <w:rsid w:val="3D125298"/>
    <w:rsid w:val="3F0D190C"/>
    <w:rsid w:val="3F9F08E3"/>
    <w:rsid w:val="3FCB30DE"/>
    <w:rsid w:val="40412D1C"/>
    <w:rsid w:val="40C725C8"/>
    <w:rsid w:val="41782A6F"/>
    <w:rsid w:val="41D9274B"/>
    <w:rsid w:val="423E5018"/>
    <w:rsid w:val="438C3464"/>
    <w:rsid w:val="459F7DA8"/>
    <w:rsid w:val="46781857"/>
    <w:rsid w:val="472459A9"/>
    <w:rsid w:val="47264693"/>
    <w:rsid w:val="472C1271"/>
    <w:rsid w:val="48BA396D"/>
    <w:rsid w:val="48C3469E"/>
    <w:rsid w:val="491055EA"/>
    <w:rsid w:val="495622BD"/>
    <w:rsid w:val="4B3D0885"/>
    <w:rsid w:val="4E123E12"/>
    <w:rsid w:val="4ED86A7F"/>
    <w:rsid w:val="50007C6A"/>
    <w:rsid w:val="506A561B"/>
    <w:rsid w:val="50770396"/>
    <w:rsid w:val="512C3D24"/>
    <w:rsid w:val="53CD2C88"/>
    <w:rsid w:val="54A86E43"/>
    <w:rsid w:val="57730412"/>
    <w:rsid w:val="57DB56AE"/>
    <w:rsid w:val="58B04D05"/>
    <w:rsid w:val="59483E65"/>
    <w:rsid w:val="595039E2"/>
    <w:rsid w:val="59B34759"/>
    <w:rsid w:val="5A322532"/>
    <w:rsid w:val="5B831654"/>
    <w:rsid w:val="5C7B189C"/>
    <w:rsid w:val="5CA11C62"/>
    <w:rsid w:val="5CF91C5E"/>
    <w:rsid w:val="5D8B7B64"/>
    <w:rsid w:val="5E3E6E9A"/>
    <w:rsid w:val="60881302"/>
    <w:rsid w:val="61453812"/>
    <w:rsid w:val="61477AF4"/>
    <w:rsid w:val="61F5280C"/>
    <w:rsid w:val="65885042"/>
    <w:rsid w:val="65982132"/>
    <w:rsid w:val="66DC0AFB"/>
    <w:rsid w:val="679B1D79"/>
    <w:rsid w:val="67E57E69"/>
    <w:rsid w:val="6AFC7876"/>
    <w:rsid w:val="6B085C5E"/>
    <w:rsid w:val="6B955CEF"/>
    <w:rsid w:val="6BF92266"/>
    <w:rsid w:val="6DA77E9C"/>
    <w:rsid w:val="6EA377E8"/>
    <w:rsid w:val="6F50769C"/>
    <w:rsid w:val="720D7C27"/>
    <w:rsid w:val="73C30FF4"/>
    <w:rsid w:val="73E84A25"/>
    <w:rsid w:val="74805FCE"/>
    <w:rsid w:val="74ED19CF"/>
    <w:rsid w:val="750C2746"/>
    <w:rsid w:val="75A8130B"/>
    <w:rsid w:val="75BB4D7F"/>
    <w:rsid w:val="766905FD"/>
    <w:rsid w:val="770F0450"/>
    <w:rsid w:val="789C2023"/>
    <w:rsid w:val="791C0F2F"/>
    <w:rsid w:val="7A175CEB"/>
    <w:rsid w:val="7A475DF6"/>
    <w:rsid w:val="7A9614A3"/>
    <w:rsid w:val="7AC836A2"/>
    <w:rsid w:val="7BD96277"/>
    <w:rsid w:val="7D7960FD"/>
    <w:rsid w:val="7DCC75EF"/>
    <w:rsid w:val="7F2151CC"/>
    <w:rsid w:val="7F462CD6"/>
    <w:rsid w:val="7F6254C5"/>
    <w:rsid w:val="7FF7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3683</Words>
  <Characters>3921</Characters>
  <Lines>0</Lines>
  <Paragraphs>0</Paragraphs>
  <TotalTime>0</TotalTime>
  <ScaleCrop>false</ScaleCrop>
  <LinksUpToDate>false</LinksUpToDate>
  <CharactersWithSpaces>4517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2021-07-13T06:14:00Z</dcterms:created>
  <dc:creator>Administrator</dc:creator>
  <cp:lastModifiedBy>Luka</cp:lastModifiedBy>
  <cp:lastPrinted>2023-08-29T08:22:13Z</cp:lastPrinted>
  <dcterms:modified xsi:type="dcterms:W3CDTF">2023-08-29T08:26:05Z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9D9BC186FF8F4F5D911CCA97D772E94A</vt:lpwstr>
  </property>
</Properties>
</file>