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w:t>
      </w:r>
      <w:r>
        <w:rPr>
          <w:rFonts w:hint="eastAsia" w:ascii="宋体" w:hAnsi="宋体" w:eastAsia="宋体"/>
          <w:sz w:val="32"/>
          <w:szCs w:val="32"/>
        </w:rPr>
        <w:t>√</w:t>
      </w:r>
      <w:r>
        <w:rPr>
          <w:rFonts w:hint="eastAsia" w:eastAsia="仿宋_GB2312"/>
          <w:sz w:val="32"/>
          <w:szCs w:val="32"/>
        </w:rPr>
        <w:t xml:space="preserve">   项目完成结果评价□</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ascii="仿宋_GB2312" w:hAnsi="Arial" w:eastAsia="仿宋_GB2312" w:cs="仿宋_GB2312"/>
          <w:sz w:val="32"/>
          <w:szCs w:val="32"/>
          <w:shd w:val="clear" w:color="auto" w:fill="FFFFFF"/>
        </w:rPr>
        <w:t>非公党建专项</w:t>
      </w:r>
    </w:p>
    <w:p>
      <w:pPr>
        <w:spacing w:beforeLines="50" w:line="760" w:lineRule="exact"/>
        <w:ind w:firstLine="476" w:firstLineChars="150"/>
        <w:rPr>
          <w:rFonts w:eastAsia="仿宋_GB2312"/>
          <w:sz w:val="32"/>
        </w:rPr>
      </w:pPr>
      <w:r>
        <w:rPr>
          <w:rFonts w:hint="eastAsia" w:eastAsia="仿宋_GB2312"/>
          <w:sz w:val="32"/>
        </w:rPr>
        <w:t>项目单位：党群工作部</w:t>
      </w:r>
    </w:p>
    <w:p>
      <w:pPr>
        <w:spacing w:beforeLines="50" w:line="760" w:lineRule="exact"/>
        <w:ind w:firstLine="476" w:firstLineChars="150"/>
        <w:rPr>
          <w:rFonts w:eastAsia="仿宋_GB2312"/>
          <w:sz w:val="32"/>
          <w:u w:val="single"/>
        </w:rPr>
      </w:pPr>
      <w:r>
        <w:rPr>
          <w:rFonts w:hint="eastAsia" w:eastAsia="仿宋_GB2312"/>
          <w:sz w:val="32"/>
        </w:rPr>
        <w:t>主管部门：党群工作部</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报告日期：2023年3月3日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龚瑾瑞</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18273000797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spacing w:line="240" w:lineRule="exact"/>
              <w:rPr>
                <w:rFonts w:eastAsia="仿宋_GB2312"/>
                <w:sz w:val="24"/>
              </w:rPr>
            </w:pPr>
            <w:r>
              <w:rPr>
                <w:rFonts w:hint="eastAsia" w:eastAsia="仿宋_GB2312"/>
                <w:sz w:val="24"/>
              </w:rPr>
              <w:t>城陵矶新港区通关服务中心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rPr>
              <w:t>2022年     1  月起至      2022年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56</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56</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r>
              <w:rPr>
                <w:rFonts w:hint="eastAsia" w:eastAsia="仿宋_GB2312"/>
                <w:sz w:val="24"/>
              </w:rPr>
              <w:t>56</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印刷费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1,120.00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43060714306070000161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直播技术服务费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23,800.00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43060714306070000151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活动策划费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31,400.00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43060714306070000157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航拍服务费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33,600.00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43060714306070000156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广告制作费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26,574.00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43060714306070000223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5,000.00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43060714306070000605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30,000.00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43060714306070000603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差旅费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7,038.00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43060714306070000947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43060714306070000933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43060714306070000943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43060714306070000946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43060714306070000929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印刷费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1,300.00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43060714306070000992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办公费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324.00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43060714306070000981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慰问金</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43060714306070000979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办公费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324.00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43060714306070001071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办公费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3,443.00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43060714306070001204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印刷费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25,680.00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43060714306070001510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公务接待费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1,167.00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43060714306070001536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会议费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3,080.00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43060714306070001682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办公费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2,317.00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43060714306070001685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委托业务费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78,249.00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43060714306070001676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会议费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3,220.00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43060714306070001683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4,800.00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43060714306070001699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6,325.00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43060714306070001671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5,000.00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43060714306070001701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办公费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980.00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43060714306070002046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图书资料购置费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4,847.20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43060714306070002049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差旅费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43060714306070002086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差旅费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43060714306070002096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图书资料购置费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1,680.00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43060714306070002219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3,240.00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43060714306070002497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餐费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3,600.00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43060714306070002509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会议费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43060714306070002576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43060714306070002502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4-7月党建物料制作费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4,861.00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4306070002022521400008024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党群工作部-非共党员档案盒购买</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2,070.50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4306070002022521400011609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党群-6-8月文印费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26,076.00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4306070002022521400012087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党群-纪实手册和发展手册打印</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4,880.00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4306070002022521400016070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党群-基层党务工作手册印刷费用</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4,800.00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4306070002022521400018414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党群-22年23年非公有制党建书籍订阅</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9,000.00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4306070002022521400023251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党群-杂志订阅党建研究等</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1,260.00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4306070002022521400026819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党群-杂志订阅党支部工作指导</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1,687.00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4306070002022521400026816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党群-一课一片一实践活动</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4306070002022521400028438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党群-党的十二精神集中轮训等培训费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4306070002022521400028448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党群-党的十二精神集中轮训等培训费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2,288.00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4306070002022521400028413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党群-党的十二精神集中轮训等培训费</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3,600.00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4306070002022521400028419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党群-特校献爱心活动</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38,254.00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4306070002022521400028425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党群-二十大精神宣传（公交站）</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43,691.80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4306070002022521400031620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党群-二十大精神宣传（公交站）</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1,689.20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4306070002022521400031625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党群-9-11月工作餐</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7,000.00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4306070002022521400031627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党群-9-11月工作餐</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13,000.00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4306070002022521400031645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党群-9-11月工作餐</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9,156.00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4306070002022521400031619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党群-党徽购置</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660.00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4306070002022521400031621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rPr>
                <w:rFonts w:ascii="宋体" w:hAnsi="宋体" w:eastAsia="宋体" w:cs="宋体"/>
                <w:sz w:val="18"/>
                <w:szCs w:val="18"/>
              </w:rPr>
            </w:pPr>
            <w:r>
              <w:rPr>
                <w:rFonts w:hint="eastAsia"/>
                <w:sz w:val="18"/>
                <w:szCs w:val="18"/>
              </w:rPr>
              <w:t>党群-党群服务中心整体资料宣传更新</w:t>
            </w:r>
          </w:p>
        </w:tc>
        <w:tc>
          <w:tcPr>
            <w:tcW w:w="1822" w:type="dxa"/>
            <w:gridSpan w:val="2"/>
            <w:tcBorders>
              <w:bottom w:val="single" w:color="auto" w:sz="4" w:space="0"/>
            </w:tcBorders>
            <w:vAlign w:val="center"/>
          </w:tcPr>
          <w:p>
            <w:pPr>
              <w:jc w:val="right"/>
              <w:rPr>
                <w:rFonts w:ascii="宋体" w:hAnsi="宋体" w:eastAsia="宋体" w:cs="宋体"/>
                <w:sz w:val="18"/>
                <w:szCs w:val="18"/>
              </w:rPr>
            </w:pPr>
            <w:r>
              <w:rPr>
                <w:rFonts w:hint="eastAsia"/>
                <w:sz w:val="18"/>
                <w:szCs w:val="18"/>
              </w:rPr>
              <w:t>46,671.00</w:t>
            </w:r>
          </w:p>
        </w:tc>
        <w:tc>
          <w:tcPr>
            <w:tcW w:w="2342" w:type="dxa"/>
            <w:gridSpan w:val="5"/>
            <w:tcBorders>
              <w:bottom w:val="single" w:color="auto" w:sz="4" w:space="0"/>
            </w:tcBorders>
            <w:vAlign w:val="center"/>
          </w:tcPr>
          <w:p>
            <w:pPr>
              <w:adjustRightInd w:val="0"/>
              <w:snapToGrid w:val="0"/>
              <w:spacing w:line="240" w:lineRule="exact"/>
              <w:rPr>
                <w:rFonts w:ascii="宋体" w:hAnsi="宋体" w:eastAsia="宋体" w:cs="宋体"/>
                <w:sz w:val="18"/>
                <w:szCs w:val="18"/>
              </w:rPr>
            </w:pPr>
            <w:r>
              <w:rPr>
                <w:rFonts w:hint="eastAsia"/>
                <w:sz w:val="18"/>
                <w:szCs w:val="18"/>
              </w:rPr>
              <w:t>4306070002022521400032493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558952.7</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spacing w:line="240" w:lineRule="exact"/>
              <w:jc w:val="left"/>
              <w:rPr>
                <w:rFonts w:eastAsia="仿宋_GB2312"/>
                <w:sz w:val="24"/>
              </w:rPr>
            </w:pPr>
          </w:p>
          <w:p>
            <w:pPr>
              <w:spacing w:line="240" w:lineRule="exact"/>
              <w:jc w:val="left"/>
              <w:rPr>
                <w:rFonts w:eastAsia="仿宋_GB2312"/>
                <w:sz w:val="24"/>
              </w:rPr>
            </w:pPr>
            <w:r>
              <w:rPr>
                <w:rFonts w:hint="eastAsia" w:eastAsia="仿宋_GB2312"/>
                <w:sz w:val="24"/>
              </w:rPr>
              <w:t>1、完成非公企业党员教育活动培训、党务骨干培训、七一庆祝活动</w:t>
            </w:r>
          </w:p>
          <w:p>
            <w:pPr>
              <w:spacing w:line="240" w:lineRule="exact"/>
              <w:jc w:val="left"/>
              <w:rPr>
                <w:rFonts w:eastAsia="仿宋_GB2312"/>
                <w:b/>
                <w:sz w:val="24"/>
              </w:rPr>
            </w:pPr>
            <w:r>
              <w:rPr>
                <w:rFonts w:hint="eastAsia" w:eastAsia="仿宋_GB2312"/>
                <w:sz w:val="24"/>
              </w:rPr>
              <w:t>2、新建党组织启动、市党组织标杆引领计划实施及示范点创建、非公企业党组织书记津补贴、困难党组织活动</w:t>
            </w:r>
          </w:p>
        </w:tc>
        <w:tc>
          <w:tcPr>
            <w:tcW w:w="3036" w:type="dxa"/>
            <w:gridSpan w:val="3"/>
            <w:tcBorders>
              <w:bottom w:val="single" w:color="auto" w:sz="4" w:space="0"/>
            </w:tcBorders>
            <w:vAlign w:val="center"/>
          </w:tcPr>
          <w:p>
            <w:pPr>
              <w:spacing w:line="240" w:lineRule="exact"/>
              <w:jc w:val="left"/>
              <w:rPr>
                <w:rFonts w:eastAsia="仿宋_GB2312"/>
                <w:b/>
                <w:sz w:val="24"/>
              </w:rPr>
            </w:pPr>
            <w:r>
              <w:rPr>
                <w:rFonts w:hint="eastAsia" w:ascii="仿宋_GB2312" w:hAnsi="仿宋_GB2312" w:eastAsia="仿宋_GB2312" w:cs="仿宋_GB2312"/>
                <w:color w:val="000000"/>
                <w:sz w:val="24"/>
              </w:rPr>
              <w:t>新增党支部49家，新发展党员55人，新接收党员286人,归属流动党员119人，基层党组织和党员数量与去年相比实现“双翻番”。积极谋划七一表彰及慰问活动，扎实推进“红色传承 携手共建”“我为企业解难题，我为群众办实事”等实践活动，各机关支部与非公企业支部共同开展活动50余次，共上党课30余次，为群众办实事为企业解决难题共300余件。联合工青妇等群团组织，开展趣味运动会、读书节、篮球赛、职业技能培训班、电影党课"一课一片一实践"等企业文化节活动20余次，丰富园区5万余名企业职工的业余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240" w:lineRule="exact"/>
              <w:jc w:val="center"/>
              <w:rPr>
                <w:rFonts w:eastAsia="仿宋_GB2312"/>
                <w:sz w:val="24"/>
              </w:rPr>
            </w:pPr>
            <w:r>
              <w:rPr>
                <w:rFonts w:hint="eastAsia" w:ascii="仿宋_GB2312" w:hAnsi="仿宋_GB2312" w:eastAsia="仿宋_GB2312" w:cs="仿宋_GB2312"/>
                <w:color w:val="000000"/>
                <w:sz w:val="24"/>
              </w:rPr>
              <w:t>新增党支部49家，新发展党员55人，新接收党员286人</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240" w:lineRule="exact"/>
              <w:jc w:val="center"/>
              <w:rPr>
                <w:rFonts w:eastAsia="仿宋_GB2312"/>
                <w:sz w:val="24"/>
              </w:rPr>
            </w:pPr>
            <w:r>
              <w:rPr>
                <w:rFonts w:hint="eastAsia" w:ascii="仿宋_GB2312" w:hAnsi="仿宋_GB2312" w:eastAsia="仿宋_GB2312" w:cs="仿宋_GB2312"/>
                <w:color w:val="000000"/>
                <w:sz w:val="24"/>
              </w:rPr>
              <w:t>基层党组织和党员数量与去年相比实现“双翻番”</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Align w:val="center"/>
          </w:tcPr>
          <w:p>
            <w:pPr>
              <w:spacing w:line="240" w:lineRule="exact"/>
              <w:jc w:val="center"/>
              <w:rPr>
                <w:rFonts w:eastAsia="仿宋_GB2312"/>
                <w:sz w:val="24"/>
              </w:rPr>
            </w:pPr>
            <w:r>
              <w:rPr>
                <w:rFonts w:hint="eastAsia" w:eastAsia="仿宋_GB2312"/>
                <w:sz w:val="24"/>
              </w:rPr>
              <w:t>全年完成</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Align w:val="center"/>
          </w:tcPr>
          <w:p>
            <w:pPr>
              <w:spacing w:line="240" w:lineRule="exact"/>
              <w:jc w:val="center"/>
              <w:rPr>
                <w:rFonts w:eastAsia="仿宋_GB2312"/>
                <w:sz w:val="24"/>
              </w:rPr>
            </w:pPr>
            <w:r>
              <w:rPr>
                <w:rFonts w:hint="eastAsia" w:eastAsia="仿宋_GB2312"/>
                <w:sz w:val="24"/>
              </w:rPr>
              <w:t>费用不超过56万元</w:t>
            </w:r>
          </w:p>
        </w:tc>
        <w:tc>
          <w:tcPr>
            <w:tcW w:w="1082" w:type="dxa"/>
            <w:gridSpan w:val="2"/>
            <w:vAlign w:val="center"/>
          </w:tcPr>
          <w:p>
            <w:pPr>
              <w:jc w:val="center"/>
              <w:rPr>
                <w:rFonts w:eastAsia="仿宋_GB2312"/>
                <w:sz w:val="24"/>
              </w:rPr>
            </w:pPr>
            <w:r>
              <w:rPr>
                <w:rFonts w:hint="eastAsia" w:eastAsia="仿宋_GB2312"/>
                <w:sz w:val="24"/>
              </w:rPr>
              <w:t>56</w:t>
            </w:r>
          </w:p>
        </w:tc>
        <w:tc>
          <w:tcPr>
            <w:tcW w:w="3036" w:type="dxa"/>
            <w:gridSpan w:val="3"/>
            <w:vAlign w:val="center"/>
          </w:tcPr>
          <w:p>
            <w:pPr>
              <w:jc w:val="center"/>
              <w:rPr>
                <w:rFonts w:eastAsia="仿宋_GB2312"/>
                <w:sz w:val="24"/>
              </w:rPr>
            </w:pPr>
            <w:r>
              <w:rPr>
                <w:rFonts w:hint="eastAsia" w:eastAsia="仿宋_GB2312"/>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240" w:lineRule="exact"/>
              <w:jc w:val="center"/>
              <w:rPr>
                <w:rFonts w:eastAsia="仿宋_GB2312"/>
                <w:sz w:val="24"/>
              </w:rPr>
            </w:pPr>
            <w:r>
              <w:rPr>
                <w:rFonts w:hint="eastAsia" w:eastAsia="仿宋_GB2312"/>
                <w:sz w:val="24"/>
              </w:rPr>
              <w:t>凝聚区内党员，为经济发展助力</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240" w:lineRule="exact"/>
              <w:jc w:val="center"/>
              <w:rPr>
                <w:rFonts w:eastAsia="仿宋_GB2312"/>
                <w:sz w:val="24"/>
              </w:rPr>
            </w:pPr>
            <w:r>
              <w:rPr>
                <w:rFonts w:hint="eastAsia" w:eastAsia="仿宋_GB2312"/>
                <w:sz w:val="24"/>
              </w:rPr>
              <w:t>提供良好活动环境，利于红色活动开展。</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240" w:lineRule="exact"/>
              <w:jc w:val="center"/>
              <w:rPr>
                <w:rFonts w:eastAsia="仿宋_GB2312"/>
                <w:sz w:val="24"/>
              </w:rPr>
            </w:pPr>
            <w:r>
              <w:rPr>
                <w:rFonts w:hint="eastAsia" w:eastAsia="仿宋_GB2312"/>
                <w:sz w:val="24"/>
              </w:rPr>
              <w:t>改造环境更温馨舒适，宜居宜业</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240" w:lineRule="exact"/>
              <w:jc w:val="center"/>
              <w:rPr>
                <w:rFonts w:eastAsia="仿宋_GB2312"/>
                <w:sz w:val="24"/>
              </w:rPr>
            </w:pPr>
            <w:r>
              <w:rPr>
                <w:rFonts w:hint="eastAsia" w:eastAsia="仿宋_GB2312"/>
                <w:sz w:val="24"/>
              </w:rPr>
              <w:t>区内党员群众生活幸福感提高</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胡雅琴</w:t>
            </w:r>
          </w:p>
        </w:tc>
        <w:tc>
          <w:tcPr>
            <w:tcW w:w="2332" w:type="dxa"/>
            <w:gridSpan w:val="4"/>
            <w:vAlign w:val="center"/>
          </w:tcPr>
          <w:p>
            <w:pPr>
              <w:rPr>
                <w:rFonts w:eastAsia="仿宋_GB2312"/>
                <w:sz w:val="24"/>
              </w:rPr>
            </w:pPr>
            <w:r>
              <w:rPr>
                <w:rFonts w:hint="eastAsia" w:eastAsia="仿宋_GB2312"/>
                <w:sz w:val="24"/>
              </w:rPr>
              <w:t>科员</w:t>
            </w:r>
          </w:p>
        </w:tc>
        <w:tc>
          <w:tcPr>
            <w:tcW w:w="1950" w:type="dxa"/>
            <w:gridSpan w:val="4"/>
            <w:vAlign w:val="center"/>
          </w:tcPr>
          <w:p>
            <w:pPr>
              <w:rPr>
                <w:rFonts w:eastAsia="仿宋_GB2312"/>
                <w:sz w:val="24"/>
              </w:rPr>
            </w:pPr>
            <w:r>
              <w:rPr>
                <w:rFonts w:hint="eastAsia" w:eastAsia="仿宋_GB2312"/>
                <w:sz w:val="24"/>
              </w:rPr>
              <w:t>党群工作部</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94" w:firstLineChars="200"/>
              <w:rPr>
                <w:rFonts w:eastAsia="仿宋_GB2312"/>
                <w:sz w:val="30"/>
                <w:szCs w:val="30"/>
              </w:rPr>
            </w:pPr>
            <w:r>
              <w:rPr>
                <w:rFonts w:hint="eastAsia" w:eastAsia="仿宋_GB2312"/>
                <w:sz w:val="30"/>
                <w:szCs w:val="30"/>
              </w:rPr>
              <w:t>（一）项目基本概况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党群工作部门共有8人，部门严格按照省委市委的部署要求，始终坚持“稳中求进”总基调，聚焦主业，深入推进全区党的建设、组织人事人才、统一战线、人大政协等工作，圆满完成了年度各项目标任务。</w:t>
            </w:r>
          </w:p>
          <w:p>
            <w:pPr>
              <w:spacing w:line="560" w:lineRule="exact"/>
              <w:ind w:firstLine="554" w:firstLineChars="200"/>
              <w:rPr>
                <w:rFonts w:eastAsia="仿宋_GB2312"/>
                <w:sz w:val="30"/>
                <w:szCs w:val="30"/>
              </w:rPr>
            </w:pPr>
            <w:r>
              <w:rPr>
                <w:rFonts w:hint="eastAsia" w:ascii="仿宋_GB2312" w:hAnsi="仿宋_GB2312" w:eastAsia="仿宋_GB2312" w:cs="仿宋_GB2312"/>
                <w:bCs/>
                <w:sz w:val="28"/>
                <w:szCs w:val="28"/>
              </w:rPr>
              <w:t>非公党建专项用于区内两新党建建设工作，2022年我区新增党支部49家，新发展党员55人，新接收党员286人,归属流动党员119人，基层党组织和党员数量与去年相比实现“双翻番”。积极谋划七一表彰及慰问活动，扎实推进“红色传承 携手共建”“我为企业解难题，我为群众办实事”等实践活动，各机关支部与非公企业支部共同开展活动50余次，共上党课30余次，为群众办实事为企业解决难题共300余件。联合工青妇等群团组织，开展趣味运动会、读书节、篮球赛、职业技能培训班、电影党课"一课一片一实践"等企业文化节活动20余次，丰富园区5万余名企业职工的业余生活，切实增加园区党员“此心安处是吾乡”的归属感和幸福感</w:t>
            </w:r>
          </w:p>
          <w:p>
            <w:pPr>
              <w:spacing w:line="560" w:lineRule="exact"/>
              <w:ind w:firstLine="594" w:firstLineChars="200"/>
              <w:rPr>
                <w:rFonts w:eastAsia="仿宋_GB2312"/>
                <w:sz w:val="30"/>
                <w:szCs w:val="30"/>
              </w:rPr>
            </w:pPr>
            <w:r>
              <w:rPr>
                <w:rFonts w:hint="eastAsia" w:eastAsia="仿宋_GB2312"/>
                <w:sz w:val="30"/>
                <w:szCs w:val="30"/>
              </w:rPr>
              <w:t>（二）项目资金使用及管理情况</w:t>
            </w:r>
          </w:p>
          <w:p>
            <w:pPr>
              <w:spacing w:line="560" w:lineRule="exact"/>
              <w:ind w:firstLine="594" w:firstLineChars="200"/>
              <w:rPr>
                <w:rFonts w:eastAsia="仿宋_GB2312"/>
                <w:sz w:val="30"/>
                <w:szCs w:val="30"/>
              </w:rPr>
            </w:pPr>
            <w:r>
              <w:rPr>
                <w:rFonts w:hint="eastAsia" w:eastAsia="仿宋_GB2312"/>
                <w:sz w:val="30"/>
                <w:szCs w:val="30"/>
              </w:rPr>
              <w:t>项目资金由财政拨款，共计投入56万元，实际使用56万元，</w:t>
            </w:r>
            <w:r>
              <w:rPr>
                <w:rFonts w:hint="eastAsia" w:ascii="仿宋_GB2312" w:hAnsi="仿宋_GB2312" w:eastAsia="仿宋_GB2312" w:cs="仿宋_GB2312"/>
                <w:bCs/>
                <w:sz w:val="28"/>
                <w:szCs w:val="28"/>
              </w:rPr>
              <w:t>实际使用情况与预算情况一致，且发挥了专项资金效益。</w:t>
            </w:r>
          </w:p>
          <w:p>
            <w:pPr>
              <w:spacing w:line="560" w:lineRule="exact"/>
              <w:ind w:firstLine="594" w:firstLineChars="200"/>
              <w:rPr>
                <w:rFonts w:eastAsia="仿宋_GB2312"/>
                <w:sz w:val="30"/>
                <w:szCs w:val="30"/>
              </w:rPr>
            </w:pPr>
            <w:r>
              <w:rPr>
                <w:rFonts w:hint="eastAsia" w:eastAsia="仿宋_GB2312"/>
                <w:sz w:val="30"/>
                <w:szCs w:val="30"/>
              </w:rPr>
              <w:t>（三）项目组织实施情况</w:t>
            </w:r>
          </w:p>
          <w:p>
            <w:pPr>
              <w:snapToGrid w:val="0"/>
              <w:spacing w:line="600" w:lineRule="exact"/>
              <w:ind w:firstLine="594" w:firstLineChars="200"/>
              <w:rPr>
                <w:rFonts w:eastAsia="仿宋_GB2312"/>
                <w:sz w:val="30"/>
                <w:szCs w:val="30"/>
              </w:rPr>
            </w:pPr>
            <w:r>
              <w:rPr>
                <w:rFonts w:hint="eastAsia" w:eastAsia="仿宋_GB2312"/>
                <w:sz w:val="30"/>
                <w:szCs w:val="30"/>
              </w:rPr>
              <w:t>项目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spacing w:line="560" w:lineRule="exact"/>
              <w:ind w:firstLine="594" w:firstLineChars="200"/>
              <w:rPr>
                <w:rFonts w:eastAsia="仿宋_GB2312"/>
                <w:sz w:val="30"/>
                <w:szCs w:val="30"/>
              </w:rPr>
            </w:pPr>
            <w:r>
              <w:rPr>
                <w:rFonts w:hint="eastAsia" w:eastAsia="仿宋_GB2312"/>
                <w:sz w:val="30"/>
                <w:szCs w:val="30"/>
              </w:rPr>
              <w:t>（四）综合评价情况及评价结论</w:t>
            </w:r>
          </w:p>
          <w:p>
            <w:pPr>
              <w:spacing w:line="560" w:lineRule="exact"/>
              <w:ind w:firstLine="594" w:firstLineChars="200"/>
              <w:rPr>
                <w:rFonts w:eastAsia="仿宋_GB2312"/>
                <w:sz w:val="30"/>
                <w:szCs w:val="30"/>
              </w:rPr>
            </w:pPr>
            <w:r>
              <w:rPr>
                <w:rFonts w:hint="eastAsia" w:eastAsia="仿宋_GB2312"/>
                <w:sz w:val="30"/>
                <w:szCs w:val="30"/>
              </w:rPr>
              <w:t>项目改造符合经济性、效率性、有效性和可持续性要求，项目完成顺利，后续效益影响较好。</w:t>
            </w:r>
          </w:p>
          <w:p>
            <w:pPr>
              <w:spacing w:line="560" w:lineRule="exact"/>
              <w:ind w:firstLine="594" w:firstLineChars="200"/>
              <w:rPr>
                <w:rFonts w:eastAsia="仿宋_GB2312"/>
                <w:sz w:val="30"/>
                <w:szCs w:val="30"/>
              </w:rPr>
            </w:pPr>
            <w:r>
              <w:rPr>
                <w:rFonts w:hint="eastAsia" w:eastAsia="仿宋_GB2312"/>
                <w:sz w:val="30"/>
                <w:szCs w:val="30"/>
              </w:rPr>
              <w:t>（五）项目主要绩效情况分析</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2022年我区新增党支部49家，新发展党员55人，新接收党员286人,归属流动党员119人，基层党组织和党员数量与去年相比实现“双翻番”。积极谋划七一表彰及慰问活动，扎实推进“红色传承 携手共建”“我为企业解难题，我为群众办实事”等实践活动，各机关支部与非公企业支部共同开展活动50余次，共上党课30余次，为群众办实事为企业解决难题共300余件。联合工青妇等群团组织，开展趣味运动会、读书节、篮球赛、职业技能培训班、电影党课"一课一片一实践"等企业文化节活动20余次，丰富园区5万余名企业职工的业余生活，切实增加园区党员“此心安处是吾乡”的归属感和幸福感</w:t>
            </w:r>
          </w:p>
          <w:p>
            <w:pPr>
              <w:spacing w:line="560" w:lineRule="exact"/>
              <w:ind w:firstLine="594"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594" w:firstLineChars="200"/>
              <w:rPr>
                <w:rFonts w:eastAsia="仿宋_GB2312"/>
                <w:sz w:val="30"/>
                <w:szCs w:val="30"/>
              </w:rPr>
            </w:pPr>
            <w:r>
              <w:rPr>
                <w:rFonts w:hint="eastAsia" w:eastAsia="仿宋_GB2312"/>
                <w:sz w:val="30"/>
                <w:szCs w:val="30"/>
              </w:rPr>
              <w:t>非公党建涉及面广，开支分散，难以做好相关预算管理工作，应加强经验积累，更合理做好预算工作。</w:t>
            </w:r>
          </w:p>
          <w:p>
            <w:pPr>
              <w:spacing w:line="560" w:lineRule="exact"/>
              <w:ind w:firstLine="594"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
      <w:pPr>
        <w:adjustRightInd w:val="0"/>
        <w:snapToGrid w:val="0"/>
        <w:spacing w:line="640" w:lineRule="exact"/>
        <w:contextualSpacing/>
        <w:rPr>
          <w:sz w:val="28"/>
          <w:szCs w:val="28"/>
        </w:rPr>
      </w:pPr>
      <w:bookmarkStart w:id="0" w:name="_GoBack"/>
      <w:bookmarkEnd w:id="0"/>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1ZWU5MDI1NGM1ZjI2Yjk0ZDlhYzBlMWRmZGFjODYifQ=="/>
    <w:docVar w:name="KSO_WPS_MARK_KEY" w:val="0ee7d815-2f00-4552-8a69-20e963c2de23"/>
  </w:docVars>
  <w:rsids>
    <w:rsidRoot w:val="00F521AC"/>
    <w:rsid w:val="00005DF5"/>
    <w:rsid w:val="00026EDF"/>
    <w:rsid w:val="000907A7"/>
    <w:rsid w:val="00096412"/>
    <w:rsid w:val="000A1BC8"/>
    <w:rsid w:val="000B10DA"/>
    <w:rsid w:val="000D2C50"/>
    <w:rsid w:val="000D35DF"/>
    <w:rsid w:val="000D6385"/>
    <w:rsid w:val="000E0C52"/>
    <w:rsid w:val="000E44B2"/>
    <w:rsid w:val="000F2261"/>
    <w:rsid w:val="001274A6"/>
    <w:rsid w:val="001477FB"/>
    <w:rsid w:val="001A39E3"/>
    <w:rsid w:val="001A6003"/>
    <w:rsid w:val="001D0882"/>
    <w:rsid w:val="001D59FA"/>
    <w:rsid w:val="001E757A"/>
    <w:rsid w:val="001F769E"/>
    <w:rsid w:val="00200034"/>
    <w:rsid w:val="002228C6"/>
    <w:rsid w:val="002319A0"/>
    <w:rsid w:val="00241C05"/>
    <w:rsid w:val="0027463E"/>
    <w:rsid w:val="00276667"/>
    <w:rsid w:val="002908F0"/>
    <w:rsid w:val="002A4310"/>
    <w:rsid w:val="002B36FF"/>
    <w:rsid w:val="002B742B"/>
    <w:rsid w:val="002C5FA1"/>
    <w:rsid w:val="002F390D"/>
    <w:rsid w:val="003A5AAC"/>
    <w:rsid w:val="003B56A9"/>
    <w:rsid w:val="003C08FC"/>
    <w:rsid w:val="003C5A25"/>
    <w:rsid w:val="003C7356"/>
    <w:rsid w:val="003D0A51"/>
    <w:rsid w:val="003F0CA5"/>
    <w:rsid w:val="003F6FBE"/>
    <w:rsid w:val="00497775"/>
    <w:rsid w:val="004A175A"/>
    <w:rsid w:val="004E4D39"/>
    <w:rsid w:val="004F6EEB"/>
    <w:rsid w:val="00532371"/>
    <w:rsid w:val="00557CE8"/>
    <w:rsid w:val="00564E7D"/>
    <w:rsid w:val="005725E6"/>
    <w:rsid w:val="005901A2"/>
    <w:rsid w:val="00595358"/>
    <w:rsid w:val="005961D8"/>
    <w:rsid w:val="005A5CEA"/>
    <w:rsid w:val="005D56EF"/>
    <w:rsid w:val="00604AE8"/>
    <w:rsid w:val="00637954"/>
    <w:rsid w:val="0066251B"/>
    <w:rsid w:val="00666EA3"/>
    <w:rsid w:val="0067543D"/>
    <w:rsid w:val="00682829"/>
    <w:rsid w:val="006C4524"/>
    <w:rsid w:val="006E55F0"/>
    <w:rsid w:val="00700961"/>
    <w:rsid w:val="00701987"/>
    <w:rsid w:val="00736EFE"/>
    <w:rsid w:val="007556ED"/>
    <w:rsid w:val="00773BC9"/>
    <w:rsid w:val="007928AF"/>
    <w:rsid w:val="007A3CC4"/>
    <w:rsid w:val="007B6F8E"/>
    <w:rsid w:val="00804F23"/>
    <w:rsid w:val="008234AB"/>
    <w:rsid w:val="008613DB"/>
    <w:rsid w:val="008671CE"/>
    <w:rsid w:val="008766B7"/>
    <w:rsid w:val="00893926"/>
    <w:rsid w:val="00894AED"/>
    <w:rsid w:val="008C44EC"/>
    <w:rsid w:val="008F291E"/>
    <w:rsid w:val="00902843"/>
    <w:rsid w:val="00904DA1"/>
    <w:rsid w:val="00914A31"/>
    <w:rsid w:val="00942A92"/>
    <w:rsid w:val="009A306D"/>
    <w:rsid w:val="009A6E11"/>
    <w:rsid w:val="009C67E8"/>
    <w:rsid w:val="009E3BEA"/>
    <w:rsid w:val="00A3081A"/>
    <w:rsid w:val="00A33916"/>
    <w:rsid w:val="00A44484"/>
    <w:rsid w:val="00A558F7"/>
    <w:rsid w:val="00A9594D"/>
    <w:rsid w:val="00AA16BE"/>
    <w:rsid w:val="00AD105F"/>
    <w:rsid w:val="00AD574C"/>
    <w:rsid w:val="00AD78C5"/>
    <w:rsid w:val="00B32B1E"/>
    <w:rsid w:val="00B735BC"/>
    <w:rsid w:val="00B97B8F"/>
    <w:rsid w:val="00BC7F9A"/>
    <w:rsid w:val="00BD3264"/>
    <w:rsid w:val="00BF3858"/>
    <w:rsid w:val="00C111C8"/>
    <w:rsid w:val="00C473A5"/>
    <w:rsid w:val="00C91577"/>
    <w:rsid w:val="00CE7209"/>
    <w:rsid w:val="00CF32B3"/>
    <w:rsid w:val="00D41F2D"/>
    <w:rsid w:val="00D44B17"/>
    <w:rsid w:val="00D7081E"/>
    <w:rsid w:val="00DB2C5A"/>
    <w:rsid w:val="00DC0295"/>
    <w:rsid w:val="00DC5AFB"/>
    <w:rsid w:val="00DD6155"/>
    <w:rsid w:val="00DF1BBB"/>
    <w:rsid w:val="00DF3D22"/>
    <w:rsid w:val="00E60FCA"/>
    <w:rsid w:val="00E96D3A"/>
    <w:rsid w:val="00EA1E6B"/>
    <w:rsid w:val="00EB2748"/>
    <w:rsid w:val="00F041BA"/>
    <w:rsid w:val="00F521AC"/>
    <w:rsid w:val="00F74B28"/>
    <w:rsid w:val="00F8627B"/>
    <w:rsid w:val="00F86472"/>
    <w:rsid w:val="02AC2ED8"/>
    <w:rsid w:val="21DE1912"/>
    <w:rsid w:val="21FD5A6A"/>
    <w:rsid w:val="2A6D1036"/>
    <w:rsid w:val="30DF318F"/>
    <w:rsid w:val="3C12626D"/>
    <w:rsid w:val="4233680D"/>
    <w:rsid w:val="45576A24"/>
    <w:rsid w:val="46EF7542"/>
    <w:rsid w:val="57FD1EF9"/>
    <w:rsid w:val="6AD16123"/>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3786</Words>
  <Characters>21581</Characters>
  <Lines>179</Lines>
  <Paragraphs>50</Paragraphs>
  <TotalTime>87</TotalTime>
  <ScaleCrop>false</ScaleCrop>
  <LinksUpToDate>false</LinksUpToDate>
  <CharactersWithSpaces>25317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2023-03-04T09:07:00Z</dcterms:created>
  <dc:creator>lenvov</dc:creator>
  <cp:lastModifiedBy>未设置</cp:lastModifiedBy>
  <dcterms:modified xsi:type="dcterms:W3CDTF">2023-09-08T02:26:52Z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91BD098D536E4133ACCE9EB305FE5A7B_13</vt:lpwstr>
  </property>
</Properties>
</file>