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66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val="en-US" w:eastAsia="zh-CN"/>
        </w:rPr>
        <w:t>雨污水管网维护</w:t>
      </w:r>
      <w:r>
        <w:rPr>
          <w:rFonts w:hint="eastAsia" w:eastAsia="仿宋_GB2312"/>
          <w:sz w:val="32"/>
          <w:u w:val="single"/>
        </w:rPr>
        <w:t xml:space="preserve">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  <w:lang w:val="en-US" w:eastAsia="zh-CN"/>
        </w:rPr>
        <w:t>岳阳市市政维护管理中心</w:t>
      </w:r>
      <w:r>
        <w:rPr>
          <w:rFonts w:hint="eastAsia" w:eastAsia="仿宋_GB2312"/>
          <w:sz w:val="32"/>
          <w:u w:val="single"/>
        </w:rPr>
        <w:t xml:space="preserve">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  <w:lang w:val="en-US" w:eastAsia="zh-CN"/>
        </w:rPr>
        <w:t>岳阳市城市管理和综合执法局南湖城陵矶区分局</w:t>
      </w:r>
      <w:r>
        <w:rPr>
          <w:rFonts w:hint="eastAsia" w:eastAsia="仿宋_GB2312"/>
          <w:sz w:val="32"/>
          <w:u w:val="single"/>
        </w:rPr>
        <w:t xml:space="preserve">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76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2023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22</w:t>
      </w:r>
      <w:r>
        <w:rPr>
          <w:rFonts w:hint="eastAsia" w:eastAsia="仿宋_GB2312"/>
          <w:sz w:val="32"/>
        </w:rPr>
        <w:t>日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8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315"/>
        <w:gridCol w:w="1625"/>
        <w:gridCol w:w="100"/>
        <w:gridCol w:w="292"/>
        <w:gridCol w:w="716"/>
        <w:gridCol w:w="152"/>
        <w:gridCol w:w="785"/>
        <w:gridCol w:w="297"/>
        <w:gridCol w:w="1076"/>
        <w:gridCol w:w="1264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65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郭志祥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13786082227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650" w:type="dxa"/>
            <w:gridSpan w:val="6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岳阳市城陵矶新港区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ind w:firstLine="1176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年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月起至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   年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603.4</w:t>
            </w:r>
          </w:p>
        </w:tc>
        <w:tc>
          <w:tcPr>
            <w:tcW w:w="1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586.54</w:t>
            </w: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07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586.54</w:t>
            </w: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9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10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0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0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603.4</w:t>
            </w:r>
          </w:p>
        </w:tc>
        <w:tc>
          <w:tcPr>
            <w:tcW w:w="1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586.54</w:t>
            </w: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0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586.54</w:t>
            </w: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0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  <w:r>
              <w:rPr>
                <w:rFonts w:hint="eastAsia" w:eastAsia="仿宋_GB2312"/>
                <w:sz w:val="24"/>
                <w:lang w:eastAsia="zh-CN"/>
              </w:rPr>
              <w:t>（万元）</w:t>
            </w:r>
          </w:p>
        </w:tc>
        <w:tc>
          <w:tcPr>
            <w:tcW w:w="234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0"/>
              </w:rPr>
              <w:t>一季度雨污管网维护费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Cs w:val="20"/>
                <w:lang w:val="en-US" w:eastAsia="zh-CN"/>
              </w:rPr>
              <w:t>116.834743</w:t>
            </w:r>
          </w:p>
        </w:tc>
        <w:tc>
          <w:tcPr>
            <w:tcW w:w="234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2022年5月87#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0"/>
              </w:rPr>
              <w:t>二季度雨污管网维护费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0"/>
                <w:lang w:val="en-US" w:eastAsia="zh-CN"/>
              </w:rPr>
              <w:t>117.331856</w:t>
            </w:r>
          </w:p>
        </w:tc>
        <w:tc>
          <w:tcPr>
            <w:tcW w:w="234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2022年8月154#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0"/>
              </w:rPr>
              <w:t>三季度雨污管网维护费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0"/>
                <w:lang w:val="en-US" w:eastAsia="zh-CN"/>
              </w:rPr>
              <w:t>116.75076</w:t>
            </w:r>
          </w:p>
        </w:tc>
        <w:tc>
          <w:tcPr>
            <w:tcW w:w="234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2022年11月89#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0"/>
              </w:rPr>
              <w:t>四季度雨污管网维护费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0"/>
                <w:lang w:val="en-US" w:eastAsia="zh-CN"/>
              </w:rPr>
              <w:t>116.469896</w:t>
            </w:r>
          </w:p>
        </w:tc>
        <w:tc>
          <w:tcPr>
            <w:tcW w:w="234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2023年1月130#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芭蕉湖泵站配套建设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18.2411</w:t>
            </w:r>
          </w:p>
        </w:tc>
        <w:tc>
          <w:tcPr>
            <w:tcW w:w="234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2022年1月64#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华兴路等六处混接管网改造工程</w:t>
            </w:r>
            <w:r>
              <w:rPr>
                <w:rFonts w:hint="eastAsia" w:eastAsia="仿宋_GB2312"/>
                <w:sz w:val="24"/>
                <w:lang w:eastAsia="zh-CN"/>
              </w:rPr>
              <w:t>款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100.908091</w:t>
            </w:r>
          </w:p>
        </w:tc>
        <w:tc>
          <w:tcPr>
            <w:tcW w:w="234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2022年1月64#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586.536446</w:t>
            </w:r>
          </w:p>
        </w:tc>
        <w:tc>
          <w:tcPr>
            <w:tcW w:w="234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目标1：雨污井盖、雨水窗维修、更新</w:t>
            </w: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目标2：港区道路雨水管网及窨井清淤</w:t>
            </w:r>
          </w:p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目标3：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芭蕉湖和碧桂园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泵站运行及维护</w:t>
            </w:r>
          </w:p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目标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芭蕉湖泵站配套建设</w:t>
            </w:r>
          </w:p>
          <w:p>
            <w:pPr>
              <w:jc w:val="both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目标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</w:rPr>
              <w:t>华兴路等六处混接管网改造工程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目标1完成情况：已完成雨污井盖更换共计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套，铸铁雨水窗更换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150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套。完成路面井、窗调平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余座。</w:t>
            </w:r>
          </w:p>
          <w:p>
            <w:pPr>
              <w:snapToGrid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目标2完成情况：已完成云欣大道、海关路、长江大道、兴港路、云港路、松阳湖路、永济大道、芭芸路、长湖路等，共计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190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KM雨水管网日常维护清淤、疏通。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目标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完成情况：已完成芭蕉湖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碧桂园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泵站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设施设备日常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维护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更新、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建设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等工作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并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按时缴纳电费确保泵站正常运转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目标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4完成情况：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已完成100</w:t>
            </w:r>
            <w:r>
              <w:rPr>
                <w:rFonts w:hint="eastAsia" w:ascii="宋体" w:hAnsi="宋体" w:cs="宋体"/>
                <w:color w:val="000000"/>
                <w:sz w:val="22"/>
              </w:rPr>
              <w:t>％</w:t>
            </w:r>
          </w:p>
          <w:p>
            <w:pPr>
              <w:spacing w:line="400" w:lineRule="exact"/>
              <w:ind w:firstLine="217" w:firstLineChars="100"/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芭蕉湖泵站进水池粗格栅更新升级，启闭机雨棚新建安装，生活饮用水完成接入，泵站庭院完成地坪硬化246平方米，长江大道至泵站门口消防通道道路拓宽35平方米。泵房标准化建设泵站内外墙壁重新粉刷，操作间地坪漆、地面巡检标识线更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spacing w:line="400" w:lineRule="exact"/>
              <w:ind w:firstLine="217" w:firstLineChars="100"/>
              <w:jc w:val="both"/>
              <w:rPr>
                <w:rFonts w:hint="default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目标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5完成情况：已优质、高效完成</w:t>
            </w:r>
            <w:r>
              <w:rPr>
                <w:rFonts w:hint="eastAsia" w:eastAsia="仿宋_GB2312"/>
                <w:sz w:val="22"/>
                <w:szCs w:val="22"/>
              </w:rPr>
              <w:t>华兴路等六处混接管网改造工程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彻底解决改造地点雨、污水混流情况，保护水资源和生态环境。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6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泵站24小时值守抽排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17" w:firstLineChars="10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合格，泵站24小时值守抽排，全年泵站集水池清淤累计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余立方米。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雨污管网全面巡查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每周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一次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合格，每天办公室留值一人，其他所有人到责任路段检查路面问题，再逐一统计，逐一解决，明确分工负责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当获得雨污管网设施损坏信息后必须在2小时内安排护栏和警示标志并应在6小时内修补恢复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港区雨污水管网设施保持完好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合格，完成云欣大道、海关路、长江大道、兴港路、云港路、松阳湖路、永济大道、芭芸路、长湖路等，共计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190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KM雨水管网日常维护清淤、疏通，确保下水管网的良好运行。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井框、雨水篦无变形、破损和丢失。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合格，全年共完成雨污井盖更换共计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套，铸铁雨水窗更换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150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套。完成路面井、窗调平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余座。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年度内完成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按规定时间完成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均按规定时间完成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控制在预算范围内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603.4</w:t>
            </w:r>
            <w:r>
              <w:rPr>
                <w:rFonts w:hint="eastAsia" w:eastAsia="仿宋_GB2312"/>
                <w:sz w:val="24"/>
              </w:rPr>
              <w:t>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未出现超预算情况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6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有效保障管网畅通，及时发现管网病害并处置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定性指标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避免了城市管网堵塞带来的次生灾害损失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提升泵站效果，促进市政公用事业可持续发展。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定性指标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合格，芭蕉湖泵站进水池粗格栅更新升级，启闭机雨棚新建安装，生活饮用水完成接入，泵站庭院完成地坪硬化246平方米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芭蕉湖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碧桂园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泵站24小时值守抽排，全年泵站集水池清淤累计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240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余立方米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有效保障泵站的正常运转。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为群众提供“畅、安、舒、美、洁”的管网运行环境，保证雨污管网畅通，污水及时抽排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有效改善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改善了市民出行环境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注重保护生态环境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有效提升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城市环境得到有效提升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服务对象满意度达到95%；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群众满意率达到95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≥</w:t>
            </w:r>
            <w:r>
              <w:rPr>
                <w:rFonts w:hint="eastAsia" w:eastAsia="仿宋_GB2312"/>
                <w:sz w:val="24"/>
              </w:rPr>
              <w:t>95%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0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0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郑伟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主任/评价组长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市政维护管理中心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郭志祥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所长/项目负责人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市政维护管理中心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李燕军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财务科长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市政维护管理中心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4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pStyle w:val="2"/>
              <w:ind w:left="414" w:leftChars="200"/>
              <w:rPr>
                <w:rFonts w:ascii="黑体" w:hAnsi="黑体" w:eastAsia="黑体" w:cs="黑体"/>
                <w:b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8"/>
              </w:rPr>
              <w:t>一、项目基本情况</w:t>
            </w:r>
          </w:p>
          <w:p>
            <w:pPr>
              <w:ind w:firstLine="6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（一）雨污水管网养护</w:t>
            </w:r>
          </w:p>
          <w:p>
            <w:pPr>
              <w:ind w:firstLine="6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新港区现有城市主次干道23条，道路雨水管网87km，污水管网53km,自建设完工后一直未进行日常维护管养。雨污水管网混接、雨水管网出水口多处掩埋、管网坍塌变形等病害情况较多。</w:t>
            </w:r>
          </w:p>
          <w:p>
            <w:pPr>
              <w:spacing w:line="54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全年共完成云欣大道、海关路、长江大道、兴港路、云港路、松阳湖路、永济大道、芭芸路、长湖路等，共计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KM雨水管网日常维护清淤、疏通，确保下水管网的良好运行。</w:t>
            </w:r>
          </w:p>
          <w:p>
            <w:pPr>
              <w:pStyle w:val="16"/>
              <w:spacing w:line="540" w:lineRule="exact"/>
              <w:ind w:left="0" w:leftChars="0"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（二）管网井盖及雨水窗修复</w:t>
            </w:r>
          </w:p>
          <w:p>
            <w:pPr>
              <w:spacing w:line="54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1、全年共完成雨污井盖更换共计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铸铁雨水窗更换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套。</w:t>
            </w:r>
          </w:p>
          <w:p>
            <w:pPr>
              <w:spacing w:line="54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2、全年共完成路面井、窗调平150余座。</w:t>
            </w:r>
          </w:p>
          <w:p>
            <w:pPr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（三）泵站维护</w:t>
            </w:r>
          </w:p>
          <w:p>
            <w:pPr>
              <w:ind w:firstLine="6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芭蕉湖泵站由湖南省第三工程有限公司承建，于2017年8月开工建设，2018年5月建成，2019年9月完成竣工验收，2020年11月经新港区财政评审按30万/年包干，委托我单位进行维护管理。芭蕉湖泵站主要纳污范围为联港南路、海关路沿线等约1135公顷纳污面积，考虑到港区远期发展需要，该泵站远期设计污水抽排总规模为7万立方米/天，近期装机设计规模为3.5万立方米/天，已完全满足范围内排污能力需要。</w:t>
            </w:r>
          </w:p>
          <w:p>
            <w:pPr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碧桂园泵站由上海中强建筑防水工程有限公司承建，于2020年10月开工建设，2021年1月建成，2021年1月31日完成竣工验收，2021年5月1日委托岳阳市市政维护管理中心进行管理。</w:t>
            </w:r>
          </w:p>
          <w:p>
            <w:pPr>
              <w:ind w:firstLine="6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其用地面积为51㎡。装有2台150GM180-20-18.5的潜水排污泵 。设计最大排污能力为360m³/h。主要纳污范围为碧桂园小区，污水提升至联港南路污水主管网。</w:t>
            </w:r>
          </w:p>
          <w:p>
            <w:pPr>
              <w:ind w:firstLine="640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芭蕉湖泵站配套建设</w:t>
            </w:r>
          </w:p>
          <w:p>
            <w:pPr>
              <w:ind w:firstLine="640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为了更好的保障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芭蕉湖泵站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的正常运行和工作需要，对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进水池粗格栅更新升级，启闭机雨棚新建安装，生活饮用水完成接入，泵站庭院完成地坪硬化246平方米，长江大道至泵站门口消防通道道路拓宽35平方米。泵房标准化建设泵站内外墙壁重新粉刷，操作间地坪漆、地面巡检标识线更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配套建设完成后将更好的发挥该泵站工作效率和安全保障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ind w:firstLine="554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8"/>
                <w:szCs w:val="28"/>
              </w:rPr>
              <w:t>华兴路等六处混接管网改造工程</w:t>
            </w:r>
          </w:p>
          <w:p>
            <w:pPr>
              <w:ind w:firstLine="831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本工程为2020年城陵矶新港区华兴路等六条混接管网改造工程，位于湖南省岳阳市城陵矶新港区，根据省环保厅督察蓝天行动精神要求，对新港区华兴路等六条路进行雨污分流改造，现已优质、高效完成</w:t>
            </w:r>
            <w:r>
              <w:rPr>
                <w:rFonts w:hint="eastAsia" w:eastAsia="仿宋_GB2312"/>
                <w:sz w:val="28"/>
                <w:szCs w:val="28"/>
              </w:rPr>
              <w:t>混接管网改造工程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彻底解决改造地点雨、污水混流情况，有效的保护水资源和生态环境。</w:t>
            </w:r>
          </w:p>
          <w:p>
            <w:pPr>
              <w:pStyle w:val="2"/>
              <w:numPr>
                <w:ilvl w:val="0"/>
                <w:numId w:val="1"/>
              </w:numPr>
              <w:ind w:firstLine="554" w:firstLineChars="200"/>
              <w:rPr>
                <w:rFonts w:ascii="黑体" w:hAnsi="黑体" w:eastAsia="黑体" w:cs="黑体"/>
                <w:b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8"/>
              </w:rPr>
              <w:t>项目资金使用管理情况</w:t>
            </w:r>
          </w:p>
          <w:p>
            <w:pPr>
              <w:pStyle w:val="2"/>
              <w:ind w:firstLine="554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ascii="仿宋_GB2312" w:hAnsi="仿宋_GB2312" w:eastAsia="仿宋_GB2312" w:cs="仿宋_GB2312"/>
                <w:szCs w:val="28"/>
              </w:rPr>
              <w:t>排水管道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维护项目</w:t>
            </w: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szCs w:val="28"/>
              </w:rPr>
              <w:t>芭蕉湖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和</w:t>
            </w:r>
            <w:r>
              <w:rPr>
                <w:rFonts w:ascii="仿宋_GB2312" w:hAnsi="仿宋_GB2312" w:eastAsia="仿宋_GB2312" w:cs="仿宋_GB2312"/>
                <w:szCs w:val="28"/>
              </w:rPr>
              <w:t>碧桂园污水提升泵站维护项目</w:t>
            </w: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芭蕉湖泵站配套建设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/>
                <w:sz w:val="28"/>
                <w:szCs w:val="28"/>
              </w:rPr>
              <w:t>华兴路等六处混接管网改造工程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总计</w:t>
            </w:r>
            <w:r>
              <w:rPr>
                <w:rFonts w:hint="eastAsia" w:ascii="仿宋_GB2312" w:hAnsi="仿宋_GB2312" w:eastAsia="仿宋_GB2312" w:cs="仿宋_GB2312"/>
                <w:szCs w:val="28"/>
                <w:highlight w:val="none"/>
                <w:lang w:val="en-US" w:eastAsia="zh-CN"/>
              </w:rPr>
              <w:t>603.4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万元，财政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拨款</w:t>
            </w:r>
            <w:r>
              <w:rPr>
                <w:rFonts w:hint="eastAsia" w:ascii="仿宋_GB2312" w:hAnsi="仿宋_GB2312" w:eastAsia="仿宋_GB2312" w:cs="仿宋_GB2312"/>
                <w:szCs w:val="28"/>
                <w:highlight w:val="none"/>
                <w:lang w:val="en-US" w:eastAsia="zh-CN"/>
              </w:rPr>
              <w:t>586.54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万元，未出现超出预算情况。</w:t>
            </w:r>
          </w:p>
          <w:p>
            <w:pPr>
              <w:spacing w:line="560" w:lineRule="exact"/>
              <w:ind w:firstLine="554" w:firstLineChars="200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三、项目组织实施情况</w:t>
            </w:r>
          </w:p>
          <w:p>
            <w:pPr>
              <w:pStyle w:val="2"/>
              <w:ind w:firstLine="554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各部分分工明确</w:t>
            </w:r>
          </w:p>
          <w:p>
            <w:pPr>
              <w:spacing w:line="560" w:lineRule="exact"/>
              <w:ind w:firstLine="554" w:firstLineChars="200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四、综合评价情况及评价结论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根据考核评分细则，绩效评价组认为，202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城陵矶新港区雨污水管网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管理和资金使用规范、遵守了相关法规政策，有效发挥了财政资金的使用效率，考评得分9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分，考评等级为“优”。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firstLine="554" w:firstLineChars="200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项目主要绩效情况分析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项目数量指标：</w:t>
            </w:r>
          </w:p>
          <w:p>
            <w:pPr>
              <w:pStyle w:val="2"/>
              <w:ind w:firstLine="554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1、泵站24小时值守抽排；</w:t>
            </w:r>
          </w:p>
          <w:p>
            <w:pPr>
              <w:pStyle w:val="2"/>
              <w:ind w:firstLine="554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2、雨污管网全面巡查，每周一次；</w:t>
            </w:r>
          </w:p>
          <w:p>
            <w:pPr>
              <w:pStyle w:val="2"/>
              <w:ind w:firstLine="554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3、当获得雨污管网设施损坏信息后必须在2小时内安排护栏和警示标志并应在6小时内修补恢复。        </w:t>
            </w:r>
          </w:p>
          <w:p>
            <w:pPr>
              <w:pStyle w:val="2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（二）项目质量指标  ：港区雨污水管网设施保持完好，井框、雨水篦无变形、破损和丢失。  </w:t>
            </w:r>
          </w:p>
          <w:p>
            <w:pPr>
              <w:pStyle w:val="2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（三）项目时效指标：年度内完成</w:t>
            </w:r>
          </w:p>
          <w:p>
            <w:pPr>
              <w:pStyle w:val="3"/>
              <w:ind w:left="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（四）项目成本指标：控制在预算范围之内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（五）项目经济效益指标：有效保障管网畅通，及时发现管网病害并处置。提升泵站效果，促进市政公用事业可持续发展。</w:t>
            </w:r>
          </w:p>
          <w:p>
            <w:pPr>
              <w:pStyle w:val="2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（六）项目社会效益指标：为群众提供“畅、安、舒、美、洁”的管网运行环境，保证雨污管网畅通，污水及时抽排</w:t>
            </w:r>
          </w:p>
          <w:p>
            <w:pPr>
              <w:pStyle w:val="3"/>
              <w:ind w:left="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（七）项目生态效益指标：注重保护生态环境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（八）项目可持续影响指标：对港区发展具有长期深远影响</w:t>
            </w:r>
          </w:p>
          <w:p>
            <w:pPr>
              <w:pStyle w:val="2"/>
            </w:pPr>
            <w:r>
              <w:rPr>
                <w:rFonts w:hint="eastAsia"/>
              </w:rPr>
              <w:fldChar w:fldCharType="begin"/>
            </w:r>
            <w:r>
              <w:instrText xml:space="preserve"> LINK Word.Document.8 "文字文稿1""OLE_LINK1" \h \a </w:instrText>
            </w:r>
            <w:r>
              <w:rPr>
                <w:rFonts w:hint="eastAsia"/>
              </w:rPr>
              <w:fldChar w:fldCharType="separate"/>
            </w:r>
          </w:p>
          <w:tbl>
            <w:tblPr>
              <w:tblStyle w:val="8"/>
              <w:tblW w:w="800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91"/>
              <w:gridCol w:w="1390"/>
              <w:gridCol w:w="37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  <w:t>指标内容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  <w:t>指标（目标）值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  <w:t>实际完成值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0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</w:rPr>
                    <w:t>泵站24小时值守抽排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 w:val="0"/>
                    <w:ind w:firstLine="474" w:firstLineChars="200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合格，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</w:rPr>
                    <w:t>泵站24小时值守抽排</w:t>
                  </w:r>
                  <w:r>
                    <w:rPr>
                      <w:rFonts w:hint="eastAsia" w:eastAsia="仿宋_GB2312"/>
                      <w:sz w:val="24"/>
                    </w:rPr>
                    <w:t>，全年泵站集水池清淤累计</w:t>
                  </w:r>
                  <w:r>
                    <w:rPr>
                      <w:rFonts w:hint="eastAsia" w:eastAsia="仿宋_GB2312"/>
                      <w:sz w:val="24"/>
                      <w:lang w:val="en-US" w:eastAsia="zh-CN"/>
                    </w:rPr>
                    <w:t>240</w:t>
                  </w:r>
                  <w:r>
                    <w:rPr>
                      <w:rFonts w:hint="eastAsia" w:eastAsia="仿宋_GB2312"/>
                      <w:sz w:val="24"/>
                    </w:rPr>
                    <w:t>余立方米。</w:t>
                  </w:r>
                </w:p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雨污管网全面巡查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每周</w:t>
                  </w:r>
                </w:p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一次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</w:rPr>
                    <w:t>合格，每天办公室留值一人，其他所有人到责任路段检查路面问题，再逐一统计，逐一解决，明确分工负责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当获得雨污管网设施损坏信息后必须在2小时内安排护栏和警示标志并应在6小时内修补恢复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港区雨污水管网设施保持完好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合格，完成云欣大道、海关路、长江大道、兴港路、云港路、松阳湖路、永济大道、芭芸路、长湖路等，共计</w:t>
                  </w:r>
                  <w:r>
                    <w:rPr>
                      <w:rFonts w:hint="eastAsia" w:eastAsia="仿宋_GB2312"/>
                      <w:sz w:val="24"/>
                      <w:lang w:val="en-US" w:eastAsia="zh-CN"/>
                    </w:rPr>
                    <w:t>190</w:t>
                  </w:r>
                  <w:r>
                    <w:rPr>
                      <w:rFonts w:hint="eastAsia" w:eastAsia="仿宋_GB2312"/>
                      <w:sz w:val="24"/>
                    </w:rPr>
                    <w:t>KM雨水管网日常维护清淤、疏通，确保下水管网的良好运行。</w:t>
                  </w:r>
                </w:p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井框、雨水篦无变形、破损和丢失。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 w:val="0"/>
                    <w:ind w:firstLine="474" w:firstLineChars="200"/>
                    <w:rPr>
                      <w:rFonts w:ascii="仿宋_GB2312" w:hAnsi="宋体" w:eastAsia="仿宋_GB2312" w:cs="仿宋_GB2312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合格，全年共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</w:rPr>
                    <w:t>完成雨污井盖更换共计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  <w:lang w:val="en-US" w:eastAsia="zh-CN"/>
                    </w:rPr>
                    <w:t>198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</w:rPr>
                    <w:t>套，铸铁雨水窗更换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  <w:lang w:val="en-US" w:eastAsia="zh-CN"/>
                    </w:rPr>
                    <w:t>150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</w:rPr>
                    <w:t>套。完成路面井、窗调平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  <w:lang w:val="en-US" w:eastAsia="zh-CN"/>
                    </w:rPr>
                    <w:t>90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</w:rPr>
                    <w:t>余座。</w:t>
                  </w:r>
                </w:p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年度内完成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按规定时间完成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均按规定时间完成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控制在预算范围内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  <w:lang w:val="en-US" w:eastAsia="zh-CN"/>
                    </w:rPr>
                    <w:t>586.54</w:t>
                  </w:r>
                  <w:r>
                    <w:rPr>
                      <w:rFonts w:hint="eastAsia" w:eastAsia="仿宋_GB2312"/>
                      <w:sz w:val="24"/>
                    </w:rPr>
                    <w:t>万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未出现超预算情况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有效保障管网畅通，及时发现管网病害并处置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定性指标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避免了城市管网堵塞带来的次生灾害损失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提升泵站效果，促进市政公用事业可持续发展。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定性指标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合格，</w:t>
                  </w:r>
                  <w:r>
                    <w:rPr>
                      <w:rFonts w:hint="eastAsia" w:eastAsia="仿宋_GB2312"/>
                      <w:sz w:val="24"/>
                      <w:lang w:val="en-US" w:eastAsia="zh-CN"/>
                    </w:rPr>
                    <w:t>芭蕉湖泵站进水池粗格栅更新升级，启闭机雨棚新建安装，生活饮用水接入，泵站庭院完成地坪硬化246平方米。芭蕉湖、碧桂园泵站24小时值守抽排，全年泵站集水池累计清淤240余立方米，有效保障泵站的正常运转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为群众提供“畅、安、舒、美、洁”的管网运行环境，保证雨污管网畅通，污水及时抽排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有效改善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改善了市民出行环境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注重保护生态环境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有效提升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城市环境得到有效提升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服务对象满意度达到95%；</w:t>
                  </w:r>
                </w:p>
                <w:p>
                  <w:pPr>
                    <w:spacing w:line="36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群众满意率达到95%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ascii="Arial" w:hAnsi="Arial" w:eastAsia="仿宋_GB2312" w:cs="Arial"/>
                      <w:sz w:val="24"/>
                    </w:rPr>
                    <w:t>≥</w:t>
                  </w:r>
                  <w:r>
                    <w:rPr>
                      <w:rFonts w:hint="eastAsia" w:eastAsia="仿宋_GB2312"/>
                      <w:sz w:val="24"/>
                    </w:rPr>
                    <w:t>95%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97%</w:t>
                  </w:r>
                </w:p>
              </w:tc>
            </w:tr>
          </w:tbl>
          <w:p>
            <w:pPr>
              <w:pStyle w:val="2"/>
            </w:pPr>
            <w:r>
              <w:rPr>
                <w:rFonts w:hint="eastAsia"/>
              </w:rPr>
              <w:fldChar w:fldCharType="end"/>
            </w:r>
          </w:p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 xml:space="preserve">  六、主要经验及做法、存在问题和建议</w:t>
            </w:r>
          </w:p>
          <w:p>
            <w:pPr>
              <w:pStyle w:val="2"/>
              <w:spacing w:line="560" w:lineRule="exac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存在问题：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（一）随着市民对市政设施的舒适度要求的提高，市政设施维护费用明显增加，维护经费明显不足；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（二）由于管线养护单位未进行归口管理，城区道路路面井盖破损时，常常不能及时维修，造成安全隐患； 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（三）部分其他部门牵头的管网施工不规范或恢复不符合标准等原因，造成市政设施存在多处人为损坏现象，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破占道恢复中经常有恢复不及时，质量不达标问题。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建议：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（一）加大市政维护经费的投入，全面提升道路完好水平，进一步改善市民生活环境，提升城市形象；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加大对市政设施的监管与处置力度，加大对井盖的统筹规范管理和维护；</w:t>
            </w:r>
          </w:p>
          <w:p>
            <w:pPr>
              <w:pStyle w:val="2"/>
              <w:ind w:firstLine="554" w:firstLineChars="200"/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（三）建议市政设施维护管养部门参与到城区破道恢复审批、验收环节，特别是要提前参与到破道恢复审批环节，以免造成路面遗留问题和隐患。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beforeLines="50" w:after="304" w:afterLines="50" w:line="560" w:lineRule="exact"/>
        <w:jc w:val="center"/>
        <w:textAlignment w:val="auto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37" w:firstLineChars="100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37" w:firstLineChars="100"/>
              <w:jc w:val="left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640" w:lineRule="exact"/>
        <w:contextualSpacing/>
        <w:rPr>
          <w:rFonts w:hint="eastAsia"/>
          <w:sz w:val="28"/>
          <w:szCs w:val="28"/>
        </w:rPr>
      </w:pPr>
    </w:p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72FFE"/>
    <w:multiLevelType w:val="singleLevel"/>
    <w:tmpl w:val="8E472FF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4C0732"/>
    <w:multiLevelType w:val="singleLevel"/>
    <w:tmpl w:val="504C07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302C49"/>
    <w:multiLevelType w:val="singleLevel"/>
    <w:tmpl w:val="71302C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zBjOTI2MDk5YzhmNWZjMTZkZjMxZjJhOTUwN2EifQ=="/>
    <w:docVar w:name="KSO_WPS_MARK_KEY" w:val="0ee7d815-2f00-4552-8a69-20e963c2de23"/>
  </w:docVars>
  <w:rsids>
    <w:rsidRoot w:val="00F521AC"/>
    <w:rsid w:val="00005DF5"/>
    <w:rsid w:val="00026EDF"/>
    <w:rsid w:val="000907A7"/>
    <w:rsid w:val="000B10DA"/>
    <w:rsid w:val="000D2C50"/>
    <w:rsid w:val="000D35DF"/>
    <w:rsid w:val="000D6385"/>
    <w:rsid w:val="000E0C52"/>
    <w:rsid w:val="000E44B2"/>
    <w:rsid w:val="000F2261"/>
    <w:rsid w:val="001274A6"/>
    <w:rsid w:val="001477FB"/>
    <w:rsid w:val="001A6003"/>
    <w:rsid w:val="001D0882"/>
    <w:rsid w:val="001D59FA"/>
    <w:rsid w:val="001E757A"/>
    <w:rsid w:val="001F769E"/>
    <w:rsid w:val="002228C6"/>
    <w:rsid w:val="002319A0"/>
    <w:rsid w:val="00241C05"/>
    <w:rsid w:val="002908F0"/>
    <w:rsid w:val="002F390D"/>
    <w:rsid w:val="003B56A9"/>
    <w:rsid w:val="003C08FC"/>
    <w:rsid w:val="003D0A51"/>
    <w:rsid w:val="003F6FBE"/>
    <w:rsid w:val="00497775"/>
    <w:rsid w:val="004A175A"/>
    <w:rsid w:val="004E4D39"/>
    <w:rsid w:val="00532371"/>
    <w:rsid w:val="00557CE8"/>
    <w:rsid w:val="00564E7D"/>
    <w:rsid w:val="005725E6"/>
    <w:rsid w:val="005901A2"/>
    <w:rsid w:val="00595358"/>
    <w:rsid w:val="005961D8"/>
    <w:rsid w:val="005A5CEA"/>
    <w:rsid w:val="00604AE8"/>
    <w:rsid w:val="0066251B"/>
    <w:rsid w:val="0067543D"/>
    <w:rsid w:val="00682829"/>
    <w:rsid w:val="006C4524"/>
    <w:rsid w:val="00700961"/>
    <w:rsid w:val="00701987"/>
    <w:rsid w:val="00736EFE"/>
    <w:rsid w:val="007556ED"/>
    <w:rsid w:val="00773BC9"/>
    <w:rsid w:val="007928AF"/>
    <w:rsid w:val="008613DB"/>
    <w:rsid w:val="008671CE"/>
    <w:rsid w:val="008766B7"/>
    <w:rsid w:val="00893926"/>
    <w:rsid w:val="008F291E"/>
    <w:rsid w:val="00902843"/>
    <w:rsid w:val="00904DA1"/>
    <w:rsid w:val="00914A31"/>
    <w:rsid w:val="00942A92"/>
    <w:rsid w:val="009A306D"/>
    <w:rsid w:val="009A6E11"/>
    <w:rsid w:val="009C67E8"/>
    <w:rsid w:val="00A33916"/>
    <w:rsid w:val="00AA16BE"/>
    <w:rsid w:val="00AD105F"/>
    <w:rsid w:val="00AD574C"/>
    <w:rsid w:val="00B32B1E"/>
    <w:rsid w:val="00B735BC"/>
    <w:rsid w:val="00BC7F9A"/>
    <w:rsid w:val="00BF3858"/>
    <w:rsid w:val="00C111C8"/>
    <w:rsid w:val="00C473A5"/>
    <w:rsid w:val="00CD1347"/>
    <w:rsid w:val="00CE7209"/>
    <w:rsid w:val="00D41F2D"/>
    <w:rsid w:val="00D7081E"/>
    <w:rsid w:val="00DB2C5A"/>
    <w:rsid w:val="00DC0295"/>
    <w:rsid w:val="00DC5AFB"/>
    <w:rsid w:val="00DF1BBB"/>
    <w:rsid w:val="00E60FCA"/>
    <w:rsid w:val="00EA1E6B"/>
    <w:rsid w:val="00EB2748"/>
    <w:rsid w:val="00F521AC"/>
    <w:rsid w:val="00F74B28"/>
    <w:rsid w:val="00F86472"/>
    <w:rsid w:val="017933F7"/>
    <w:rsid w:val="02AC2ED8"/>
    <w:rsid w:val="063C06F1"/>
    <w:rsid w:val="08387E2F"/>
    <w:rsid w:val="087846CF"/>
    <w:rsid w:val="0A105AA6"/>
    <w:rsid w:val="0E1E0162"/>
    <w:rsid w:val="0FE64BC8"/>
    <w:rsid w:val="11141B81"/>
    <w:rsid w:val="12823991"/>
    <w:rsid w:val="130C6F4E"/>
    <w:rsid w:val="146C38C5"/>
    <w:rsid w:val="15337E98"/>
    <w:rsid w:val="15D53161"/>
    <w:rsid w:val="164F6011"/>
    <w:rsid w:val="178B2A47"/>
    <w:rsid w:val="197902A7"/>
    <w:rsid w:val="1AD92AA5"/>
    <w:rsid w:val="201C7FEE"/>
    <w:rsid w:val="21DE1912"/>
    <w:rsid w:val="22927D0F"/>
    <w:rsid w:val="23697526"/>
    <w:rsid w:val="241B6550"/>
    <w:rsid w:val="26562278"/>
    <w:rsid w:val="295F078B"/>
    <w:rsid w:val="2A4B2DDF"/>
    <w:rsid w:val="2A6D1036"/>
    <w:rsid w:val="2DD56941"/>
    <w:rsid w:val="2DF45405"/>
    <w:rsid w:val="2FCB2EBF"/>
    <w:rsid w:val="2FED6237"/>
    <w:rsid w:val="30DF318F"/>
    <w:rsid w:val="322E5C7B"/>
    <w:rsid w:val="32640FE8"/>
    <w:rsid w:val="36073758"/>
    <w:rsid w:val="39924936"/>
    <w:rsid w:val="3A5F6768"/>
    <w:rsid w:val="3C12626D"/>
    <w:rsid w:val="3C4444A7"/>
    <w:rsid w:val="3D8449A1"/>
    <w:rsid w:val="40460634"/>
    <w:rsid w:val="4233680D"/>
    <w:rsid w:val="46EF7542"/>
    <w:rsid w:val="476F3F5C"/>
    <w:rsid w:val="49663AF5"/>
    <w:rsid w:val="4EA1206A"/>
    <w:rsid w:val="519C2E8A"/>
    <w:rsid w:val="563A6909"/>
    <w:rsid w:val="570B061A"/>
    <w:rsid w:val="58DE0FF3"/>
    <w:rsid w:val="6231578E"/>
    <w:rsid w:val="6392137E"/>
    <w:rsid w:val="6A116FBA"/>
    <w:rsid w:val="6AD16123"/>
    <w:rsid w:val="6F6F4A62"/>
    <w:rsid w:val="71272D35"/>
    <w:rsid w:val="77FA7AAA"/>
    <w:rsid w:val="79BA34E7"/>
    <w:rsid w:val="7EF5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8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Body Text Indent 2"/>
    <w:basedOn w:val="1"/>
    <w:link w:val="15"/>
    <w:unhideWhenUsed/>
    <w:qFormat/>
    <w:uiPriority w:val="0"/>
    <w:pPr>
      <w:ind w:firstLine="588" w:firstLineChars="200"/>
    </w:pPr>
    <w:rPr>
      <w:rFonts w:ascii="仿宋_GB2312" w:hAnsi="Calibri" w:eastAsia="仿宋_GB2312" w:cs="Times New Roman"/>
      <w:sz w:val="32"/>
      <w:szCs w:val="24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15">
    <w:name w:val="正文文本缩进 2 Char"/>
    <w:basedOn w:val="9"/>
    <w:link w:val="4"/>
    <w:qFormat/>
    <w:uiPriority w:val="0"/>
    <w:rPr>
      <w:rFonts w:ascii="仿宋_GB2312" w:hAnsi="Calibri" w:eastAsia="仿宋_GB2312" w:cs="Times New Roman"/>
      <w:sz w:val="32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12413</Words>
  <Characters>12993</Characters>
  <Lines>19</Lines>
  <Paragraphs>5</Paragraphs>
  <TotalTime>0</TotalTime>
  <ScaleCrop>false</ScaleCrop>
  <LinksUpToDate>false</LinksUpToDate>
  <CharactersWithSpaces>14153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2020-06-02T01:49:00Z</dcterms:created>
  <dc:creator>lenvov</dc:creator>
  <cp:lastModifiedBy>燕军</cp:lastModifiedBy>
  <cp:lastPrinted>2023-02-21T07:32:00Z</cp:lastPrinted>
  <dcterms:modified xsi:type="dcterms:W3CDTF">2023-02-22T08:45:28Z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A840E96A02A041ECA9B98339F87DE599</vt:lpwstr>
  </property>
</Properties>
</file>