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60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湖南城陵矶新港区财政支出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60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66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</w:t>
      </w:r>
      <w:r>
        <w:rPr>
          <w:rFonts w:hint="eastAsia" w:eastAsia="仿宋_GB2312"/>
          <w:sz w:val="32"/>
          <w:szCs w:val="32"/>
        </w:rPr>
        <w:sym w:font="Wingdings 2" w:char="0052"/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eastAsia="zh-CN"/>
        </w:rPr>
        <w:t>市容环境提质改造项目</w:t>
      </w:r>
      <w:r>
        <w:rPr>
          <w:rFonts w:hint="eastAsia" w:eastAsia="仿宋_GB2312"/>
          <w:sz w:val="32"/>
          <w:u w:val="single"/>
        </w:rPr>
        <w:t xml:space="preserve">          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</w:t>
      </w:r>
      <w:r>
        <w:rPr>
          <w:rFonts w:hint="eastAsia" w:eastAsia="仿宋_GB2312"/>
          <w:sz w:val="32"/>
          <w:lang w:eastAsia="zh-CN"/>
        </w:rPr>
        <w:t>：</w:t>
      </w:r>
      <w:r>
        <w:rPr>
          <w:rFonts w:hint="eastAsia" w:eastAsia="仿宋_GB2312"/>
          <w:sz w:val="28"/>
          <w:szCs w:val="28"/>
          <w:u w:val="single"/>
          <w:lang w:eastAsia="zh-CN"/>
        </w:rPr>
        <w:t>岳阳市城市管理和综合执法局湖南城陵矶新港区分局</w:t>
      </w:r>
      <w:r>
        <w:rPr>
          <w:rFonts w:hint="eastAsia" w:eastAsia="仿宋_GB2312"/>
          <w:sz w:val="32"/>
          <w:u w:val="single"/>
        </w:rPr>
        <w:t xml:space="preserve">        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</w:t>
      </w:r>
      <w:r>
        <w:rPr>
          <w:rFonts w:hint="eastAsia" w:eastAsia="仿宋_GB2312"/>
          <w:sz w:val="32"/>
          <w:u w:val="single"/>
          <w:lang w:eastAsia="zh-CN"/>
        </w:rPr>
        <w:t>岳阳市城市管理和综合执法局</w:t>
      </w:r>
      <w:r>
        <w:rPr>
          <w:rFonts w:hint="eastAsia" w:eastAsia="仿宋_GB2312"/>
          <w:sz w:val="32"/>
          <w:u w:val="single"/>
        </w:rPr>
        <w:t xml:space="preserve">         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76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2023</w:t>
      </w:r>
      <w:r>
        <w:rPr>
          <w:rFonts w:hint="eastAsia" w:eastAsia="仿宋_GB2312"/>
          <w:sz w:val="32"/>
        </w:rPr>
        <w:t xml:space="preserve">   年 </w:t>
      </w:r>
      <w:r>
        <w:rPr>
          <w:rFonts w:hint="eastAsia" w:eastAsia="仿宋_GB2312"/>
          <w:sz w:val="32"/>
          <w:lang w:val="en-US" w:eastAsia="zh-CN"/>
        </w:rPr>
        <w:t>2</w:t>
      </w:r>
      <w:r>
        <w:rPr>
          <w:rFonts w:hint="eastAsia" w:eastAsia="仿宋_GB2312"/>
          <w:sz w:val="32"/>
        </w:rPr>
        <w:t xml:space="preserve">  月 </w:t>
      </w:r>
      <w:r>
        <w:rPr>
          <w:rFonts w:hint="eastAsia" w:eastAsia="仿宋_GB2312"/>
          <w:sz w:val="32"/>
          <w:lang w:val="en-US" w:eastAsia="zh-CN"/>
        </w:rPr>
        <w:t>28</w:t>
      </w:r>
      <w:r>
        <w:rPr>
          <w:rFonts w:hint="eastAsia" w:eastAsia="仿宋_GB2312"/>
          <w:sz w:val="32"/>
        </w:rPr>
        <w:t xml:space="preserve">  日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6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232"/>
        <w:gridCol w:w="982"/>
        <w:gridCol w:w="195"/>
        <w:gridCol w:w="443"/>
        <w:gridCol w:w="1015"/>
        <w:gridCol w:w="110"/>
        <w:gridCol w:w="915"/>
        <w:gridCol w:w="1349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3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129" w:type="dxa"/>
            <w:gridSpan w:val="5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刘振宇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17707305088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129" w:type="dxa"/>
            <w:gridSpan w:val="5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城陵矶新港区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vAlign w:val="center"/>
          </w:tcPr>
          <w:p>
            <w:pPr>
              <w:ind w:firstLine="1176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 xml:space="preserve"> 月起至</w:t>
            </w:r>
            <w:r>
              <w:rPr>
                <w:rFonts w:hint="eastAsia" w:eastAsia="仿宋_GB2312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</w:rPr>
              <w:t xml:space="preserve"> 年 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 xml:space="preserve">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457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11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209.7</w:t>
            </w:r>
          </w:p>
        </w:tc>
        <w:tc>
          <w:tcPr>
            <w:tcW w:w="15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209.7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11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5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11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11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457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11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209.7</w:t>
            </w:r>
          </w:p>
        </w:tc>
        <w:tc>
          <w:tcPr>
            <w:tcW w:w="15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209.7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11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  <w:r>
              <w:rPr>
                <w:rFonts w:hint="eastAsia" w:eastAsia="仿宋_GB2312"/>
                <w:b/>
                <w:sz w:val="24"/>
                <w:lang w:eastAsia="zh-CN"/>
              </w:rPr>
              <w:t>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74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2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路灯亮化改造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115.33</w:t>
            </w:r>
          </w:p>
        </w:tc>
        <w:tc>
          <w:tcPr>
            <w:tcW w:w="274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1月19号凭证</w:t>
            </w:r>
          </w:p>
        </w:tc>
        <w:tc>
          <w:tcPr>
            <w:tcW w:w="32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路面积水点改造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94.37</w:t>
            </w:r>
          </w:p>
        </w:tc>
        <w:tc>
          <w:tcPr>
            <w:tcW w:w="274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1月20号凭证</w:t>
            </w:r>
          </w:p>
        </w:tc>
        <w:tc>
          <w:tcPr>
            <w:tcW w:w="32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4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4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209.7</w:t>
            </w:r>
          </w:p>
        </w:tc>
        <w:tc>
          <w:tcPr>
            <w:tcW w:w="274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2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4886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2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4886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行道树树围复绿无裸露黄土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亮化改造按时完成，确保亮化设施亮灯率达到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100%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人行道整容按期完成整改，人行道无坑洼、无下沉，人行道板砖完好无破损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按时完成新港区积水点改造，保障市民的安全出行，做到新港区无积水内涝现象</w:t>
            </w:r>
          </w:p>
        </w:tc>
        <w:tc>
          <w:tcPr>
            <w:tcW w:w="32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行道树树围全部复绿无裸露黄土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亮化改造全部完成，亮化设施亮灯率达到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100%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人行道整容全部完成整改，人行道无坑洼、无下沉，人行道板砖完好无破损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4、已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完成新港区积水点改造，保障市民的安全出行，做到新港区无积水内涝现象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2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23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行道树树围复绿</w:t>
            </w: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4245株</w:t>
            </w:r>
          </w:p>
        </w:tc>
        <w:tc>
          <w:tcPr>
            <w:tcW w:w="32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改造完成4245株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亮化改造</w:t>
            </w: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1289套</w:t>
            </w:r>
          </w:p>
        </w:tc>
        <w:tc>
          <w:tcPr>
            <w:tcW w:w="32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改造完成1289套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人行道整容</w:t>
            </w: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20处</w:t>
            </w:r>
          </w:p>
        </w:tc>
        <w:tc>
          <w:tcPr>
            <w:tcW w:w="32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改造完成20处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积水点改造</w:t>
            </w: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15处</w:t>
            </w:r>
          </w:p>
        </w:tc>
        <w:tc>
          <w:tcPr>
            <w:tcW w:w="32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实际改造13处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行道树树围无裸露黄土</w:t>
            </w: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全部复绿</w:t>
            </w:r>
          </w:p>
        </w:tc>
        <w:tc>
          <w:tcPr>
            <w:tcW w:w="32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无裸露黄土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亮灯率达到100%</w:t>
            </w: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32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人行道整容</w:t>
            </w: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完成改造</w:t>
            </w:r>
          </w:p>
        </w:tc>
        <w:tc>
          <w:tcPr>
            <w:tcW w:w="32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人行道无坑洼、无下沉，人行道板砖完好无破损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积水点改造</w:t>
            </w: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保障市民出行安全</w:t>
            </w:r>
          </w:p>
        </w:tc>
        <w:tc>
          <w:tcPr>
            <w:tcW w:w="32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道路无积水内涝现象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各项工作按年初计划如期完成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按规定时限完成改造</w:t>
            </w:r>
          </w:p>
        </w:tc>
        <w:tc>
          <w:tcPr>
            <w:tcW w:w="32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在规定时限内完成改造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专项支出未超预算</w:t>
            </w: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坚决经济效益</w:t>
            </w: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改善城陵矶新港区营商环境</w:t>
            </w:r>
          </w:p>
        </w:tc>
        <w:tc>
          <w:tcPr>
            <w:tcW w:w="32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港区环境明显改善，为改善港区营商环境起到一定作用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推进港区承受力管理规范法、精细化、常态化、制度化、展现港区城市新风貌</w:t>
            </w: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改善港区环境</w:t>
            </w:r>
          </w:p>
        </w:tc>
        <w:tc>
          <w:tcPr>
            <w:tcW w:w="32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改善了港区环境，提升了创造宜业、宜居、宜优的城市环境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改善城市景观</w:t>
            </w: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改善城市景观，市民安居乐业</w:t>
            </w:r>
          </w:p>
        </w:tc>
        <w:tc>
          <w:tcPr>
            <w:tcW w:w="32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有效改善了城市景观，营造安全环保整洁美观的城市环境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市民满意率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32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3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76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刘振宇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副局长</w:t>
            </w:r>
          </w:p>
        </w:tc>
        <w:tc>
          <w:tcPr>
            <w:tcW w:w="1763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岳阳市城市管理和综合执法局湖南城陵矶新港区分局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李铎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综合股股长</w:t>
            </w:r>
          </w:p>
        </w:tc>
        <w:tc>
          <w:tcPr>
            <w:tcW w:w="176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岳阳市城市管理和综合执法局湖南城陵矶新港区分局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毛岗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维护考评股股长</w:t>
            </w:r>
          </w:p>
        </w:tc>
        <w:tc>
          <w:tcPr>
            <w:tcW w:w="1763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岳阳市城市管理和综合执法局湖南城陵矶新港区分局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spacing w:line="560" w:lineRule="exact"/>
              <w:ind w:firstLine="554" w:firstLineChars="200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一、项目基本情况</w:t>
            </w:r>
          </w:p>
          <w:p>
            <w:pPr>
              <w:spacing w:line="560" w:lineRule="exact"/>
              <w:ind w:firstLine="554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岳阳市城市管理和综合执法局湖南城陵矶新港区分局（下称“新港区分局”）为正科级公益一类事业单位，隶属于岳阳市城市管理和综合执法局，负责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市容环境提质改造项目</w:t>
            </w:r>
            <w:r>
              <w:rPr>
                <w:rFonts w:hint="eastAsia" w:eastAsia="仿宋_GB2312"/>
                <w:sz w:val="28"/>
                <w:szCs w:val="28"/>
              </w:rPr>
              <w:t>，该项目社会效益显著，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切实改变城市面貌，美化城市环境，提升城市形象，提高城市管理水平</w:t>
            </w:r>
            <w:r>
              <w:rPr>
                <w:rFonts w:hint="eastAsia" w:eastAsia="仿宋_GB2312"/>
                <w:sz w:val="28"/>
                <w:szCs w:val="28"/>
              </w:rPr>
              <w:t>。</w:t>
            </w:r>
          </w:p>
          <w:p>
            <w:pPr>
              <w:spacing w:line="560" w:lineRule="exact"/>
              <w:ind w:firstLine="554" w:firstLineChars="200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二、项目资金使用及管理情况</w:t>
            </w:r>
          </w:p>
          <w:p>
            <w:pPr>
              <w:spacing w:line="560" w:lineRule="exact"/>
              <w:ind w:firstLine="554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根据《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湖南城陵矶新港区</w:t>
            </w:r>
            <w:r>
              <w:rPr>
                <w:rFonts w:hint="eastAsia" w:eastAsia="仿宋_GB2312"/>
                <w:sz w:val="28"/>
                <w:szCs w:val="28"/>
              </w:rPr>
              <w:t>财政局关于批复202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年部门预算通知》核定202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年“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市容提质改造</w:t>
            </w:r>
            <w:r>
              <w:rPr>
                <w:rFonts w:hint="eastAsia" w:eastAsia="仿宋_GB2312"/>
                <w:sz w:val="28"/>
                <w:szCs w:val="28"/>
              </w:rPr>
              <w:t>”预算金额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457</w:t>
            </w:r>
            <w:r>
              <w:rPr>
                <w:rFonts w:hint="eastAsia" w:eastAsia="仿宋_GB2312"/>
                <w:sz w:val="28"/>
                <w:szCs w:val="28"/>
              </w:rPr>
              <w:t>万元，该项目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年实际支出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209.7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万元，主要用于</w:t>
            </w:r>
            <w:r>
              <w:rPr>
                <w:rFonts w:hint="eastAsia" w:eastAsia="仿宋_GB2312"/>
                <w:sz w:val="28"/>
                <w:szCs w:val="28"/>
              </w:rPr>
              <w:t>城陵矶新港区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路灯亮化改造及新港区积水点改造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  <w:p>
            <w:pPr>
              <w:spacing w:line="560" w:lineRule="exact"/>
              <w:ind w:firstLine="554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新港区分局制定了《专项资金管理办法》、《专项资金绩效评价办法》、《</w:t>
            </w:r>
            <w:r>
              <w:rPr>
                <w:rFonts w:hint="eastAsia" w:ascii="仿宋_GB2312" w:eastAsia="仿宋_GB2312"/>
                <w:sz w:val="28"/>
                <w:szCs w:val="28"/>
              </w:rPr>
              <w:t>临港新区城市管理综合考核办法（试行）</w:t>
            </w:r>
            <w:r>
              <w:rPr>
                <w:rFonts w:hint="eastAsia" w:eastAsia="仿宋_GB2312"/>
                <w:sz w:val="28"/>
                <w:szCs w:val="28"/>
              </w:rPr>
              <w:t>》、《岗位责任制度》等制度，</w:t>
            </w:r>
            <w:r>
              <w:rPr>
                <w:rFonts w:eastAsia="仿宋_GB2312"/>
                <w:sz w:val="28"/>
                <w:szCs w:val="28"/>
              </w:rPr>
              <w:t>对项目进行</w:t>
            </w:r>
            <w:r>
              <w:rPr>
                <w:rFonts w:hint="eastAsia" w:eastAsia="仿宋_GB2312"/>
                <w:sz w:val="28"/>
                <w:szCs w:val="28"/>
              </w:rPr>
              <w:t>制度化、程序化</w:t>
            </w:r>
            <w:r>
              <w:rPr>
                <w:rFonts w:eastAsia="仿宋_GB2312"/>
                <w:sz w:val="28"/>
                <w:szCs w:val="28"/>
              </w:rPr>
              <w:t>管理</w:t>
            </w:r>
            <w:r>
              <w:rPr>
                <w:rFonts w:hint="eastAsia" w:eastAsia="仿宋_GB2312"/>
                <w:sz w:val="28"/>
                <w:szCs w:val="28"/>
              </w:rPr>
              <w:t>。制订内部控制操作规程，规范专项资金的使用和管理，</w:t>
            </w:r>
            <w:r>
              <w:rPr>
                <w:rFonts w:eastAsia="仿宋_GB2312"/>
                <w:sz w:val="28"/>
                <w:szCs w:val="28"/>
              </w:rPr>
              <w:t>单独核算，专款专用，</w:t>
            </w:r>
            <w:r>
              <w:rPr>
                <w:rFonts w:hint="eastAsia" w:eastAsia="仿宋_GB2312"/>
                <w:sz w:val="28"/>
                <w:szCs w:val="28"/>
              </w:rPr>
              <w:t>严禁挤占和挪用项目资金。</w:t>
            </w:r>
          </w:p>
          <w:p>
            <w:pPr>
              <w:numPr>
                <w:ilvl w:val="0"/>
                <w:numId w:val="2"/>
              </w:numPr>
              <w:spacing w:line="560" w:lineRule="exact"/>
              <w:ind w:firstLine="554" w:firstLineChars="200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项目组织实施情况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54" w:firstLineChars="20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一是项目组织情况。根据工作职责成立了提质改造项目组，由维护考评股、综合股组成。维护考评股负责</w:t>
            </w:r>
            <w:r>
              <w:rPr>
                <w:rFonts w:hint="eastAsia" w:ascii="仿宋_GB2312" w:hAnsi="仿宋_GB2312" w:eastAsia="仿宋_GB2312"/>
                <w:sz w:val="32"/>
                <w:szCs w:val="30"/>
              </w:rPr>
              <w:t>工程项目公开招投标各项手续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、施工现场</w:t>
            </w:r>
            <w:r>
              <w:rPr>
                <w:rFonts w:hint="eastAsia" w:ascii="仿宋_GB2312" w:hAnsi="仿宋_GB2312" w:eastAsia="仿宋_GB2312"/>
                <w:sz w:val="32"/>
                <w:szCs w:val="28"/>
              </w:rPr>
              <w:t>的进度、质量的监督</w:t>
            </w:r>
            <w:r>
              <w:rPr>
                <w:rFonts w:hint="eastAsia" w:ascii="仿宋_GB2312" w:hAnsi="仿宋_GB2312" w:eastAsia="仿宋_GB2312"/>
                <w:sz w:val="32"/>
                <w:szCs w:val="30"/>
              </w:rPr>
              <w:t>和督察，巡查施工单位是否执行文明施工和安全生产管理规定；</w:t>
            </w:r>
            <w:r>
              <w:rPr>
                <w:rFonts w:hint="eastAsia" w:ascii="仿宋_GB2312" w:hAnsi="仿宋_GB2312" w:eastAsia="仿宋_GB2312"/>
                <w:sz w:val="32"/>
                <w:szCs w:val="28"/>
              </w:rPr>
              <w:t>负责及时办理财政金融部资金的申报，确保资金按计划拨付到位并督促施工单位办理相关手续，确保按进度、按合同支付建设工程款。</w:t>
            </w:r>
            <w:r>
              <w:rPr>
                <w:rFonts w:hint="eastAsia" w:ascii="仿宋_GB2312" w:hAnsi="仿宋_GB2312" w:eastAsia="仿宋_GB2312"/>
                <w:sz w:val="32"/>
                <w:szCs w:val="28"/>
                <w:lang w:val="en-US" w:eastAsia="zh-CN"/>
              </w:rPr>
              <w:t>综合股</w:t>
            </w:r>
            <w:r>
              <w:rPr>
                <w:rFonts w:hint="eastAsia" w:ascii="仿宋_GB2312" w:hAnsi="仿宋_GB2312" w:eastAsia="仿宋_GB2312"/>
                <w:sz w:val="32"/>
                <w:szCs w:val="28"/>
              </w:rPr>
              <w:t>负责各项合同的编制、审定、工程文件、资料的拟订、收集、会议的筹备、记录等各项协调工作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及小项目办理政采云相关手续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634" w:firstLineChars="200"/>
              <w:rPr>
                <w:rFonts w:hint="default" w:ascii="黑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二是工程进度情况。园林绿化方面</w:t>
            </w:r>
            <w:r>
              <w:rPr>
                <w:rFonts w:hint="eastAsia" w:ascii="仿宋_GB2312" w:eastAsia="仿宋_GB2312"/>
                <w:sz w:val="32"/>
                <w:szCs w:val="32"/>
              </w:rPr>
              <w:t>因绿化工程季节性强，须抢抓季节，才能保证成活率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管网方面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对辖区内所有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积水点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进行了检测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根据轻重缓急的原则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就天气及时进行整改；人行道整容方面因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来往步行人员较多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根据安全轻重缓急对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云港路、兴港路、长江大道等路段约20处人行道弃用开口进行整容。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黑体" w:eastAsia="黑体"/>
                <w:b/>
                <w:sz w:val="28"/>
                <w:szCs w:val="28"/>
              </w:rPr>
            </w:pPr>
          </w:p>
          <w:p>
            <w:pPr>
              <w:pStyle w:val="14"/>
              <w:numPr>
                <w:ilvl w:val="0"/>
                <w:numId w:val="0"/>
              </w:numPr>
              <w:spacing w:line="560" w:lineRule="exact"/>
              <w:ind w:firstLine="554" w:firstLineChars="200"/>
              <w:rPr>
                <w:rFonts w:hint="eastAsia"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综合评价情况及评价结论</w:t>
            </w:r>
          </w:p>
          <w:p>
            <w:pPr>
              <w:pStyle w:val="14"/>
              <w:numPr>
                <w:ilvl w:val="0"/>
                <w:numId w:val="0"/>
              </w:numPr>
              <w:spacing w:line="560" w:lineRule="exact"/>
              <w:ind w:firstLine="554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城陵矶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新港区分局</w:t>
            </w:r>
            <w:r>
              <w:rPr>
                <w:rFonts w:hint="eastAsia" w:eastAsia="仿宋_GB2312"/>
                <w:sz w:val="28"/>
                <w:szCs w:val="28"/>
              </w:rPr>
              <w:t>绩效评价组认为，城陵矶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新港区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市容环境提质</w:t>
            </w:r>
            <w:r>
              <w:rPr>
                <w:rFonts w:hint="eastAsia" w:eastAsia="仿宋_GB2312"/>
                <w:sz w:val="28"/>
                <w:szCs w:val="28"/>
              </w:rPr>
              <w:t>项目资金使用规范、遵守了相关法规政策，有效发挥了财政资金的使用效率。考评得分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96</w:t>
            </w:r>
            <w:r>
              <w:rPr>
                <w:rFonts w:hint="eastAsia" w:eastAsia="仿宋_GB2312"/>
                <w:sz w:val="28"/>
                <w:szCs w:val="28"/>
              </w:rPr>
              <w:t>分，考评等次为“优秀”，评分见</w:t>
            </w:r>
            <w:r>
              <w:rPr>
                <w:rFonts w:hint="eastAsia" w:ascii="仿宋_GB2312" w:eastAsia="仿宋_GB2312"/>
                <w:sz w:val="28"/>
                <w:szCs w:val="28"/>
              </w:rPr>
              <w:t>附件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《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市容提质改造</w:t>
            </w:r>
            <w:r>
              <w:rPr>
                <w:rFonts w:hint="eastAsia" w:ascii="仿宋_GB2312" w:eastAsia="仿宋_GB2312"/>
                <w:sz w:val="28"/>
                <w:szCs w:val="28"/>
              </w:rPr>
              <w:t>项目绩效评价指标体系》。</w:t>
            </w:r>
          </w:p>
          <w:p>
            <w:pPr>
              <w:numPr>
                <w:ilvl w:val="0"/>
                <w:numId w:val="0"/>
              </w:numPr>
              <w:spacing w:before="312" w:beforeLines="100" w:after="312" w:afterLines="100" w:line="560" w:lineRule="exact"/>
              <w:ind w:firstLine="554" w:firstLineChars="200"/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五、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项目主要绩效情况分析</w:t>
            </w:r>
          </w:p>
          <w:p>
            <w:pPr>
              <w:numPr>
                <w:ilvl w:val="0"/>
                <w:numId w:val="0"/>
              </w:numPr>
              <w:spacing w:before="312" w:beforeLines="100" w:after="312" w:afterLines="100" w:line="560" w:lineRule="exact"/>
              <w:ind w:left="700" w:leftChars="0"/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(一）经济性</w:t>
            </w:r>
          </w:p>
          <w:p>
            <w:pPr>
              <w:spacing w:line="560" w:lineRule="exact"/>
              <w:ind w:firstLine="554" w:firstLineChars="20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，城陵矶新港区分局始终认真贯彻执行《会计法》、《预算法》、《行政事业单位会计制度》等法律法规，认真进行了预算编制，建立健全了单位财务制度，加强了财政专项资金管理，严格按预算进度支付费用，预算执行完成和控制较好。项目年初预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457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万元，本年实际支付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209.7万元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，主要用于城陵矶新港区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路灯亮化改造，新港区积水点改造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。</w:t>
            </w:r>
          </w:p>
          <w:p>
            <w:pPr>
              <w:spacing w:line="560" w:lineRule="exact"/>
              <w:ind w:firstLine="554" w:firstLineChars="20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城陵矶新港区分局建立了《预算支出绩效评价制度》和《临港新区城市管理综合考核办法（试行）》等制度，通过制度管控使“预算编制有目标、预算执行有监控、预算完成有评价、评价结果有反馈、反馈结果有应用”的全过程预算绩效管理机制，以达到成本的控制和资金的节约使用。</w:t>
            </w:r>
          </w:p>
          <w:p>
            <w:pPr>
              <w:spacing w:line="560" w:lineRule="exact"/>
              <w:ind w:firstLine="554" w:firstLineChars="20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（二）效率性</w:t>
            </w:r>
          </w:p>
          <w:p>
            <w:pPr>
              <w:spacing w:line="560" w:lineRule="exact"/>
              <w:ind w:firstLine="554" w:firstLineChars="20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各项目按进度准时完成。质量效果上做到了两个确保:确保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按时完成项目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确保满意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率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达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％。</w:t>
            </w:r>
          </w:p>
          <w:p>
            <w:pPr>
              <w:spacing w:line="560" w:lineRule="exact"/>
              <w:ind w:firstLine="554" w:firstLineChars="20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（三）有效性</w:t>
            </w:r>
          </w:p>
          <w:p>
            <w:pPr>
              <w:spacing w:line="560" w:lineRule="exact"/>
              <w:ind w:firstLine="554" w:firstLineChars="20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市容环境提质改造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项目工作实施，紧扣“产业兴旺、开放包容、品质高端、生态宜居、充满活力”大城市建设目标定位，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推进港区城市管理规范化、精细化、常态化、制度化，展现港区城市新风貌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。</w:t>
            </w:r>
          </w:p>
          <w:p>
            <w:pPr>
              <w:spacing w:line="560" w:lineRule="exact"/>
              <w:ind w:firstLine="554" w:firstLineChars="20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（四）可持续性分析</w:t>
            </w:r>
          </w:p>
          <w:p>
            <w:pPr>
              <w:spacing w:line="560" w:lineRule="exact"/>
              <w:ind w:firstLine="554" w:firstLineChars="20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根据城市规划，继续加强新港区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市容环境提质改造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同时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重点投入人力物力财力，夯实日常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管理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基础性工作。</w:t>
            </w:r>
          </w:p>
          <w:p>
            <w:pPr>
              <w:spacing w:line="560" w:lineRule="exact"/>
              <w:ind w:firstLine="554" w:firstLineChars="20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（五）加强预算的约束，确保资金支出绩效。</w:t>
            </w:r>
          </w:p>
          <w:p>
            <w:pPr>
              <w:spacing w:line="560" w:lineRule="exact"/>
              <w:ind w:firstLine="554" w:firstLineChars="20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在项目实施过程中运用《预算业务管理制度》、《项目实施管理办法》等制度加强项目管理，保障城陵矶新港区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城市管理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处于良好的运行状态，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急及机动处置率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98%以上，资金支出严格控制在年初预算之内。</w:t>
            </w:r>
          </w:p>
          <w:p>
            <w:pPr>
              <w:spacing w:line="560" w:lineRule="exact"/>
              <w:ind w:firstLine="554" w:firstLineChars="20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（六）城市环境有效提升</w:t>
            </w:r>
          </w:p>
          <w:p>
            <w:pPr>
              <w:spacing w:line="560" w:lineRule="exact"/>
              <w:ind w:firstLine="554" w:firstLineChars="20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工作中认真践行为人民服务的宗旨，通过不断修定和完善考评考核机制，加强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市容环境提质改造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，逐步实现城市管理工作科学化、规范化、精细化管理，营造了安全、整洁美观的城市环境，得到上级领导的肯定和市民的普遍赞扬。</w:t>
            </w:r>
          </w:p>
          <w:p>
            <w:pPr>
              <w:spacing w:line="560" w:lineRule="exact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六、主要经验及做法、存在问题和建议</w:t>
            </w:r>
          </w:p>
          <w:p>
            <w:pPr>
              <w:spacing w:line="560" w:lineRule="exact"/>
              <w:ind w:firstLine="554" w:firstLineChars="200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主要经验及做法：</w:t>
            </w:r>
          </w:p>
          <w:p>
            <w:pPr>
              <w:spacing w:line="560" w:lineRule="exact"/>
              <w:ind w:firstLine="554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（一）对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城市基础设施</w:t>
            </w:r>
            <w:r>
              <w:rPr>
                <w:rFonts w:hint="eastAsia" w:eastAsia="仿宋_GB2312"/>
                <w:sz w:val="28"/>
                <w:szCs w:val="28"/>
              </w:rPr>
              <w:t>进行提质改造，有效降低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管理</w:t>
            </w:r>
            <w:r>
              <w:rPr>
                <w:rFonts w:hint="eastAsia" w:eastAsia="仿宋_GB2312"/>
                <w:sz w:val="28"/>
                <w:szCs w:val="28"/>
              </w:rPr>
              <w:t>成本，及时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有效的完成管理目标</w:t>
            </w:r>
            <w:r>
              <w:rPr>
                <w:rFonts w:hint="eastAsia" w:eastAsia="仿宋_GB2312"/>
                <w:sz w:val="28"/>
                <w:szCs w:val="28"/>
              </w:rPr>
              <w:t>。</w:t>
            </w:r>
          </w:p>
          <w:p>
            <w:pPr>
              <w:spacing w:line="560" w:lineRule="exact"/>
              <w:ind w:firstLine="554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（二）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积极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排查，发现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问题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及时整改，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有效加强城市管理，切实改变城市面貌，美化城市环境，提升城市形象，提高城市管理水平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。</w:t>
            </w:r>
          </w:p>
          <w:p>
            <w:pPr>
              <w:spacing w:line="560" w:lineRule="exact"/>
              <w:ind w:firstLine="554" w:firstLineChars="200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存在问题和建议：</w:t>
            </w:r>
          </w:p>
          <w:p>
            <w:pPr>
              <w:spacing w:line="560" w:lineRule="exact"/>
              <w:ind w:firstLine="554" w:firstLineChars="200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随着城市的发展和扩张，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城市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管理的范围越来越大，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建设项目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也越来越多，城陵矶新港区作为我市乃至我省新的经济增长点，倍受各级领导的关注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，城市管理的标准和要求更高，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使得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市容环境提质项目加大增多，需加大人力、物力及城市管理频次、力度、范围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。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4" w:beforeLines="50" w:after="304" w:afterLines="50" w:line="560" w:lineRule="exact"/>
        <w:jc w:val="center"/>
        <w:textAlignment w:val="auto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96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>
      <w:pPr>
        <w:adjustRightInd w:val="0"/>
        <w:snapToGrid w:val="0"/>
        <w:spacing w:line="640" w:lineRule="exact"/>
        <w:contextualSpacing/>
        <w:rPr>
          <w:rFonts w:hint="eastAsia"/>
          <w:sz w:val="28"/>
          <w:szCs w:val="28"/>
        </w:rPr>
      </w:pPr>
    </w:p>
    <w:sectPr>
      <w:pgSz w:w="11906" w:h="16838"/>
      <w:pgMar w:top="1588" w:right="1588" w:bottom="1588" w:left="1588" w:header="851" w:footer="992" w:gutter="0"/>
      <w:pgNumType w:start="1"/>
      <w:cols w:space="720" w:num="1"/>
      <w:docGrid w:type="linesAndChars" w:linePitch="602" w:charSpace="-7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96CF46"/>
    <w:multiLevelType w:val="singleLevel"/>
    <w:tmpl w:val="2B96CF4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08E1D83"/>
    <w:multiLevelType w:val="singleLevel"/>
    <w:tmpl w:val="708E1D8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Mjg5MWNkMDM4Yzc2MTE0ZjNkOWVmNzg0YWM2ODcifQ=="/>
    <w:docVar w:name="KSO_WPS_MARK_KEY" w:val="0ee7d815-2f00-4552-8a69-20e963c2de23"/>
  </w:docVars>
  <w:rsids>
    <w:rsidRoot w:val="00F521AC"/>
    <w:rsid w:val="00005DF5"/>
    <w:rsid w:val="00026EDF"/>
    <w:rsid w:val="000907A7"/>
    <w:rsid w:val="000B10DA"/>
    <w:rsid w:val="000D2C50"/>
    <w:rsid w:val="000D35DF"/>
    <w:rsid w:val="000D6385"/>
    <w:rsid w:val="000E0C52"/>
    <w:rsid w:val="000E44B2"/>
    <w:rsid w:val="000F2261"/>
    <w:rsid w:val="001274A6"/>
    <w:rsid w:val="001477FB"/>
    <w:rsid w:val="001A6003"/>
    <w:rsid w:val="001D0882"/>
    <w:rsid w:val="001D59FA"/>
    <w:rsid w:val="001E757A"/>
    <w:rsid w:val="001F769E"/>
    <w:rsid w:val="002228C6"/>
    <w:rsid w:val="002319A0"/>
    <w:rsid w:val="00241C05"/>
    <w:rsid w:val="002908F0"/>
    <w:rsid w:val="002F390D"/>
    <w:rsid w:val="003B56A9"/>
    <w:rsid w:val="003C08FC"/>
    <w:rsid w:val="003D0A51"/>
    <w:rsid w:val="003F6FBE"/>
    <w:rsid w:val="00497775"/>
    <w:rsid w:val="004A175A"/>
    <w:rsid w:val="004E4D39"/>
    <w:rsid w:val="00532371"/>
    <w:rsid w:val="00557CE8"/>
    <w:rsid w:val="00564E7D"/>
    <w:rsid w:val="005725E6"/>
    <w:rsid w:val="005901A2"/>
    <w:rsid w:val="00595358"/>
    <w:rsid w:val="005961D8"/>
    <w:rsid w:val="005A5CEA"/>
    <w:rsid w:val="00604AE8"/>
    <w:rsid w:val="0066251B"/>
    <w:rsid w:val="0067543D"/>
    <w:rsid w:val="00682829"/>
    <w:rsid w:val="006C4524"/>
    <w:rsid w:val="00700961"/>
    <w:rsid w:val="00701987"/>
    <w:rsid w:val="00736EFE"/>
    <w:rsid w:val="007556ED"/>
    <w:rsid w:val="00773BC9"/>
    <w:rsid w:val="007928AF"/>
    <w:rsid w:val="008613DB"/>
    <w:rsid w:val="008671CE"/>
    <w:rsid w:val="008766B7"/>
    <w:rsid w:val="00893926"/>
    <w:rsid w:val="008F291E"/>
    <w:rsid w:val="00902843"/>
    <w:rsid w:val="00904DA1"/>
    <w:rsid w:val="00914A31"/>
    <w:rsid w:val="00942A92"/>
    <w:rsid w:val="009A306D"/>
    <w:rsid w:val="009A6E11"/>
    <w:rsid w:val="009C67E8"/>
    <w:rsid w:val="00A33916"/>
    <w:rsid w:val="00AA16BE"/>
    <w:rsid w:val="00AD105F"/>
    <w:rsid w:val="00AD574C"/>
    <w:rsid w:val="00B32B1E"/>
    <w:rsid w:val="00B735BC"/>
    <w:rsid w:val="00BC7F9A"/>
    <w:rsid w:val="00BF3858"/>
    <w:rsid w:val="00C111C8"/>
    <w:rsid w:val="00C473A5"/>
    <w:rsid w:val="00CE7209"/>
    <w:rsid w:val="00D41F2D"/>
    <w:rsid w:val="00D7081E"/>
    <w:rsid w:val="00DB2C5A"/>
    <w:rsid w:val="00DC0295"/>
    <w:rsid w:val="00DC5AFB"/>
    <w:rsid w:val="00DF1BBB"/>
    <w:rsid w:val="00E60FCA"/>
    <w:rsid w:val="00EA1E6B"/>
    <w:rsid w:val="00EB2748"/>
    <w:rsid w:val="00F521AC"/>
    <w:rsid w:val="00F74B28"/>
    <w:rsid w:val="00F86472"/>
    <w:rsid w:val="02AC2ED8"/>
    <w:rsid w:val="0F0A7D7E"/>
    <w:rsid w:val="1523719E"/>
    <w:rsid w:val="1DBA5F2A"/>
    <w:rsid w:val="21DE1912"/>
    <w:rsid w:val="2A6D1036"/>
    <w:rsid w:val="30DF318F"/>
    <w:rsid w:val="3B3C52E5"/>
    <w:rsid w:val="3C12626D"/>
    <w:rsid w:val="3EB668D8"/>
    <w:rsid w:val="4233680D"/>
    <w:rsid w:val="46EF7542"/>
    <w:rsid w:val="4CB16E35"/>
    <w:rsid w:val="51D57A6A"/>
    <w:rsid w:val="523A4E85"/>
    <w:rsid w:val="53DE1946"/>
    <w:rsid w:val="583B4F1B"/>
    <w:rsid w:val="5B0067D4"/>
    <w:rsid w:val="6AD16123"/>
    <w:rsid w:val="73B84D4C"/>
    <w:rsid w:val="79BA34E7"/>
    <w:rsid w:val="79B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3"/>
    <w:unhideWhenUsed/>
    <w:qFormat/>
    <w:uiPriority w:val="0"/>
    <w:pPr>
      <w:ind w:firstLine="588" w:firstLineChars="200"/>
    </w:pPr>
    <w:rPr>
      <w:rFonts w:ascii="仿宋_GB2312" w:hAnsi="Calibri" w:eastAsia="仿宋_GB2312" w:cs="Times New Roman"/>
      <w:sz w:val="32"/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sz w:val="18"/>
      <w:szCs w:val="18"/>
    </w:rPr>
  </w:style>
  <w:style w:type="character" w:customStyle="1" w:styleId="12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character" w:customStyle="1" w:styleId="13">
    <w:name w:val="正文文本缩进 2 Char"/>
    <w:basedOn w:val="7"/>
    <w:link w:val="2"/>
    <w:qFormat/>
    <w:uiPriority w:val="0"/>
    <w:rPr>
      <w:rFonts w:ascii="仿宋_GB2312" w:hAnsi="Calibri" w:eastAsia="仿宋_GB2312" w:cs="Times New Roman"/>
      <w:sz w:val="32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4723</Words>
  <Characters>4929</Characters>
  <Lines>19</Lines>
  <Paragraphs>5</Paragraphs>
  <TotalTime>7</TotalTime>
  <ScaleCrop>false</ScaleCrop>
  <LinksUpToDate>false</LinksUpToDate>
  <CharactersWithSpaces>5521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2020-06-02T01:49:00Z</dcterms:created>
  <dc:creator>lenvov</dc:creator>
  <cp:lastModifiedBy>翠大宝</cp:lastModifiedBy>
  <cp:lastPrinted>2023-03-01T08:42:02Z</cp:lastPrinted>
  <dcterms:modified xsi:type="dcterms:W3CDTF">2023-03-01T08:42:08Z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27A8A3C64A0445DB86A175E56FDAAEB4</vt:lpwstr>
  </property>
</Properties>
</file>