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left"/>
        <w:rPr>
          <w:rFonts w:ascii="黑体" w:hAnsi="黑体" w:eastAsia="黑体" w:cs="黑体"/>
          <w:bCs/>
          <w:sz w:val="32"/>
          <w:szCs w:val="32"/>
        </w:rPr>
      </w:pPr>
      <w:r>
        <w:rPr>
          <w:rFonts w:hint="eastAsia" w:ascii="黑体" w:hAnsi="黑体" w:eastAsia="黑体" w:cs="黑体"/>
          <w:bCs/>
          <w:sz w:val="32"/>
          <w:szCs w:val="32"/>
        </w:rPr>
        <w:t>附件1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202</w:t>
      </w:r>
      <w:r>
        <w:rPr>
          <w:rFonts w:hint="eastAsia" w:eastAsia="方正小标宋简体"/>
          <w:bCs/>
          <w:sz w:val="46"/>
          <w:szCs w:val="46"/>
          <w:u w:val="single"/>
          <w:lang w:val="en-US" w:eastAsia="zh-CN"/>
        </w:rPr>
        <w:t>2</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rPr>
      </w:pPr>
      <w:r>
        <w:rPr>
          <w:rFonts w:hint="eastAsia" w:eastAsia="仿宋_GB2312"/>
          <w:sz w:val="32"/>
          <w:szCs w:val="32"/>
        </w:rPr>
        <w:t>部门(单位)名称：</w:t>
      </w:r>
      <w:r>
        <w:rPr>
          <w:rFonts w:hint="eastAsia" w:eastAsia="仿宋_GB2312"/>
          <w:sz w:val="32"/>
          <w:szCs w:val="32"/>
          <w:lang w:val="en-US" w:eastAsia="zh-CN"/>
        </w:rPr>
        <w:t>开发</w:t>
      </w:r>
      <w:r>
        <w:rPr>
          <w:rFonts w:hint="eastAsia" w:eastAsia="仿宋_GB2312"/>
          <w:sz w:val="32"/>
          <w:szCs w:val="32"/>
        </w:rPr>
        <w:t>建设部</w:t>
      </w:r>
    </w:p>
    <w:p>
      <w:pPr>
        <w:spacing w:beforeLines="50" w:line="348" w:lineRule="auto"/>
        <w:ind w:firstLine="476" w:firstLineChars="150"/>
        <w:jc w:val="left"/>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码：007001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eastAsia="仿宋_GB2312"/>
          <w:sz w:val="32"/>
        </w:rPr>
        <w:t>202</w:t>
      </w:r>
      <w:r>
        <w:rPr>
          <w:rFonts w:hint="eastAsia" w:eastAsia="仿宋_GB2312"/>
          <w:sz w:val="32"/>
          <w:lang w:val="en-US" w:eastAsia="zh-CN"/>
        </w:rPr>
        <w:t>3</w:t>
      </w:r>
      <w:r>
        <w:rPr>
          <w:rFonts w:hint="eastAsia" w:eastAsia="仿宋_GB2312"/>
          <w:sz w:val="32"/>
        </w:rPr>
        <w:t>年</w:t>
      </w:r>
      <w:r>
        <w:rPr>
          <w:rFonts w:hint="eastAsia" w:eastAsia="仿宋_GB2312"/>
          <w:sz w:val="32"/>
          <w:lang w:val="en-US" w:eastAsia="zh-CN"/>
        </w:rPr>
        <w:t>4</w:t>
      </w:r>
      <w:r>
        <w:rPr>
          <w:rFonts w:hint="eastAsia" w:eastAsia="仿宋_GB2312"/>
          <w:sz w:val="32"/>
        </w:rPr>
        <w:t>月 22日</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姚可</w:t>
            </w:r>
          </w:p>
        </w:tc>
        <w:tc>
          <w:tcPr>
            <w:tcW w:w="1479" w:type="dxa"/>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13507301878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c>
          <w:tcPr>
            <w:tcW w:w="1479" w:type="dxa"/>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jc w:val="left"/>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加挂自然资源局牌子</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负责对建设项目实施行业管理；负责招投标工作；负责房地产管理工作；办理施工图审查情况备案及施工许可工作；负责建筑物名称核准和地名管理工作；负责产城融合示范区建设日常工作；根据授权开展基础设施建设和维护工作；负责依法履行辖区内全民所有自然资源资产所有者职责；负责自然资源调查监测评价、确权登记、开发利用及资产有偿使用；负责国土空间规划实施管理，配合编制国土空间规划；负责国土空间用途管制、生态修复；负责耕地保护、测绘地理信息、矿产资源管理、地质灾害预防和治理；根据权限，依法承担规划、住建、人防、交通、农业、林业、水利等有关行政管理职能；根据权限，承担违法案件的查处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bookmarkStart w:id="0" w:name="_Hlk77350218"/>
            <w:r>
              <w:rPr>
                <w:rFonts w:hint="eastAsia" w:ascii="仿宋_GB2312" w:hAnsi="仿宋_GB2312" w:eastAsia="仿宋_GB2312" w:cs="仿宋_GB2312"/>
                <w:color w:val="000000"/>
                <w:sz w:val="24"/>
              </w:rPr>
              <w:t>年度主要</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任务1：</w:t>
            </w:r>
            <w:r>
              <w:rPr>
                <w:rFonts w:hint="eastAsia" w:ascii="仿宋_GB2312" w:hAnsi="仿宋_GB2312" w:eastAsia="仿宋_GB2312" w:cs="仿宋_GB2312"/>
                <w:color w:val="000000" w:themeColor="text1"/>
                <w:sz w:val="24"/>
                <w:lang w:val="en-US" w:eastAsia="zh-CN"/>
                <w14:textFill>
                  <w14:solidFill>
                    <w14:schemeClr w14:val="tx1"/>
                  </w14:solidFill>
                </w14:textFill>
              </w:rPr>
              <w:t>完成城乡规划编制服务。</w:t>
            </w:r>
            <w:r>
              <w:rPr>
                <w:rFonts w:hint="eastAsia" w:ascii="仿宋_GB2312" w:hAnsi="仿宋_GB2312" w:eastAsia="仿宋_GB2312" w:cs="仿宋_GB2312"/>
                <w:color w:val="000000" w:themeColor="text1"/>
                <w:sz w:val="24"/>
                <w14:textFill>
                  <w14:solidFill>
                    <w14:schemeClr w14:val="tx1"/>
                  </w14:solidFill>
                </w14:textFill>
              </w:rPr>
              <w:t>完成松阳湖南侧自贸区产业学院和兴港路以北科技创新产业园项目土地利用总体规划。根据全省统筹划定 “三区三线”工作视频会议精神和全市国土空间规划“三区三线”划定工作</w:t>
            </w:r>
            <w:r>
              <w:rPr>
                <w:rFonts w:hint="eastAsia" w:ascii="仿宋_GB2312" w:hAnsi="仿宋_GB2312" w:eastAsia="仿宋_GB2312" w:cs="仿宋_GB2312"/>
                <w:color w:val="000000" w:themeColor="text1"/>
                <w:sz w:val="24"/>
                <w:lang w:val="en-US" w:eastAsia="zh-CN"/>
                <w14:textFill>
                  <w14:solidFill>
                    <w14:schemeClr w14:val="tx1"/>
                  </w14:solidFill>
                </w14:textFill>
              </w:rPr>
              <w:t>要求</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并</w:t>
            </w:r>
            <w:r>
              <w:rPr>
                <w:rFonts w:hint="eastAsia" w:ascii="仿宋_GB2312" w:hAnsi="仿宋_GB2312" w:eastAsia="仿宋_GB2312" w:cs="仿宋_GB2312"/>
                <w:color w:val="000000" w:themeColor="text1"/>
                <w:sz w:val="24"/>
                <w14:textFill>
                  <w14:solidFill>
                    <w14:schemeClr w14:val="tx1"/>
                  </w14:solidFill>
                </w14:textFill>
              </w:rPr>
              <w:t>结合</w:t>
            </w:r>
            <w:r>
              <w:rPr>
                <w:rFonts w:hint="eastAsia" w:ascii="仿宋_GB2312" w:hAnsi="仿宋_GB2312" w:eastAsia="仿宋_GB2312" w:cs="仿宋_GB2312"/>
                <w:color w:val="000000" w:themeColor="text1"/>
                <w:sz w:val="24"/>
                <w:lang w:val="en-US" w:eastAsia="zh-CN"/>
                <w14:textFill>
                  <w14:solidFill>
                    <w14:schemeClr w14:val="tx1"/>
                  </w14:solidFill>
                </w14:textFill>
              </w:rPr>
              <w:t>港区</w:t>
            </w:r>
            <w:r>
              <w:rPr>
                <w:rFonts w:hint="eastAsia" w:ascii="仿宋_GB2312" w:hAnsi="仿宋_GB2312" w:eastAsia="仿宋_GB2312" w:cs="仿宋_GB2312"/>
                <w:color w:val="000000" w:themeColor="text1"/>
                <w:sz w:val="24"/>
                <w14:textFill>
                  <w14:solidFill>
                    <w14:schemeClr w14:val="tx1"/>
                  </w14:solidFill>
                </w14:textFill>
              </w:rPr>
              <w:t>调区扩区方案</w:t>
            </w:r>
            <w:r>
              <w:rPr>
                <w:rFonts w:hint="eastAsia" w:ascii="仿宋_GB2312" w:hAnsi="仿宋_GB2312" w:eastAsia="仿宋_GB2312" w:cs="仿宋_GB2312"/>
                <w:color w:val="000000" w:themeColor="text1"/>
                <w:sz w:val="24"/>
                <w:lang w:val="en-US" w:eastAsia="zh-CN"/>
                <w14:textFill>
                  <w14:solidFill>
                    <w14:schemeClr w14:val="tx1"/>
                  </w14:solidFill>
                </w14:textFill>
              </w:rPr>
              <w:t>完成了我区</w:t>
            </w:r>
            <w:r>
              <w:rPr>
                <w:rFonts w:hint="eastAsia" w:ascii="仿宋_GB2312" w:hAnsi="仿宋_GB2312" w:eastAsia="仿宋_GB2312" w:cs="仿宋_GB2312"/>
                <w:color w:val="000000" w:themeColor="text1"/>
                <w:sz w:val="24"/>
                <w14:textFill>
                  <w14:solidFill>
                    <w14:schemeClr w14:val="tx1"/>
                  </w14:solidFill>
                </w14:textFill>
              </w:rPr>
              <w:t>的“三区三线”划定工作</w:t>
            </w:r>
            <w:r>
              <w:rPr>
                <w:rFonts w:hint="eastAsia" w:ascii="仿宋_GB2312" w:hAnsi="仿宋_GB2312" w:eastAsia="仿宋_GB2312" w:cs="仿宋_GB2312"/>
                <w:color w:val="000000" w:themeColor="text1"/>
                <w:sz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完成《云溪滨湖村村庄振兴规划》</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《新港区电力专项规划》、《湖南城陵矶新港区人行过街设施专项规划（2022-2035）》等专项规划，《新港区生态修复专项规划暨山水林田湖草综合治理规划》、</w:t>
            </w:r>
            <w:r>
              <w:rPr>
                <w:rFonts w:hint="eastAsia" w:ascii="仿宋_GB2312" w:hAnsi="仿宋_GB2312" w:eastAsia="仿宋_GB2312" w:cs="仿宋_GB2312"/>
                <w:color w:val="000000" w:themeColor="text1"/>
                <w:sz w:val="24"/>
                <w14:textFill>
                  <w14:solidFill>
                    <w14:schemeClr w14:val="tx1"/>
                  </w14:solidFill>
                </w14:textFill>
              </w:rPr>
              <w:t>《湖南城陵矶新港区产业用地</w:t>
            </w:r>
            <w:r>
              <w:rPr>
                <w:rFonts w:hint="eastAsia" w:ascii="仿宋_GB2312" w:hAnsi="仿宋_GB2312" w:eastAsia="仿宋_GB2312" w:cs="仿宋_GB2312"/>
                <w:color w:val="000000" w:themeColor="text1"/>
                <w:sz w:val="24"/>
                <w:lang w:val="en-US" w:eastAsia="zh-CN"/>
                <w14:textFill>
                  <w14:solidFill>
                    <w14:schemeClr w14:val="tx1"/>
                  </w14:solidFill>
                </w14:textFill>
              </w:rPr>
              <w:t>调整</w:t>
            </w:r>
            <w:r>
              <w:rPr>
                <w:rFonts w:hint="eastAsia" w:ascii="仿宋_GB2312" w:hAnsi="仿宋_GB2312" w:eastAsia="仿宋_GB2312" w:cs="仿宋_GB2312"/>
                <w:color w:val="000000" w:themeColor="text1"/>
                <w:sz w:val="24"/>
                <w14:textFill>
                  <w14:solidFill>
                    <w14:schemeClr w14:val="tx1"/>
                  </w14:solidFill>
                </w14:textFill>
              </w:rPr>
              <w:t>规划》</w:t>
            </w:r>
            <w:r>
              <w:rPr>
                <w:rFonts w:hint="eastAsia" w:ascii="仿宋_GB2312" w:hAnsi="仿宋_GB2312" w:eastAsia="仿宋_GB2312" w:cs="仿宋_GB2312"/>
                <w:color w:val="000000" w:themeColor="text1"/>
                <w:sz w:val="24"/>
                <w:lang w:val="en-US" w:eastAsia="zh-CN"/>
                <w14:textFill>
                  <w14:solidFill>
                    <w14:schemeClr w14:val="tx1"/>
                  </w14:solidFill>
                </w14:textFill>
              </w:rPr>
              <w:t>初步成果。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任务2：</w:t>
            </w:r>
            <w:r>
              <w:rPr>
                <w:rFonts w:hint="eastAsia" w:ascii="仿宋_GB2312" w:hAnsi="仿宋_GB2312" w:eastAsia="仿宋_GB2312" w:cs="仿宋_GB2312"/>
                <w:color w:val="000000" w:themeColor="text1"/>
                <w:sz w:val="24"/>
                <w:lang w:val="en-US" w:eastAsia="zh-CN"/>
                <w14:textFill>
                  <w14:solidFill>
                    <w14:schemeClr w14:val="tx1"/>
                  </w14:solidFill>
                </w14:textFill>
              </w:rPr>
              <w:t>完成</w:t>
            </w:r>
            <w:r>
              <w:rPr>
                <w:rFonts w:hint="eastAsia" w:ascii="仿宋_GB2312" w:hAnsi="仿宋_GB2312" w:eastAsia="仿宋_GB2312" w:cs="仿宋_GB2312"/>
                <w:color w:val="000000" w:themeColor="text1"/>
                <w:sz w:val="24"/>
                <w14:textFill>
                  <w14:solidFill>
                    <w14:schemeClr w14:val="tx1"/>
                  </w14:solidFill>
                </w14:textFill>
              </w:rPr>
              <w:t>耕地保护</w:t>
            </w:r>
            <w:r>
              <w:rPr>
                <w:rFonts w:hint="eastAsia" w:ascii="仿宋_GB2312" w:hAnsi="仿宋_GB2312" w:eastAsia="仿宋_GB2312" w:cs="仿宋_GB2312"/>
                <w:color w:val="000000" w:themeColor="text1"/>
                <w:sz w:val="24"/>
                <w:lang w:val="en-US" w:eastAsia="zh-CN"/>
                <w14:textFill>
                  <w14:solidFill>
                    <w14:schemeClr w14:val="tx1"/>
                  </w14:solidFill>
                </w14:textFill>
              </w:rPr>
              <w:t>，加强永久基本农田保护，完成了我区永久基本农田核查整改任务，遏制耕地“非农化”、严格管控耕地“非粮化”。强化耕地保护监督管理。</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3：完成用地保障工作。做好项目用地保障，切实保障了重点建设项目用地需求，做好建设项目规划选址及用地审查工作，有力保障重点项目有序推进，加大新增建设用地报批力度，完成2022年度第二批次土地征收成片开发方案编制，完成2022年度国土变更调查、细化调查、2020年度耕地资源质量分类年度更新、2022年度耕地资源质量分类年度更新、耕地资源质量分类监测，完成岳阳楼区、云溪区2022年度国土变更调查净减少耕地整改补足工作，推进土地确权登记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任务4：完成国有土地执法监察及土地年度供应工作，完成土地卫片执法监督监察工作，完成禁违治违服务工作。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任务5：完成基础设施建设。</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6：推动供水主管建设。全年共启动了江一路、江岭东路、环湖路、雷公嘴路、敖家垄路、竹园路、天河路、茅岭路等八条道路的供水主管的建设，其中江一路、江岭东路、环湖路、雷公嘴路四条道路已完成施工，敖家垄路、竹园路、天河路、茅岭路四条道路已完成施工设计图和预算评审，保障了企业用电需求。</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任务7：协调电力线路建设及迁改：</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电力线路建设：根据新港区基础设施及入驻企业用电需要，全年共启动了江一路、雷公嘴路、攀华项目临时用电供电线路的建设并完成施工，保障了企业用电需求。根据党工委的批示，8月份启动汇川技术电力专线项目建设，10月底建成通电。</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（2）电力线路迁改：完成了110KV巴云德松线（10#－13#杆塔）、攀华项目10KV水泥支线的迁改，及时为天欣项目、攀华项目的建设进行腾地。</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（3）启动了中储粮项目10KV松镇线/松伍线、10KV松港I线、110KV巴云德松线/依松线线等电力线路迁改工作。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任务8：完成工程监管：</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（1）传达落实上级指示。组织相关监管人员及辖区各参建单位传达党中央及省市关于安全生产相关批示精神。</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（2）开展常态化安全生产检查，每月、每季度均出动进行项目安全生产检查督导，在建项目安全生产形势整体向好，未出现较大及以上安全生产事故。</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（3）项目前期把关，从项目方案设计至初步设计及施工图审查，对项目安全、消防设施严格把关，防止因把关不严造成建筑安全设施硬伤。</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w:t>
            </w:r>
            <w:r>
              <w:rPr>
                <w:rFonts w:ascii="仿宋_GB2312" w:hAnsi="仿宋_GB2312" w:eastAsia="仿宋_GB2312" w:cs="仿宋_GB2312"/>
                <w:color w:val="000000" w:themeColor="text1"/>
                <w:sz w:val="24"/>
                <w14:textFill>
                  <w14:solidFill>
                    <w14:schemeClr w14:val="tx1"/>
                  </w14:solidFill>
                </w14:textFill>
              </w:rPr>
              <w:t>9</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完成环境治理：</w:t>
            </w:r>
            <w:r>
              <w:rPr>
                <w:rFonts w:hint="default" w:ascii="仿宋_GB2312" w:hAnsi="仿宋_GB2312" w:eastAsia="仿宋_GB2312" w:cs="仿宋_GB2312"/>
                <w:color w:val="000000" w:themeColor="text1"/>
                <w:sz w:val="24"/>
                <w:lang w:val="en-US" w:eastAsia="zh-CN"/>
                <w14:textFill>
                  <w14:solidFill>
                    <w14:schemeClr w14:val="tx1"/>
                  </w14:solidFill>
                </w14:textFill>
              </w:rPr>
              <w:t>针对污水处理厂进水COD浓度偏低问题，</w:t>
            </w:r>
            <w:r>
              <w:rPr>
                <w:rFonts w:hint="eastAsia" w:ascii="仿宋_GB2312" w:hAnsi="仿宋_GB2312" w:eastAsia="仿宋_GB2312" w:cs="仿宋_GB2312"/>
                <w:color w:val="000000" w:themeColor="text1"/>
                <w:sz w:val="24"/>
                <w:lang w:val="en-US" w:eastAsia="zh-CN"/>
                <w14:textFill>
                  <w14:solidFill>
                    <w14:schemeClr w14:val="tx1"/>
                  </w14:solidFill>
                </w14:textFill>
              </w:rPr>
              <w:t>我部</w:t>
            </w:r>
            <w:r>
              <w:rPr>
                <w:rFonts w:hint="default" w:ascii="仿宋_GB2312" w:hAnsi="仿宋_GB2312" w:eastAsia="仿宋_GB2312" w:cs="仿宋_GB2312"/>
                <w:color w:val="000000" w:themeColor="text1"/>
                <w:sz w:val="24"/>
                <w:lang w:val="en-US" w:eastAsia="zh-CN"/>
                <w14:textFill>
                  <w14:solidFill>
                    <w14:schemeClr w14:val="tx1"/>
                  </w14:solidFill>
                </w14:textFill>
              </w:rPr>
              <w:t>对辖区内已建成未移交城管部门的14条污水管网开展全面排查并完成问题整改</w:t>
            </w:r>
            <w:r>
              <w:rPr>
                <w:rFonts w:hint="eastAsia" w:ascii="仿宋_GB2312" w:hAnsi="仿宋_GB2312" w:eastAsia="仿宋_GB2312" w:cs="仿宋_GB2312"/>
                <w:color w:val="000000" w:themeColor="text1"/>
                <w:sz w:val="24"/>
                <w:lang w:val="en-US" w:eastAsia="zh-CN"/>
                <w14:textFill>
                  <w14:solidFill>
                    <w14:schemeClr w14:val="tx1"/>
                  </w14:solidFill>
                </w14:textFill>
              </w:rPr>
              <w:t>，联合生态环保部门排查辖区企业污水排放情况。进一步分析污水处理厂进水浓度偏低问题原因，已取得初步结论。完成了辖区雨污水管网建设及雨污分流整改。持续巩固黑臭水体整治成效，完成象骨港渠日常保洁。完成“夏季攻势”总磷削减项目整改销号工作；完成生态环保部交办入河排污口规范化整治中我区住建领域11个排口排查整治；完成市级督查及市蓝天办反馈工地扬尘问题整改销号工作共6项；完成洞庭清波“污水收集处理尚有差距”问题整改销号；完成第二轮中央环保督查反馈“污水处理厂进水COD浓度偏低”问题阶段性整改任务。</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任务10：优化住建行政审批工作，完成施工许可证核发，完成施工图审查工作。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11：项目在施工许可阶段涉水行政审批手续办理，包括：取水许可审批，防洪影响审批，生产建设项目水土保持方案审批等。完成建设项目使用林地审批（含临时占用一般用途林地审批）、林木采伐手续办理。按要求实行告知承诺制并建立事中事后监管机制；在区域评估范围内全面推进区域评估成果；完成上级林地疑似图斑督查工作，核查图斑的违法性。</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任务12：完成人防审批办理。</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任务13：完成工程领域审批制度改革。</w:t>
            </w:r>
          </w:p>
          <w:p>
            <w:pPr>
              <w:autoSpaceDN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任务14：完成2022年争资争项任务</w:t>
            </w:r>
            <w:r>
              <w:rPr>
                <w:rFonts w:hint="eastAsia" w:ascii="仿宋_GB2312" w:hAnsi="仿宋_GB2312" w:eastAsia="仿宋_GB2312" w:cs="仿宋_GB2312"/>
                <w:color w:val="000000" w:themeColor="text1"/>
                <w:sz w:val="24"/>
                <w14:textFill>
                  <w14:solidFill>
                    <w14:schemeClr w14:val="tx1"/>
                  </w14:solidFill>
                </w14:textFill>
              </w:rPr>
              <w:t>。</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任务1：</w:t>
            </w:r>
            <w:r>
              <w:rPr>
                <w:rFonts w:hint="eastAsia" w:ascii="仿宋_GB2312" w:hAnsi="仿宋_GB2312" w:eastAsia="仿宋_GB2312" w:cs="仿宋_GB2312"/>
                <w:color w:val="000000" w:themeColor="text1"/>
                <w:sz w:val="24"/>
                <w:lang w:val="en-US" w:eastAsia="zh-CN"/>
                <w14:textFill>
                  <w14:solidFill>
                    <w14:schemeClr w14:val="tx1"/>
                  </w14:solidFill>
                </w14:textFill>
              </w:rPr>
              <w:t>完成城乡规划编制服务：</w:t>
            </w:r>
            <w:r>
              <w:rPr>
                <w:rFonts w:hint="eastAsia" w:ascii="仿宋_GB2312" w:hAnsi="仿宋_GB2312" w:eastAsia="仿宋_GB2312" w:cs="仿宋_GB2312"/>
                <w:color w:val="000000" w:themeColor="text1"/>
                <w:sz w:val="24"/>
                <w14:textFill>
                  <w14:solidFill>
                    <w14:schemeClr w14:val="tx1"/>
                  </w14:solidFill>
                </w14:textFill>
              </w:rPr>
              <w:t>完成松阳湖南侧自贸区产业学院和兴港路以北科技创新产业园项目土地利用总体规划向省厅追加城镇建设用地指标约76公顷（1140亩）的任务。根据全省统筹划定 “三区三线”工作视频会议精神和全市国土空间规划“三区三线”划定工作</w:t>
            </w:r>
            <w:r>
              <w:rPr>
                <w:rFonts w:hint="eastAsia" w:ascii="仿宋_GB2312" w:hAnsi="仿宋_GB2312" w:eastAsia="仿宋_GB2312" w:cs="仿宋_GB2312"/>
                <w:color w:val="000000" w:themeColor="text1"/>
                <w:sz w:val="24"/>
                <w:lang w:val="en-US" w:eastAsia="zh-CN"/>
                <w14:textFill>
                  <w14:solidFill>
                    <w14:schemeClr w14:val="tx1"/>
                  </w14:solidFill>
                </w14:textFill>
              </w:rPr>
              <w:t>要求</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并</w:t>
            </w:r>
            <w:r>
              <w:rPr>
                <w:rFonts w:hint="eastAsia" w:ascii="仿宋_GB2312" w:hAnsi="仿宋_GB2312" w:eastAsia="仿宋_GB2312" w:cs="仿宋_GB2312"/>
                <w:color w:val="000000" w:themeColor="text1"/>
                <w:sz w:val="24"/>
                <w14:textFill>
                  <w14:solidFill>
                    <w14:schemeClr w14:val="tx1"/>
                  </w14:solidFill>
                </w14:textFill>
              </w:rPr>
              <w:t>结合</w:t>
            </w:r>
            <w:r>
              <w:rPr>
                <w:rFonts w:hint="eastAsia" w:ascii="仿宋_GB2312" w:hAnsi="仿宋_GB2312" w:eastAsia="仿宋_GB2312" w:cs="仿宋_GB2312"/>
                <w:color w:val="000000" w:themeColor="text1"/>
                <w:sz w:val="24"/>
                <w:lang w:val="en-US" w:eastAsia="zh-CN"/>
                <w14:textFill>
                  <w14:solidFill>
                    <w14:schemeClr w14:val="tx1"/>
                  </w14:solidFill>
                </w14:textFill>
              </w:rPr>
              <w:t>港区</w:t>
            </w:r>
            <w:r>
              <w:rPr>
                <w:rFonts w:hint="eastAsia" w:ascii="仿宋_GB2312" w:hAnsi="仿宋_GB2312" w:eastAsia="仿宋_GB2312" w:cs="仿宋_GB2312"/>
                <w:color w:val="000000" w:themeColor="text1"/>
                <w:sz w:val="24"/>
                <w14:textFill>
                  <w14:solidFill>
                    <w14:schemeClr w14:val="tx1"/>
                  </w14:solidFill>
                </w14:textFill>
              </w:rPr>
              <w:t>调区扩区方案</w:t>
            </w:r>
            <w:r>
              <w:rPr>
                <w:rFonts w:hint="eastAsia" w:ascii="仿宋_GB2312" w:hAnsi="仿宋_GB2312" w:eastAsia="仿宋_GB2312" w:cs="仿宋_GB2312"/>
                <w:color w:val="000000" w:themeColor="text1"/>
                <w:sz w:val="24"/>
                <w:lang w:val="en-US" w:eastAsia="zh-CN"/>
                <w14:textFill>
                  <w14:solidFill>
                    <w14:schemeClr w14:val="tx1"/>
                  </w14:solidFill>
                </w14:textFill>
              </w:rPr>
              <w:t>完成了我区</w:t>
            </w:r>
            <w:r>
              <w:rPr>
                <w:rFonts w:hint="eastAsia" w:ascii="仿宋_GB2312" w:hAnsi="仿宋_GB2312" w:eastAsia="仿宋_GB2312" w:cs="仿宋_GB2312"/>
                <w:color w:val="000000" w:themeColor="text1"/>
                <w:sz w:val="24"/>
                <w14:textFill>
                  <w14:solidFill>
                    <w14:schemeClr w14:val="tx1"/>
                  </w14:solidFill>
                </w14:textFill>
              </w:rPr>
              <w:t>的“三区三线”划定工作</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已获自然资源部批复</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完成我区69平方公里范围内42.17平方公里城镇开发边界划定，在我区现状基数28.79平方公里上增加13.38平方公里允许建设范围。（新增范围格石岭山东侧3.59平方公里，170国道以西芭蕉湖以东3.62平方公里）。</w:t>
            </w:r>
            <w:r>
              <w:rPr>
                <w:rFonts w:hint="eastAsia" w:ascii="仿宋_GB2312" w:hAnsi="仿宋_GB2312" w:eastAsia="仿宋_GB2312" w:cs="仿宋_GB2312"/>
                <w:color w:val="000000" w:themeColor="text1"/>
                <w:sz w:val="24"/>
                <w14:textFill>
                  <w14:solidFill>
                    <w14:schemeClr w14:val="tx1"/>
                  </w14:solidFill>
                </w14:textFill>
              </w:rPr>
              <w:t>完成《云溪滨湖村村庄振兴规划》</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《新港区电力专项规划》、《湖南城陵矶新港区人行过街设施专项规划（2022-2035）》等专项规划，《新港区生态修复专项规划暨山水林田湖草综合治理规划》、</w:t>
            </w:r>
            <w:r>
              <w:rPr>
                <w:rFonts w:hint="eastAsia" w:ascii="仿宋_GB2312" w:hAnsi="仿宋_GB2312" w:eastAsia="仿宋_GB2312" w:cs="仿宋_GB2312"/>
                <w:color w:val="000000" w:themeColor="text1"/>
                <w:sz w:val="24"/>
                <w14:textFill>
                  <w14:solidFill>
                    <w14:schemeClr w14:val="tx1"/>
                  </w14:solidFill>
                </w14:textFill>
              </w:rPr>
              <w:t>《湖南城陵矶新港区产业用地</w:t>
            </w:r>
            <w:r>
              <w:rPr>
                <w:rFonts w:hint="eastAsia" w:ascii="仿宋_GB2312" w:hAnsi="仿宋_GB2312" w:eastAsia="仿宋_GB2312" w:cs="仿宋_GB2312"/>
                <w:color w:val="000000" w:themeColor="text1"/>
                <w:sz w:val="24"/>
                <w:lang w:val="en-US" w:eastAsia="zh-CN"/>
                <w14:textFill>
                  <w14:solidFill>
                    <w14:schemeClr w14:val="tx1"/>
                  </w14:solidFill>
                </w14:textFill>
              </w:rPr>
              <w:t>调整</w:t>
            </w:r>
            <w:r>
              <w:rPr>
                <w:rFonts w:hint="eastAsia" w:ascii="仿宋_GB2312" w:hAnsi="仿宋_GB2312" w:eastAsia="仿宋_GB2312" w:cs="仿宋_GB2312"/>
                <w:color w:val="000000" w:themeColor="text1"/>
                <w:sz w:val="24"/>
                <w14:textFill>
                  <w14:solidFill>
                    <w14:schemeClr w14:val="tx1"/>
                  </w14:solidFill>
                </w14:textFill>
              </w:rPr>
              <w:t>规划》</w:t>
            </w:r>
            <w:r>
              <w:rPr>
                <w:rFonts w:hint="eastAsia" w:ascii="仿宋_GB2312" w:hAnsi="仿宋_GB2312" w:eastAsia="仿宋_GB2312" w:cs="仿宋_GB2312"/>
                <w:color w:val="000000" w:themeColor="text1"/>
                <w:sz w:val="24"/>
                <w:lang w:val="en-US" w:eastAsia="zh-CN"/>
                <w14:textFill>
                  <w14:solidFill>
                    <w14:schemeClr w14:val="tx1"/>
                  </w14:solidFill>
                </w14:textFill>
              </w:rPr>
              <w:t>初步成果。落实水利部门河湖划界矢量数据，确定</w:t>
            </w:r>
            <w:r>
              <w:rPr>
                <w:rFonts w:hint="eastAsia" w:ascii="仿宋_GB2312" w:hAnsi="仿宋_GB2312" w:eastAsia="仿宋_GB2312" w:cs="仿宋_GB2312"/>
                <w:color w:val="000000" w:themeColor="text1"/>
                <w:sz w:val="24"/>
                <w14:textFill>
                  <w14:solidFill>
                    <w14:schemeClr w14:val="tx1"/>
                  </w14:solidFill>
                </w14:textFill>
              </w:rPr>
              <w:t>新港区与河湖界线冲突</w:t>
            </w:r>
            <w:r>
              <w:rPr>
                <w:rFonts w:hint="eastAsia" w:ascii="仿宋_GB2312" w:hAnsi="仿宋_GB2312" w:eastAsia="仿宋_GB2312" w:cs="仿宋_GB2312"/>
                <w:color w:val="000000" w:themeColor="text1"/>
                <w:sz w:val="24"/>
                <w:lang w:val="en-US" w:eastAsia="zh-CN"/>
                <w14:textFill>
                  <w14:solidFill>
                    <w14:schemeClr w14:val="tx1"/>
                  </w14:solidFill>
                </w14:textFill>
              </w:rPr>
              <w:t>面积和项目。</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任务2：耕地保护坚实</w:t>
            </w:r>
            <w:r>
              <w:rPr>
                <w:rFonts w:hint="eastAsia" w:ascii="仿宋_GB2312" w:hAnsi="仿宋_GB2312" w:eastAsia="仿宋_GB2312" w:cs="仿宋_GB2312"/>
                <w:color w:val="000000" w:themeColor="text1"/>
                <w:sz w:val="24"/>
                <w:lang w:val="en-US" w:eastAsia="zh-CN"/>
                <w14:textFill>
                  <w14:solidFill>
                    <w14:schemeClr w14:val="tx1"/>
                  </w14:solidFill>
                </w14:textFill>
              </w:rPr>
              <w:t>夯基</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一是全面配合云溪区、岳阳楼区落实“田长制”，实现监管网格化。全面构建乡村两级“田长制”责任制度，初步形成横向到边、纵向到底，全覆盖无死角的耕地保护新机制。二是加强永久基本农田保护。根据部、省、市永久基本农田核查</w: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lang w:val="en-US" w:eastAsia="zh-CN"/>
                <w14:textFill>
                  <w14:solidFill>
                    <w14:schemeClr w14:val="tx1"/>
                  </w14:solidFill>
                </w14:textFill>
              </w:rPr>
              <w:instrText xml:space="preserve"> HYPERLINK "http://www.mswk.cn/Article/Special/zhenggai/Index.html" \t "http://www.mswk.cn/Article/_blank" </w:instrTex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24"/>
                <w:lang w:val="en-US" w:eastAsia="zh-CN"/>
                <w14:textFill>
                  <w14:solidFill>
                    <w14:schemeClr w14:val="tx1"/>
                  </w14:solidFill>
                </w14:textFill>
              </w:rPr>
              <w:t>整改</w: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24"/>
                <w:lang w:val="en-US" w:eastAsia="zh-CN"/>
                <w14:textFill>
                  <w14:solidFill>
                    <w14:schemeClr w14:val="tx1"/>
                  </w14:solidFill>
                </w14:textFill>
              </w:rPr>
              <w:t>工作部署，按时完成了我区永久基本农田核查整改任务。三是坚决遏制耕地“非农化”、严格管控耕地“非粮化”。强化耕地保护监督管理，落实耕地非农化“六个严禁”要求，严格耕地占补平衡，确保长期稳定利用的耕地总量不再减少。四是杜绝农村乱占耕地建房新增问题发生。严格落实农村建房“八不准”要求，加强日常巡查监管，落实建房“四到场”程序，强化源头管理，做到“早发现、早制止、严查处”，实行乱占耕地建房新增问题零容忍，上半年无农村乱占耕地建房。</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3：用地保障坚定落实。一是做好项目用地保障。争取了省自然资源厅支持，追加我区城镇建设用地指标约76公顷（1140亩），同意将中国（湖南）自由贸易试验区岳阳片区农用地转用呈报件直报。切实保障了重点建设项目用地需求。二是认真做好建设项目规划选址及用地审查工作，有力保障重点项目有序推进。三是加大新增建设用地报批力度。今年以来审核建设用地报批项目18个，已拿回建设用地项目审批单4个，批准面积659.01亩，涉及产业学院、EOD、芭蕉湖景观带项目——绿地与广场用地等建设项目，4个项目均一次性通过省厅用地审查。四是完成了2022年度第二批次土地征收成片开发方案编制。临时用地管理情况摸底和临时建设规划管理情况调查摸底等工作。五是完成了2022年度国土变更调查、细化调查、2020年度耕地资源质量分类年度更新、2022年度耕地资源质量分类年度更新、耕地资源质量分类监测。完成了岳阳楼区、云溪区2022年度国土变更调查净减少耕地整改补足工作，就地整改任务和一般整改任务共计690.61亩，卫星监测耕地监测图斑累计完成65个。六是全力推进土地确权登记工作。完成了兆金财汇、湖南岳阳新港110KV输变电项目、六九O六公租房等项目九十六宗土地的确权登记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4：完成国有土地执法监察及土地年度供应工作，完成土地卫片执法监督监察工作，完成禁违治违服务工作：完成了13宗土地出让，共计面积1101.44亩，出让收入104705万元；完成了6宗协议出让，共计面积34.27亩，出让收入767万元；完成了划拨供地23宗，共计面积583.11亩；处置了批而未供面积1804.1亩，处置比例34.58％；处置了25宗闲置土地，共计面积2601.68亩，处置比例67.91％；处置了园区批而未供，高新区面积135亩，处置比例80.5％；处置了园区闲置土地，其中高新区1宗，面积110.56亩，处置比例83.56％，综保区1宗，面积80.12亩，处置比例100％；处置了低效土地，其中高新区6宗，面积571.35亩，处置比例48.36％，综保区1宗，面积30.4亩，处置比例18.73％；完成了卫片图斑举证销号326个，完成违法图斑整改28个；立案查处1宗，面积为0.4亩。</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5：推进市政基础设施建设。全年完成天河路、敖家垄路、竹园路和茅岭东路四条道路验收工作；东干渠排水及辅道工程、西干渠疏浚及擂鼓台区域水系综合治理（雨水）、环白杨湖综合环境整治与生态修复建设项目等七个续建项目按照目标正常推进，其中江济中路及电力管廊项目已达到通车条件；根据党工委部署，启动了象骨港前池开挖一期项目、凌泊湖220KV变电站10KV出线电力走廊工程、新港区环湖路-长江大道北段污水干管项目及东欣路及东风大道工程项目四个新建项目施工以及擂鼓台路、沿江路提质改造、格堤路、华港路等项目的前期设计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6：推动供水主管建设。全年共启动了江一路、江岭东路、环湖路、雷公嘴路、敖家垄路、竹园路、天河路、茅岭路等八条道路的供水主管的建设，其中江一路、江岭东路、环湖路、雷公嘴路四条道路已完成施工，敖家垄路、竹园路、天河路、茅岭路四条道路已完成施工设计图和预算评审，保障了企业用电需求。</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任务7：协调电力线路建设及迁改：</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电力线路建设：根据新港区基础设施及入驻企业用电需要，全年共启动了江一路、雷公嘴路、攀华项目临时用电供电线路的建设并完成施工，保障了企业用电需求。根据党工委的批示，8月份启动汇川技术电力专线项目建设，10月底建成通电。</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（2）电力线路迁改：完成了110KV巴云德松线（10#－13#杆塔）、攀华项目10KV水泥支线的迁改，及时为天欣项目、攀华项目的建设进行腾地。</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（3）启动了中储粮项目10KV松镇线/松伍线、10KV松港I线、110KV巴云德松线/依松线线等电力线路迁改工作。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任务8：完成工程监管：</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（1）传达落实上级指示。组织相关监管人员及辖区各参建单位传达党中央及省市关于安全生产相关批示精神。</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（2）开展常态化安全生产检查，每月、每季度均出动进行项目安全生产检查督导，在建项目安全生产形势整体向好，未出现较大及以上安全生产事故。</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（3）项目前期把关，从项目方案设计至初步设计及施工图审查，对项目安全、消防设施严格把关，防止因把关不严造成建筑安全设施硬伤。</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任务9：完成环境治理：</w:t>
            </w:r>
            <w:r>
              <w:rPr>
                <w:rFonts w:hint="default" w:ascii="仿宋_GB2312" w:hAnsi="仿宋_GB2312" w:eastAsia="仿宋_GB2312" w:cs="仿宋_GB2312"/>
                <w:color w:val="000000" w:themeColor="text1"/>
                <w:sz w:val="24"/>
                <w:lang w:val="en-US" w:eastAsia="zh-CN"/>
                <w14:textFill>
                  <w14:solidFill>
                    <w14:schemeClr w14:val="tx1"/>
                  </w14:solidFill>
                </w14:textFill>
              </w:rPr>
              <w:t>针对污水处理厂进水COD浓度偏低问题，</w:t>
            </w:r>
            <w:r>
              <w:rPr>
                <w:rFonts w:hint="eastAsia" w:ascii="仿宋_GB2312" w:hAnsi="仿宋_GB2312" w:eastAsia="仿宋_GB2312" w:cs="仿宋_GB2312"/>
                <w:color w:val="000000" w:themeColor="text1"/>
                <w:sz w:val="24"/>
                <w:lang w:val="en-US" w:eastAsia="zh-CN"/>
                <w14:textFill>
                  <w14:solidFill>
                    <w14:schemeClr w14:val="tx1"/>
                  </w14:solidFill>
                </w14:textFill>
              </w:rPr>
              <w:t>我部</w:t>
            </w:r>
            <w:r>
              <w:rPr>
                <w:rFonts w:hint="default" w:ascii="仿宋_GB2312" w:hAnsi="仿宋_GB2312" w:eastAsia="仿宋_GB2312" w:cs="仿宋_GB2312"/>
                <w:color w:val="000000" w:themeColor="text1"/>
                <w:sz w:val="24"/>
                <w:lang w:val="en-US" w:eastAsia="zh-CN"/>
                <w14:textFill>
                  <w14:solidFill>
                    <w14:schemeClr w14:val="tx1"/>
                  </w14:solidFill>
                </w14:textFill>
              </w:rPr>
              <w:t>对辖区内已建成未移交城管部门的14条污水管网开展全面排查并完成问题整改</w:t>
            </w:r>
            <w:r>
              <w:rPr>
                <w:rFonts w:hint="eastAsia" w:ascii="仿宋_GB2312" w:hAnsi="仿宋_GB2312" w:eastAsia="仿宋_GB2312" w:cs="仿宋_GB2312"/>
                <w:color w:val="000000" w:themeColor="text1"/>
                <w:sz w:val="24"/>
                <w:lang w:val="en-US" w:eastAsia="zh-CN"/>
                <w14:textFill>
                  <w14:solidFill>
                    <w14:schemeClr w14:val="tx1"/>
                  </w14:solidFill>
                </w14:textFill>
              </w:rPr>
              <w:t>，联合生态环保部门排查辖区企业污水排放情况。进一步分析污水处理厂进水浓度偏低问题原因，已取得初步结论。完成了辖区雨污水管网建设及雨污分流整改。持续巩固黑臭水体整治成效，完成象骨港渠日常保洁。完成“夏季攻势”总磷削减项目整改销号工作；完成生态环保部交办入河排污口规范化整治中我区住建领域11个排口排查整治；完成市级督查及市蓝天办反馈工地扬尘问题整改销号工作共6项；完成洞庭清波“污水收集处理尚有差距”问题整改销号；完成第二轮中央环保督查反馈“污水处理厂进水COD浓度偏低”问题阶段性整改任务。</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任务10：优化住建行政审批工作：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施工许可证核发：共核发岳阳自贸片区数字经济产业综合体建设项目B、D地块、多式联运二期项目、广德亿盛铁芯冲压项目等33个项目的施工许可证，其中房建项目30个，市政基础设施项目3个（生态廊道项目、江岭东路、茅岭东路）。工程造价累计约32.2亿元，建筑面积累计约114.3万平米。解决处理了郡华学校、上海大众4S店、谭家湖小区、凌泊湖小区五期等一批遗留项目的施工许可证的核发。</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施工图审查：共办结岳阳自贸片区数字经济产业综合体建设项目、中央储备粮岳阳直属库有限公司粮食现代物流项目、多式联运二期项目、汇川工业电机及相关产品基地建设项目一标段、二标段、阿波罗酒店等35个项目施工图审查工作。完成岳阳自贸片区数字经济产业综合体建设项目A、B、C、D地块“两设合一、两审合一”审查遴选。</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11：完成水利林业行政管理：（1）优化行政审批：完成了包括中国（湖南）自由贸易试验区岳阳片区2022年第一批次建设用地等5项新港区重大建设项目用地林地报批审批，4项临时使用林地审批。完成水行政审批中重大建设项目涉水部分防洪影响评价报告5项，批复水土保持方案30项，攀华项目取水审批1项。</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压实责任，落实违法图斑整改销号。完成了国家林业和草原局贵阳专员办关于湖南省2022年打击破坏林草资源图斑督查核查，共计6个图斑销号和1个图斑的整治整改工作。完成了国家林业和草原局下发森林督查96个林地图班的外业调查核实销号。核查了关于中央审计署移交的涉嫌非法围湖问题及全市河湖“清四乱”问题图斑共计5处，其中销号4处，联合市水利局查处整改1处，完成新港区2022年度遥感监管疑似违法违规扰动图斑核查整改销号共计78处，为新港区全力发展建设保驾护航。。</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任务12：完成人防审批办理：</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（1）人防审批：共完成EOD项目、岳阳新兴产业园建设项目装备制造改装基地（一期）等22个项目的人防审批手续，共收取易地建设费约282.92万元，共批建人防工程面积约为2.4万平米。</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（2）人防工程验收：完成了凌泊湖六期、恒泰雅园三期二批次、新金宝商业街三个项目的结建人防工程的验收。</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任务13：完成工程领域审批制度改革：</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（1）全面推行“拿地即开工”改革。</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截至目前，我区已7个项目启动了“拿地即开工”，其中广德亿盛等4个项目已成功实现。</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（2）率先推行工程建设项目“两设合一”、“两审合一”改革。</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目前我区已累计有4个项目实现了“两设合一、两审合一”。</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任务14：完成2022年争资争项任务。1、我部作为业主的城陵矶新港区5G电子信息产业园配套设施建设项目共成功发债5亿元。</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2、成功申报了第二批海绵城市建设专项资金，实际分配700万元。</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w:t>
            </w:r>
            <w:r>
              <w:rPr>
                <w:rFonts w:hint="default" w:ascii="仿宋_GB2312" w:hAnsi="仿宋_GB2312" w:eastAsia="仿宋_GB2312" w:cs="仿宋_GB2312"/>
                <w:color w:val="000000" w:themeColor="text1"/>
                <w:sz w:val="24"/>
                <w:lang w:val="en-US" w:eastAsia="zh-CN"/>
                <w14:textFill>
                  <w14:solidFill>
                    <w14:schemeClr w14:val="tx1"/>
                  </w14:solidFill>
                </w14:textFill>
              </w:rPr>
              <w:t>象骨港电排配套渠系治理工程</w:t>
            </w:r>
            <w:r>
              <w:rPr>
                <w:rFonts w:hint="eastAsia" w:ascii="仿宋_GB2312" w:hAnsi="仿宋_GB2312" w:eastAsia="仿宋_GB2312" w:cs="仿宋_GB2312"/>
                <w:color w:val="000000" w:themeColor="text1"/>
                <w:sz w:val="24"/>
                <w:lang w:val="en-US" w:eastAsia="zh-CN"/>
                <w14:textFill>
                  <w14:solidFill>
                    <w14:schemeClr w14:val="tx1"/>
                  </w14:solidFill>
                </w14:textFill>
              </w:rPr>
              <w:t>成功纳入《湖南省洞庭湖区重点区域排涝能力建设“十四五”实施方案》，获批中央预算资金734万元，获批省级配套资金312万元。</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4、经与市中心城区水环境综合治理PPP项目建设指挥部积极对接，我区范围</w:t>
            </w:r>
            <w:r>
              <w:rPr>
                <w:rFonts w:hint="default" w:ascii="仿宋_GB2312" w:hAnsi="仿宋_GB2312" w:eastAsia="仿宋_GB2312" w:cs="仿宋_GB2312"/>
                <w:color w:val="000000" w:themeColor="text1"/>
                <w:sz w:val="24"/>
                <w:lang w:val="en-US" w:eastAsia="zh-CN"/>
                <w14:textFill>
                  <w14:solidFill>
                    <w14:schemeClr w14:val="tx1"/>
                  </w14:solidFill>
                </w14:textFill>
              </w:rPr>
              <w:t>内13个管网建设及雨污分流整改项目</w:t>
            </w:r>
            <w:r>
              <w:rPr>
                <w:rFonts w:hint="eastAsia" w:ascii="仿宋_GB2312" w:hAnsi="仿宋_GB2312" w:eastAsia="仿宋_GB2312" w:cs="仿宋_GB2312"/>
                <w:color w:val="000000" w:themeColor="text1"/>
                <w:sz w:val="24"/>
                <w:lang w:val="en-US" w:eastAsia="zh-CN"/>
                <w14:textFill>
                  <w14:solidFill>
                    <w14:schemeClr w14:val="tx1"/>
                  </w14:solidFill>
                </w14:textFill>
              </w:rPr>
              <w:t>（累计</w:t>
            </w:r>
            <w:r>
              <w:rPr>
                <w:rFonts w:hint="default" w:ascii="仿宋_GB2312" w:hAnsi="仿宋_GB2312" w:eastAsia="仿宋_GB2312" w:cs="仿宋_GB2312"/>
                <w:color w:val="000000" w:themeColor="text1"/>
                <w:sz w:val="24"/>
                <w:lang w:val="en-US" w:eastAsia="zh-CN"/>
                <w14:textFill>
                  <w14:solidFill>
                    <w14:schemeClr w14:val="tx1"/>
                  </w14:solidFill>
                </w14:textFill>
              </w:rPr>
              <w:t>投资</w:t>
            </w:r>
            <w:r>
              <w:rPr>
                <w:rFonts w:hint="eastAsia" w:ascii="仿宋_GB2312" w:hAnsi="仿宋_GB2312" w:eastAsia="仿宋_GB2312" w:cs="仿宋_GB2312"/>
                <w:color w:val="000000" w:themeColor="text1"/>
                <w:sz w:val="24"/>
                <w:lang w:val="en-US" w:eastAsia="zh-CN"/>
                <w14:textFill>
                  <w14:solidFill>
                    <w14:schemeClr w14:val="tx1"/>
                  </w14:solidFill>
                </w14:textFill>
              </w:rPr>
              <w:t>估算</w:t>
            </w:r>
            <w:r>
              <w:rPr>
                <w:rFonts w:hint="default" w:ascii="仿宋_GB2312" w:hAnsi="仿宋_GB2312" w:eastAsia="仿宋_GB2312" w:cs="仿宋_GB2312"/>
                <w:color w:val="000000" w:themeColor="text1"/>
                <w:sz w:val="24"/>
                <w:lang w:val="en-US" w:eastAsia="zh-CN"/>
                <w14:textFill>
                  <w14:solidFill>
                    <w14:schemeClr w14:val="tx1"/>
                  </w14:solidFill>
                </w14:textFill>
              </w:rPr>
              <w:t>15364.38万元</w:t>
            </w:r>
            <w:r>
              <w:rPr>
                <w:rFonts w:hint="eastAsia" w:ascii="仿宋_GB2312" w:hAnsi="仿宋_GB2312" w:eastAsia="仿宋_GB2312" w:cs="仿宋_GB2312"/>
                <w:color w:val="000000" w:themeColor="text1"/>
                <w:sz w:val="24"/>
                <w:lang w:val="en-US" w:eastAsia="zh-CN"/>
                <w14:textFill>
                  <w14:solidFill>
                    <w14:schemeClr w14:val="tx1"/>
                  </w14:solidFill>
                </w14:textFill>
              </w:rPr>
              <w:t>）已成功</w:t>
            </w:r>
            <w:r>
              <w:rPr>
                <w:rFonts w:hint="default" w:ascii="仿宋_GB2312" w:hAnsi="仿宋_GB2312" w:eastAsia="仿宋_GB2312" w:cs="仿宋_GB2312"/>
                <w:color w:val="000000" w:themeColor="text1"/>
                <w:sz w:val="24"/>
                <w:lang w:val="en-US" w:eastAsia="zh-CN"/>
                <w14:textFill>
                  <w14:solidFill>
                    <w14:schemeClr w14:val="tx1"/>
                  </w14:solidFill>
                </w14:textFill>
              </w:rPr>
              <w:t>纳入了三峡ppp项目二期清单</w:t>
            </w:r>
            <w:r>
              <w:rPr>
                <w:rFonts w:hint="eastAsia" w:ascii="仿宋_GB2312" w:hAnsi="仿宋_GB2312" w:eastAsia="仿宋_GB2312" w:cs="仿宋_GB2312"/>
                <w:color w:val="000000" w:themeColor="text1"/>
                <w:sz w:val="24"/>
                <w:lang w:val="en-US" w:eastAsia="zh-CN"/>
                <w14:textFill>
                  <w14:solidFill>
                    <w14:schemeClr w14:val="tx1"/>
                  </w14:solidFill>
                </w14:textFill>
              </w:rPr>
              <w:t>，这意味着原本需我区财政负担的13个项目建设将由市三峡集团统一出资建设，大大减轻了财政支出负担。</w:t>
            </w:r>
          </w:p>
          <w:p>
            <w:pPr>
              <w:autoSpaceDN w:val="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jc w:val="center"/>
              <w:textAlignment w:val="center"/>
              <w:rPr>
                <w:rFonts w:hint="eastAsia" w:ascii="仿宋_GB2312" w:hAnsi="仿宋_GB2312" w:eastAsia="仿宋_GB2312" w:cs="仿宋_GB2312"/>
                <w:color w:val="000000"/>
                <w:sz w:val="24"/>
                <w:lang w:eastAsia="zh-CN"/>
              </w:rPr>
            </w:pPr>
            <w:r>
              <w:rPr>
                <w:rFonts w:hint="eastAsia" w:eastAsia="仿宋_GB2312"/>
                <w:color w:val="000000"/>
                <w:sz w:val="20"/>
                <w:szCs w:val="20"/>
                <w:lang w:val="en-US" w:eastAsia="zh-CN"/>
              </w:rPr>
              <w:t>12262</w:t>
            </w: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eastAsia="仿宋_GB2312"/>
                <w:color w:val="000000"/>
                <w:sz w:val="20"/>
                <w:szCs w:val="20"/>
                <w:lang w:val="en-US" w:eastAsia="zh-CN"/>
              </w:rPr>
              <w:t>12262</w:t>
            </w:r>
          </w:p>
        </w:tc>
        <w:tc>
          <w:tcPr>
            <w:tcW w:w="1705" w:type="dxa"/>
            <w:gridSpan w:val="2"/>
            <w:vAlign w:val="center"/>
          </w:tcPr>
          <w:p>
            <w:pPr>
              <w:autoSpaceDN w:val="0"/>
              <w:jc w:val="left"/>
              <w:textAlignment w:val="center"/>
              <w:rPr>
                <w:rFonts w:ascii="仿宋_GB2312" w:hAnsi="仿宋_GB2312" w:eastAsia="仿宋_GB2312" w:cs="仿宋_GB2312"/>
                <w:color w:val="000000"/>
                <w:sz w:val="24"/>
              </w:rPr>
            </w:pPr>
          </w:p>
        </w:tc>
        <w:tc>
          <w:tcPr>
            <w:tcW w:w="1800" w:type="dxa"/>
            <w:gridSpan w:val="4"/>
            <w:vAlign w:val="center"/>
          </w:tcPr>
          <w:p>
            <w:pPr>
              <w:autoSpaceDN w:val="0"/>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eastAsia="仿宋_GB2312"/>
                <w:color w:val="000000"/>
                <w:sz w:val="20"/>
                <w:szCs w:val="20"/>
                <w:lang w:val="en-US" w:eastAsia="zh-CN"/>
              </w:rPr>
              <w:t>12262</w:t>
            </w: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eastAsia="仿宋_GB2312"/>
                <w:color w:val="000000"/>
                <w:sz w:val="20"/>
                <w:szCs w:val="20"/>
                <w:lang w:val="en-US" w:eastAsia="zh-CN"/>
              </w:rPr>
              <w:t>12262</w:t>
            </w:r>
          </w:p>
        </w:tc>
        <w:tc>
          <w:tcPr>
            <w:tcW w:w="1705" w:type="dxa"/>
            <w:gridSpan w:val="2"/>
            <w:vAlign w:val="center"/>
          </w:tcPr>
          <w:p>
            <w:pPr>
              <w:autoSpaceDN w:val="0"/>
              <w:jc w:val="left"/>
              <w:textAlignment w:val="center"/>
              <w:rPr>
                <w:rFonts w:ascii="仿宋_GB2312" w:hAnsi="仿宋_GB2312" w:eastAsia="仿宋_GB2312" w:cs="仿宋_GB2312"/>
                <w:color w:val="000000"/>
                <w:sz w:val="24"/>
              </w:rPr>
            </w:pPr>
          </w:p>
        </w:tc>
        <w:tc>
          <w:tcPr>
            <w:tcW w:w="1800" w:type="dxa"/>
            <w:gridSpan w:val="4"/>
            <w:vAlign w:val="center"/>
          </w:tcPr>
          <w:p>
            <w:pPr>
              <w:autoSpaceDN w:val="0"/>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left"/>
              <w:textAlignment w:val="center"/>
              <w:rPr>
                <w:rFonts w:ascii="仿宋_GB2312" w:hAnsi="仿宋_GB2312" w:eastAsia="仿宋_GB2312" w:cs="仿宋_GB2312"/>
                <w:color w:val="000000"/>
                <w:sz w:val="24"/>
              </w:rPr>
            </w:pPr>
          </w:p>
        </w:tc>
        <w:tc>
          <w:tcPr>
            <w:tcW w:w="1080" w:type="dxa"/>
            <w:gridSpan w:val="2"/>
            <w:vAlign w:val="center"/>
          </w:tcPr>
          <w:p>
            <w:pPr>
              <w:autoSpaceDN w:val="0"/>
              <w:jc w:val="left"/>
              <w:textAlignment w:val="center"/>
              <w:rPr>
                <w:rFonts w:ascii="仿宋_GB2312" w:hAnsi="仿宋_GB2312" w:eastAsia="仿宋_GB2312" w:cs="仿宋_GB2312"/>
                <w:color w:val="000000"/>
                <w:sz w:val="24"/>
              </w:rPr>
            </w:pPr>
          </w:p>
        </w:tc>
        <w:tc>
          <w:tcPr>
            <w:tcW w:w="1705" w:type="dxa"/>
            <w:gridSpan w:val="2"/>
            <w:vAlign w:val="center"/>
          </w:tcPr>
          <w:p>
            <w:pPr>
              <w:autoSpaceDN w:val="0"/>
              <w:jc w:val="left"/>
              <w:textAlignment w:val="center"/>
              <w:rPr>
                <w:rFonts w:ascii="仿宋_GB2312" w:hAnsi="仿宋_GB2312" w:eastAsia="仿宋_GB2312" w:cs="仿宋_GB2312"/>
                <w:color w:val="000000"/>
                <w:sz w:val="24"/>
              </w:rPr>
            </w:pPr>
          </w:p>
        </w:tc>
        <w:tc>
          <w:tcPr>
            <w:tcW w:w="1800" w:type="dxa"/>
            <w:gridSpan w:val="4"/>
            <w:vAlign w:val="center"/>
          </w:tcPr>
          <w:p>
            <w:pPr>
              <w:autoSpaceDN w:val="0"/>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left"/>
              <w:textAlignment w:val="center"/>
              <w:rPr>
                <w:rFonts w:ascii="仿宋_GB2312" w:hAnsi="仿宋_GB2312" w:eastAsia="仿宋_GB2312" w:cs="仿宋_GB2312"/>
                <w:color w:val="000000"/>
                <w:sz w:val="24"/>
              </w:rPr>
            </w:pPr>
          </w:p>
        </w:tc>
        <w:tc>
          <w:tcPr>
            <w:tcW w:w="1080" w:type="dxa"/>
            <w:gridSpan w:val="2"/>
            <w:vAlign w:val="center"/>
          </w:tcPr>
          <w:p>
            <w:pPr>
              <w:autoSpaceDN w:val="0"/>
              <w:jc w:val="left"/>
              <w:textAlignment w:val="center"/>
              <w:rPr>
                <w:rFonts w:ascii="仿宋_GB2312" w:hAnsi="仿宋_GB2312" w:eastAsia="仿宋_GB2312" w:cs="仿宋_GB2312"/>
                <w:color w:val="000000"/>
                <w:sz w:val="24"/>
              </w:rPr>
            </w:pPr>
          </w:p>
        </w:tc>
        <w:tc>
          <w:tcPr>
            <w:tcW w:w="1705" w:type="dxa"/>
            <w:gridSpan w:val="2"/>
            <w:vAlign w:val="center"/>
          </w:tcPr>
          <w:p>
            <w:pPr>
              <w:autoSpaceDN w:val="0"/>
              <w:jc w:val="left"/>
              <w:textAlignment w:val="center"/>
              <w:rPr>
                <w:rFonts w:ascii="仿宋_GB2312" w:hAnsi="仿宋_GB2312" w:eastAsia="仿宋_GB2312" w:cs="仿宋_GB2312"/>
                <w:color w:val="000000"/>
                <w:sz w:val="24"/>
              </w:rPr>
            </w:pPr>
          </w:p>
        </w:tc>
        <w:tc>
          <w:tcPr>
            <w:tcW w:w="1800" w:type="dxa"/>
            <w:gridSpan w:val="4"/>
            <w:vAlign w:val="center"/>
          </w:tcPr>
          <w:p>
            <w:pPr>
              <w:autoSpaceDN w:val="0"/>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12262</w:t>
            </w:r>
          </w:p>
        </w:tc>
        <w:tc>
          <w:tcPr>
            <w:tcW w:w="1355" w:type="dxa"/>
            <w:gridSpan w:val="2"/>
            <w:tcBorders>
              <w:lef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746</w:t>
            </w:r>
          </w:p>
        </w:tc>
        <w:tc>
          <w:tcPr>
            <w:tcW w:w="1080" w:type="dxa"/>
            <w:gridSpan w:val="2"/>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626</w:t>
            </w:r>
          </w:p>
        </w:tc>
        <w:tc>
          <w:tcPr>
            <w:tcW w:w="2160" w:type="dxa"/>
            <w:gridSpan w:val="4"/>
            <w:vAlign w:val="center"/>
          </w:tcPr>
          <w:p>
            <w:pPr>
              <w:widowControl/>
              <w:jc w:val="center"/>
              <w:rPr>
                <w:rFonts w:hint="eastAsia" w:eastAsia="仿宋_GB2312"/>
                <w:color w:val="000000"/>
                <w:sz w:val="20"/>
                <w:szCs w:val="20"/>
                <w:lang w:val="en-US" w:eastAsia="zh-CN"/>
              </w:rPr>
            </w:pPr>
          </w:p>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120</w:t>
            </w:r>
          </w:p>
          <w:p>
            <w:pPr>
              <w:widowControl/>
              <w:jc w:val="center"/>
              <w:rPr>
                <w:rFonts w:hint="eastAsia" w:eastAsia="仿宋_GB2312"/>
                <w:color w:val="000000"/>
                <w:sz w:val="20"/>
                <w:szCs w:val="20"/>
                <w:lang w:val="en-US" w:eastAsia="zh-CN"/>
              </w:rPr>
            </w:pPr>
          </w:p>
        </w:tc>
        <w:tc>
          <w:tcPr>
            <w:tcW w:w="1080" w:type="dxa"/>
            <w:vAlign w:val="center"/>
          </w:tcPr>
          <w:p>
            <w:pPr>
              <w:widowControl/>
              <w:jc w:val="center"/>
              <w:rPr>
                <w:rFonts w:hint="eastAsia" w:eastAsia="仿宋_GB2312"/>
                <w:color w:val="000000"/>
                <w:sz w:val="20"/>
                <w:szCs w:val="20"/>
                <w:lang w:val="en-US" w:eastAsia="zh-CN"/>
              </w:rPr>
            </w:pPr>
          </w:p>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11516</w:t>
            </w:r>
          </w:p>
          <w:p>
            <w:pPr>
              <w:widowControl/>
              <w:jc w:val="center"/>
              <w:rPr>
                <w:rFonts w:hint="eastAsia" w:eastAsia="仿宋_GB2312"/>
                <w:color w:val="000000"/>
                <w:sz w:val="20"/>
                <w:szCs w:val="20"/>
                <w:lang w:val="en-US" w:eastAsia="zh-CN"/>
              </w:rPr>
            </w:pPr>
          </w:p>
        </w:tc>
        <w:tc>
          <w:tcPr>
            <w:tcW w:w="720" w:type="dxa"/>
            <w:gridSpan w:val="3"/>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c>
          <w:tcPr>
            <w:tcW w:w="625" w:type="dxa"/>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12262</w:t>
            </w:r>
          </w:p>
        </w:tc>
        <w:tc>
          <w:tcPr>
            <w:tcW w:w="1355" w:type="dxa"/>
            <w:gridSpan w:val="2"/>
            <w:tcBorders>
              <w:lef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746</w:t>
            </w:r>
          </w:p>
        </w:tc>
        <w:tc>
          <w:tcPr>
            <w:tcW w:w="1080" w:type="dxa"/>
            <w:gridSpan w:val="2"/>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626</w:t>
            </w:r>
          </w:p>
        </w:tc>
        <w:tc>
          <w:tcPr>
            <w:tcW w:w="2160" w:type="dxa"/>
            <w:gridSpan w:val="4"/>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120</w:t>
            </w:r>
          </w:p>
        </w:tc>
        <w:tc>
          <w:tcPr>
            <w:tcW w:w="1080" w:type="dxa"/>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11516</w:t>
            </w:r>
          </w:p>
        </w:tc>
        <w:tc>
          <w:tcPr>
            <w:tcW w:w="720" w:type="dxa"/>
            <w:gridSpan w:val="3"/>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c>
          <w:tcPr>
            <w:tcW w:w="625" w:type="dxa"/>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p>
        </w:tc>
        <w:tc>
          <w:tcPr>
            <w:tcW w:w="1080" w:type="dxa"/>
            <w:vAlign w:val="center"/>
          </w:tcPr>
          <w:p>
            <w:pPr>
              <w:autoSpaceDN w:val="0"/>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p>
        </w:tc>
        <w:tc>
          <w:tcPr>
            <w:tcW w:w="1080" w:type="dxa"/>
            <w:vAlign w:val="center"/>
          </w:tcPr>
          <w:p>
            <w:pPr>
              <w:autoSpaceDN w:val="0"/>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jc w:val="center"/>
              <w:textAlignment w:val="center"/>
              <w:rPr>
                <w:rFonts w:hint="eastAsia" w:eastAsiaTheme="minorEastAsia"/>
                <w:color w:val="000000"/>
                <w:sz w:val="20"/>
                <w:szCs w:val="20"/>
                <w:lang w:eastAsia="zh-CN"/>
              </w:rPr>
            </w:pPr>
            <w:r>
              <w:rPr>
                <w:rFonts w:hint="eastAsia"/>
                <w:color w:val="000000"/>
                <w:sz w:val="20"/>
                <w:szCs w:val="20"/>
                <w:lang w:val="en-US" w:eastAsia="zh-CN"/>
              </w:rPr>
              <w:t>0</w:t>
            </w:r>
          </w:p>
        </w:tc>
        <w:tc>
          <w:tcPr>
            <w:tcW w:w="1355" w:type="dxa"/>
            <w:gridSpan w:val="2"/>
            <w:tcBorders>
              <w:left w:val="single" w:color="auto" w:sz="4" w:space="0"/>
            </w:tcBorders>
            <w:vAlign w:val="center"/>
          </w:tcPr>
          <w:p>
            <w:pPr>
              <w:autoSpaceDN w:val="0"/>
              <w:jc w:val="center"/>
              <w:textAlignment w:val="center"/>
              <w:rPr>
                <w:rFonts w:hint="eastAsia" w:eastAsiaTheme="minorEastAsia"/>
                <w:color w:val="000000"/>
                <w:sz w:val="20"/>
                <w:szCs w:val="20"/>
                <w:lang w:eastAsia="zh-CN"/>
              </w:rPr>
            </w:pPr>
            <w:r>
              <w:rPr>
                <w:rFonts w:hint="eastAsia"/>
                <w:color w:val="000000"/>
                <w:sz w:val="20"/>
                <w:szCs w:val="20"/>
                <w:lang w:val="en-US" w:eastAsia="zh-CN"/>
              </w:rPr>
              <w:t>0</w:t>
            </w:r>
          </w:p>
        </w:tc>
        <w:tc>
          <w:tcPr>
            <w:tcW w:w="1080" w:type="dxa"/>
            <w:gridSpan w:val="2"/>
            <w:vAlign w:val="center"/>
          </w:tcPr>
          <w:p>
            <w:pPr>
              <w:autoSpaceDN w:val="0"/>
              <w:jc w:val="center"/>
              <w:textAlignment w:val="center"/>
              <w:rPr>
                <w:color w:val="000000"/>
                <w:sz w:val="20"/>
                <w:szCs w:val="20"/>
              </w:rPr>
            </w:pPr>
            <w:r>
              <w:rPr>
                <w:rFonts w:hint="eastAsia"/>
                <w:color w:val="000000"/>
                <w:sz w:val="20"/>
                <w:szCs w:val="20"/>
              </w:rPr>
              <w:t>0</w:t>
            </w:r>
          </w:p>
        </w:tc>
        <w:tc>
          <w:tcPr>
            <w:tcW w:w="2160" w:type="dxa"/>
            <w:gridSpan w:val="4"/>
            <w:vAlign w:val="center"/>
          </w:tcPr>
          <w:p>
            <w:pPr>
              <w:autoSpaceDN w:val="0"/>
              <w:jc w:val="center"/>
              <w:textAlignment w:val="center"/>
              <w:rPr>
                <w:color w:val="000000"/>
                <w:sz w:val="20"/>
                <w:szCs w:val="20"/>
              </w:rPr>
            </w:pPr>
            <w:r>
              <w:rPr>
                <w:rFonts w:hint="eastAsia"/>
                <w:color w:val="000000"/>
                <w:sz w:val="20"/>
                <w:szCs w:val="20"/>
              </w:rPr>
              <w:t>0</w:t>
            </w:r>
          </w:p>
        </w:tc>
        <w:tc>
          <w:tcPr>
            <w:tcW w:w="2425" w:type="dxa"/>
            <w:gridSpan w:val="5"/>
            <w:vAlign w:val="center"/>
          </w:tcPr>
          <w:p>
            <w:pPr>
              <w:autoSpaceDN w:val="0"/>
              <w:jc w:val="center"/>
              <w:textAlignment w:val="center"/>
              <w:rPr>
                <w:color w:val="000000"/>
                <w:sz w:val="20"/>
                <w:szCs w:val="20"/>
              </w:rPr>
            </w:pPr>
            <w:r>
              <w:rPr>
                <w:rFonts w:hint="eastAsia"/>
                <w:color w:val="000000"/>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jc w:val="center"/>
              <w:textAlignment w:val="center"/>
              <w:rPr>
                <w:rFonts w:hint="eastAsia" w:ascii="仿宋_GB2312" w:hAnsi="仿宋_GB2312" w:eastAsia="仿宋_GB2312" w:cs="仿宋_GB2312"/>
                <w:color w:val="000000"/>
                <w:sz w:val="24"/>
                <w:lang w:eastAsia="zh-CN"/>
              </w:rPr>
            </w:pPr>
            <w:r>
              <w:rPr>
                <w:rFonts w:hint="eastAsia" w:eastAsia="仿宋_GB2312"/>
                <w:color w:val="000000"/>
                <w:sz w:val="20"/>
                <w:szCs w:val="20"/>
                <w:lang w:val="en-US" w:eastAsia="zh-CN"/>
              </w:rPr>
              <w:t>0</w:t>
            </w:r>
          </w:p>
        </w:tc>
        <w:tc>
          <w:tcPr>
            <w:tcW w:w="1355" w:type="dxa"/>
            <w:gridSpan w:val="2"/>
            <w:tcBorders>
              <w:left w:val="single" w:color="auto" w:sz="4" w:space="0"/>
            </w:tcBorders>
            <w:vAlign w:val="center"/>
          </w:tcPr>
          <w:p>
            <w:pPr>
              <w:autoSpaceDN w:val="0"/>
              <w:jc w:val="center"/>
              <w:textAlignment w:val="center"/>
              <w:rPr>
                <w:rFonts w:hint="eastAsia" w:ascii="仿宋_GB2312" w:hAnsi="仿宋_GB2312" w:eastAsia="仿宋_GB2312" w:cs="仿宋_GB2312"/>
                <w:color w:val="000000"/>
                <w:sz w:val="24"/>
                <w:lang w:eastAsia="zh-CN"/>
              </w:rPr>
            </w:pPr>
            <w:r>
              <w:rPr>
                <w:rFonts w:hint="eastAsia" w:eastAsia="仿宋_GB2312"/>
                <w:color w:val="000000"/>
                <w:sz w:val="20"/>
                <w:szCs w:val="20"/>
                <w:lang w:val="en-US" w:eastAsia="zh-CN"/>
              </w:rPr>
              <w:t>0</w:t>
            </w: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c>
          <w:tcPr>
            <w:tcW w:w="2425" w:type="dxa"/>
            <w:gridSpan w:val="5"/>
            <w:vAlign w:val="center"/>
          </w:tcPr>
          <w:p>
            <w:pPr>
              <w:autoSpaceDN w:val="0"/>
              <w:jc w:val="center"/>
              <w:textAlignment w:val="center"/>
              <w:rPr>
                <w:rFonts w:ascii="仿宋_GB2312" w:hAnsi="仿宋_GB2312" w:eastAsia="仿宋_GB2312" w:cs="仿宋_GB2312"/>
                <w:color w:val="000000"/>
                <w:sz w:val="24"/>
              </w:rPr>
            </w:pPr>
            <w:r>
              <w:rPr>
                <w:rFonts w:hint="eastAsia"/>
                <w:color w:val="000000"/>
                <w:sz w:val="20"/>
                <w:szCs w:val="2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35" w:type="dxa"/>
            <w:gridSpan w:val="4"/>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644" w:type="dxa"/>
            <w:gridSpan w:val="7"/>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35" w:type="dxa"/>
            <w:gridSpan w:val="4"/>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3644" w:type="dxa"/>
            <w:gridSpan w:val="7"/>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rPr>
                <w:rFonts w:ascii="仿宋_GB2312" w:hAnsi="仿宋_GB2312" w:eastAsia="仿宋_GB2312" w:cs="仿宋_GB2312"/>
                <w:sz w:val="24"/>
              </w:rPr>
            </w:pPr>
          </w:p>
        </w:tc>
        <w:tc>
          <w:tcPr>
            <w:tcW w:w="3774" w:type="dxa"/>
            <w:gridSpan w:val="7"/>
            <w:vAlign w:val="center"/>
          </w:tcPr>
          <w:p>
            <w:pPr>
              <w:autoSpaceDN w:val="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国有土地执法监察及土地年度供应计划实施</w:t>
            </w:r>
            <w:r>
              <w:rPr>
                <w:rFonts w:hint="eastAsia" w:ascii="仿宋_GB2312" w:hAnsi="仿宋_GB2312" w:eastAsia="仿宋_GB2312" w:cs="仿宋_GB2312"/>
                <w:color w:val="000000"/>
                <w:sz w:val="24"/>
                <w:lang w:eastAsia="zh-CN"/>
              </w:rPr>
              <w:t>；</w:t>
            </w:r>
          </w:p>
          <w:p>
            <w:pPr>
              <w:autoSpaceDN w:val="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完成城乡规划编制；</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完成土地出让年度任务；</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完成土地卫片执法监督监察；</w:t>
            </w:r>
          </w:p>
          <w:p>
            <w:pPr>
              <w:autoSpaceDN w:val="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：完成</w:t>
            </w:r>
            <w:r>
              <w:rPr>
                <w:rFonts w:hint="eastAsia" w:ascii="仿宋_GB2312" w:hAnsi="仿宋_GB2312" w:eastAsia="仿宋_GB2312" w:cs="仿宋_GB2312"/>
                <w:color w:val="000000"/>
                <w:sz w:val="24"/>
                <w:lang w:val="en-US" w:eastAsia="zh-CN"/>
              </w:rPr>
              <w:t>禁违治违工作</w:t>
            </w:r>
            <w:r>
              <w:rPr>
                <w:rFonts w:hint="eastAsia" w:ascii="仿宋_GB2312" w:hAnsi="仿宋_GB2312" w:eastAsia="仿宋_GB2312" w:cs="仿宋_GB2312"/>
                <w:color w:val="000000"/>
                <w:sz w:val="24"/>
                <w:lang w:eastAsia="zh-CN"/>
              </w:rPr>
              <w:t>；</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完成高新区申报集约用地指标；</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完成法律服务工作；</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完成不动产登记工作；</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完成地质灾害风险普查工作；</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完成农村宅基地和集体建设用地房地一体确权登记颁证工作；</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11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完成新港区第三次国土调查自选工作；</w:t>
            </w:r>
          </w:p>
          <w:p>
            <w:pPr>
              <w:autoSpaceDN w:val="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:保障本年度建设</w:t>
            </w:r>
            <w:r>
              <w:rPr>
                <w:rFonts w:hint="eastAsia" w:ascii="仿宋_GB2312" w:hAnsi="仿宋_GB2312" w:eastAsia="仿宋_GB2312" w:cs="仿宋_GB2312"/>
                <w:color w:val="000000"/>
                <w:sz w:val="24"/>
                <w:lang w:val="en-US" w:eastAsia="zh-CN"/>
              </w:rPr>
              <w:t>管理</w:t>
            </w:r>
            <w:r>
              <w:rPr>
                <w:rFonts w:hint="eastAsia" w:ascii="仿宋_GB2312" w:hAnsi="仿宋_GB2312" w:eastAsia="仿宋_GB2312" w:cs="仿宋_GB2312"/>
                <w:color w:val="000000"/>
                <w:sz w:val="24"/>
              </w:rPr>
              <w:t>工作顺利开展</w:t>
            </w:r>
            <w:r>
              <w:rPr>
                <w:rFonts w:hint="eastAsia" w:ascii="仿宋_GB2312" w:hAnsi="仿宋_GB2312" w:eastAsia="仿宋_GB2312" w:cs="仿宋_GB2312"/>
                <w:color w:val="000000"/>
                <w:sz w:val="24"/>
                <w:lang w:eastAsia="zh-CN"/>
              </w:rPr>
              <w:t>；</w:t>
            </w:r>
          </w:p>
          <w:p>
            <w:pPr>
              <w:autoSpaceDN w:val="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13</w:t>
            </w:r>
            <w:r>
              <w:rPr>
                <w:rFonts w:hint="eastAsia" w:ascii="仿宋_GB2312" w:hAnsi="仿宋_GB2312" w:eastAsia="仿宋_GB2312" w:cs="仿宋_GB2312"/>
                <w:color w:val="000000"/>
                <w:sz w:val="24"/>
              </w:rPr>
              <w:t>：完成本年度相应施工任务</w:t>
            </w:r>
            <w:r>
              <w:rPr>
                <w:rFonts w:hint="eastAsia" w:ascii="仿宋_GB2312" w:hAnsi="仿宋_GB2312" w:eastAsia="仿宋_GB2312" w:cs="仿宋_GB2312"/>
                <w:color w:val="000000"/>
                <w:sz w:val="24"/>
                <w:lang w:eastAsia="zh-CN"/>
              </w:rPr>
              <w:t>；</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14</w:t>
            </w:r>
            <w:r>
              <w:rPr>
                <w:rFonts w:hint="eastAsia" w:ascii="仿宋_GB2312" w:hAnsi="仿宋_GB2312" w:eastAsia="仿宋_GB2312" w:cs="仿宋_GB2312"/>
                <w:color w:val="000000"/>
                <w:sz w:val="24"/>
              </w:rPr>
              <w:t>：完成施工图审查</w:t>
            </w:r>
            <w:r>
              <w:rPr>
                <w:rFonts w:hint="eastAsia" w:ascii="仿宋_GB2312" w:hAnsi="仿宋_GB2312" w:eastAsia="仿宋_GB2312" w:cs="仿宋_GB2312"/>
                <w:color w:val="000000"/>
                <w:sz w:val="24"/>
                <w:lang w:val="en-US" w:eastAsia="zh-CN"/>
              </w:rPr>
              <w:t>工作；</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15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完成工程建设项目政府购买帮代办服务工作；</w:t>
            </w:r>
          </w:p>
          <w:p>
            <w:pPr>
              <w:autoSpaceDN w:val="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16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完成质监管理工作。</w:t>
            </w:r>
          </w:p>
        </w:tc>
        <w:tc>
          <w:tcPr>
            <w:tcW w:w="4585" w:type="dxa"/>
            <w:gridSpan w:val="9"/>
            <w:vAlign w:val="center"/>
          </w:tcPr>
          <w:p>
            <w:pPr>
              <w:autoSpaceDN w:val="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国有土地执法监察及土地年度供应计划实施已完成</w:t>
            </w:r>
            <w:r>
              <w:rPr>
                <w:rFonts w:hint="eastAsia" w:ascii="仿宋_GB2312" w:hAnsi="仿宋_GB2312" w:eastAsia="仿宋_GB2312" w:cs="仿宋_GB2312"/>
                <w:color w:val="000000"/>
                <w:sz w:val="24"/>
                <w:lang w:eastAsia="zh-CN"/>
              </w:rPr>
              <w:t>；</w:t>
            </w:r>
          </w:p>
          <w:p>
            <w:pPr>
              <w:autoSpaceDN w:val="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城乡规划编制工作已完成；</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土地出让年度任务已完成；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已完成土地卫片执法监督监察；</w:t>
            </w:r>
          </w:p>
          <w:p>
            <w:pPr>
              <w:autoSpaceDN w:val="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已完成禁违治违工作</w:t>
            </w:r>
            <w:r>
              <w:rPr>
                <w:rFonts w:hint="eastAsia" w:ascii="仿宋_GB2312" w:hAnsi="仿宋_GB2312" w:eastAsia="仿宋_GB2312" w:cs="仿宋_GB2312"/>
                <w:color w:val="000000"/>
                <w:sz w:val="24"/>
                <w:lang w:eastAsia="zh-CN"/>
              </w:rPr>
              <w:t>；</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已完成高新区申报集约用地指标；</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已完成法律服务工作；</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已完成不动产登记工作；</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已完成地质灾害风险普查工作；</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已完成农村宅基地和集体建设用地房地一体确权登记颁证工作；</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已完成新港区第三次国土调查自选工作；</w:t>
            </w:r>
          </w:p>
          <w:p>
            <w:pPr>
              <w:autoSpaceDN w:val="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:保障本年度建设</w:t>
            </w:r>
            <w:r>
              <w:rPr>
                <w:rFonts w:hint="eastAsia" w:ascii="仿宋_GB2312" w:hAnsi="仿宋_GB2312" w:eastAsia="仿宋_GB2312" w:cs="仿宋_GB2312"/>
                <w:color w:val="000000"/>
                <w:sz w:val="24"/>
                <w:lang w:val="en-US" w:eastAsia="zh-CN"/>
              </w:rPr>
              <w:t>管理</w:t>
            </w:r>
            <w:r>
              <w:rPr>
                <w:rFonts w:hint="eastAsia" w:ascii="仿宋_GB2312" w:hAnsi="仿宋_GB2312" w:eastAsia="仿宋_GB2312" w:cs="仿宋_GB2312"/>
                <w:color w:val="000000"/>
                <w:sz w:val="24"/>
              </w:rPr>
              <w:t>工作顺利开展</w:t>
            </w:r>
            <w:r>
              <w:rPr>
                <w:rFonts w:hint="eastAsia" w:ascii="仿宋_GB2312" w:hAnsi="仿宋_GB2312" w:eastAsia="仿宋_GB2312" w:cs="仿宋_GB2312"/>
                <w:color w:val="000000"/>
                <w:sz w:val="24"/>
                <w:lang w:val="en-US" w:eastAsia="zh-CN"/>
              </w:rPr>
              <w:t>已完成</w:t>
            </w:r>
            <w:r>
              <w:rPr>
                <w:rFonts w:hint="eastAsia" w:ascii="仿宋_GB2312" w:hAnsi="仿宋_GB2312" w:eastAsia="仿宋_GB2312" w:cs="仿宋_GB2312"/>
                <w:color w:val="000000"/>
                <w:sz w:val="24"/>
                <w:lang w:eastAsia="zh-CN"/>
              </w:rPr>
              <w:t>；</w:t>
            </w:r>
          </w:p>
          <w:p>
            <w:pPr>
              <w:autoSpaceDN w:val="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13</w:t>
            </w:r>
            <w:r>
              <w:rPr>
                <w:rFonts w:hint="eastAsia" w:ascii="仿宋_GB2312" w:hAnsi="仿宋_GB2312" w:eastAsia="仿宋_GB2312" w:cs="仿宋_GB2312"/>
                <w:color w:val="000000"/>
                <w:sz w:val="24"/>
              </w:rPr>
              <w:t>：完成本年度相应施工任务</w:t>
            </w:r>
            <w:r>
              <w:rPr>
                <w:rFonts w:hint="eastAsia" w:ascii="仿宋_GB2312" w:hAnsi="仿宋_GB2312" w:eastAsia="仿宋_GB2312" w:cs="仿宋_GB2312"/>
                <w:color w:val="000000"/>
                <w:sz w:val="24"/>
                <w:lang w:eastAsia="zh-CN"/>
              </w:rPr>
              <w:t>；</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已完成</w:t>
            </w:r>
            <w:r>
              <w:rPr>
                <w:rFonts w:hint="eastAsia" w:ascii="仿宋_GB2312" w:hAnsi="仿宋_GB2312" w:eastAsia="仿宋_GB2312" w:cs="仿宋_GB2312"/>
                <w:color w:val="000000"/>
                <w:sz w:val="24"/>
              </w:rPr>
              <w:t>施工图审查</w:t>
            </w:r>
            <w:r>
              <w:rPr>
                <w:rFonts w:hint="eastAsia" w:ascii="仿宋_GB2312" w:hAnsi="仿宋_GB2312" w:eastAsia="仿宋_GB2312" w:cs="仿宋_GB2312"/>
                <w:color w:val="000000"/>
                <w:sz w:val="24"/>
                <w:lang w:val="en-US" w:eastAsia="zh-CN"/>
              </w:rPr>
              <w:t>工作；</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已完成工程建设项目政府购买帮代办服务工作；</w:t>
            </w:r>
          </w:p>
          <w:p>
            <w:pPr>
              <w:autoSpaceDN w:val="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已完成完成质监管理工作。</w:t>
            </w:r>
          </w:p>
          <w:p>
            <w:pPr>
              <w:autoSpaceDN w:val="0"/>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指标1：保障本年度</w:t>
            </w:r>
            <w:r>
              <w:rPr>
                <w:rFonts w:hint="eastAsia" w:ascii="仿宋_GB2312" w:hAnsi="仿宋_GB2312" w:eastAsia="仿宋_GB2312" w:cs="仿宋_GB2312"/>
                <w:color w:val="000000"/>
                <w:sz w:val="24"/>
                <w:lang w:val="en-US" w:eastAsia="zh-CN"/>
              </w:rPr>
              <w:t>开发建设</w:t>
            </w:r>
            <w:r>
              <w:rPr>
                <w:rFonts w:hint="eastAsia" w:ascii="仿宋_GB2312" w:hAnsi="仿宋_GB2312" w:eastAsia="仿宋_GB2312" w:cs="仿宋_GB2312"/>
                <w:color w:val="000000"/>
                <w:sz w:val="24"/>
              </w:rPr>
              <w:t>工作完成</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rPr>
                <w:rFonts w:ascii="仿宋_GB2312" w:hAnsi="仿宋_GB2312" w:eastAsia="仿宋_GB2312" w:cs="仿宋_GB2312"/>
                <w:sz w:val="24"/>
              </w:rPr>
            </w:pP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指标2：完成相应的施工任务</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rPr>
                <w:rFonts w:ascii="仿宋_GB2312" w:hAnsi="仿宋_GB2312" w:eastAsia="仿宋_GB2312" w:cs="仿宋_GB2312"/>
                <w:sz w:val="24"/>
              </w:rPr>
            </w:pPr>
          </w:p>
        </w:tc>
        <w:tc>
          <w:tcPr>
            <w:tcW w:w="2709" w:type="dxa"/>
            <w:gridSpan w:val="4"/>
            <w:vAlign w:val="center"/>
          </w:tcPr>
          <w:p>
            <w:pPr>
              <w:autoSpaceDN w:val="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指标3：完成相应的</w:t>
            </w:r>
            <w:r>
              <w:rPr>
                <w:rFonts w:hint="eastAsia" w:ascii="仿宋_GB2312" w:hAnsi="仿宋_GB2312" w:eastAsia="仿宋_GB2312" w:cs="仿宋_GB2312"/>
                <w:color w:val="000000"/>
                <w:sz w:val="24"/>
                <w:lang w:val="en-US" w:eastAsia="zh-CN"/>
              </w:rPr>
              <w:t>规划编制、用地保障、执法</w:t>
            </w:r>
            <w:r>
              <w:rPr>
                <w:rFonts w:hint="eastAsia" w:ascii="仿宋_GB2312" w:hAnsi="仿宋_GB2312" w:eastAsia="仿宋_GB2312" w:cs="仿宋_GB2312"/>
                <w:color w:val="000000"/>
                <w:sz w:val="24"/>
              </w:rPr>
              <w:t>任务</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themeColor="text1"/>
                <w:sz w:val="24"/>
                <w14:textFill>
                  <w14:solidFill>
                    <w14:schemeClr w14:val="tx1"/>
                  </w14:solidFill>
                </w14:textFill>
              </w:rPr>
              <w:t>完成土地利用总体规划向省厅追加城镇建设用地指标约76公顷（1140亩）的任务</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autoSpaceDN w:val="0"/>
              <w:jc w:val="center"/>
              <w:textAlignment w:val="center"/>
              <w:rPr>
                <w:rFonts w:ascii="仿宋_GB2312" w:hAnsi="仿宋_GB2312" w:eastAsia="仿宋_GB2312" w:cs="仿宋_GB2312"/>
                <w:sz w:val="24"/>
              </w:rPr>
            </w:pP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指标2：完成相应的施工任务</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autoSpaceDN w:val="0"/>
              <w:jc w:val="center"/>
              <w:textAlignment w:val="center"/>
              <w:rPr>
                <w:rFonts w:ascii="仿宋_GB2312" w:hAnsi="仿宋_GB2312" w:eastAsia="仿宋_GB2312" w:cs="仿宋_GB2312"/>
                <w:sz w:val="24"/>
              </w:rPr>
            </w:pP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指标3：严标准高效率完成审图，审核经费500万元</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指标1：在既定时间内完成绩效目标</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Merge w:val="continue"/>
            <w:vAlign w:val="center"/>
          </w:tcPr>
          <w:p>
            <w:pPr>
              <w:autoSpaceDN w:val="0"/>
              <w:jc w:val="center"/>
              <w:textAlignment w:val="center"/>
              <w:rPr>
                <w:rFonts w:ascii="仿宋_GB2312" w:hAnsi="仿宋_GB2312" w:eastAsia="仿宋_GB2312" w:cs="仿宋_GB2312"/>
                <w:sz w:val="24"/>
              </w:rPr>
            </w:pP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指标1：控制在预算内，无资金浪费</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restart"/>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指标1：为港区产业项目建设供地，创造经济价值，促进港区经济发展</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指标2：为入园企业减少建设成本，节约建设资金</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指标1：为港区产业项目建设供地，创造经济价值，促进港区经济发展</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指标2：为入园企业减少建设成本，节约建设资金</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指标1：注重生态环境</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指标2：优化营商环境，为企业减负</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rPr>
                <w:rFonts w:ascii="仿宋_GB2312" w:hAnsi="仿宋_GB2312" w:eastAsia="仿宋_GB2312" w:cs="仿宋_GB2312"/>
                <w:sz w:val="24"/>
              </w:rPr>
            </w:pPr>
          </w:p>
        </w:tc>
        <w:tc>
          <w:tcPr>
            <w:tcW w:w="1549" w:type="dxa"/>
            <w:gridSpan w:val="4"/>
            <w:vMerge w:val="continue"/>
            <w:vAlign w:val="center"/>
          </w:tcPr>
          <w:p>
            <w:pPr>
              <w:autoSpaceDN w:val="0"/>
              <w:rPr>
                <w:rFonts w:ascii="仿宋_GB2312" w:hAnsi="仿宋_GB2312" w:eastAsia="仿宋_GB2312" w:cs="仿宋_GB2312"/>
                <w:sz w:val="24"/>
              </w:rPr>
            </w:pPr>
          </w:p>
        </w:tc>
        <w:tc>
          <w:tcPr>
            <w:tcW w:w="1417"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指标1：服务对象满意率95%；社会公众满意率95%</w:t>
            </w:r>
          </w:p>
        </w:tc>
        <w:tc>
          <w:tcPr>
            <w:tcW w:w="2684" w:type="dxa"/>
            <w:gridSpan w:val="6"/>
            <w:vAlign w:val="center"/>
          </w:tcPr>
          <w:p>
            <w:pPr>
              <w:autoSpaceDN w:val="0"/>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00</w:t>
            </w:r>
            <w:r>
              <w:rPr>
                <w:rFonts w:hint="eastAsia" w:ascii="仿宋_GB2312" w:hAnsi="仿宋_GB2312" w:eastAsia="仿宋_GB2312" w:cs="仿宋_GB2312"/>
                <w:color w:val="000000"/>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 洪</w:t>
            </w:r>
          </w:p>
        </w:tc>
        <w:tc>
          <w:tcPr>
            <w:tcW w:w="3561" w:type="dxa"/>
            <w:gridSpan w:val="6"/>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科长</w:t>
            </w:r>
          </w:p>
        </w:tc>
        <w:tc>
          <w:tcPr>
            <w:tcW w:w="1479" w:type="dxa"/>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开发建设</w:t>
            </w:r>
            <w:r>
              <w:rPr>
                <w:rFonts w:hint="eastAsia" w:ascii="仿宋_GB2312" w:hAnsi="仿宋_GB2312" w:eastAsia="仿宋_GB2312" w:cs="仿宋_GB2312"/>
                <w:color w:val="000000"/>
                <w:sz w:val="24"/>
              </w:rPr>
              <w:t>部</w:t>
            </w:r>
          </w:p>
        </w:tc>
        <w:tc>
          <w:tcPr>
            <w:tcW w:w="3106" w:type="dxa"/>
            <w:gridSpan w:val="8"/>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孟志军</w:t>
            </w:r>
          </w:p>
        </w:tc>
        <w:tc>
          <w:tcPr>
            <w:tcW w:w="3561" w:type="dxa"/>
            <w:gridSpan w:val="6"/>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部长</w:t>
            </w:r>
          </w:p>
        </w:tc>
        <w:tc>
          <w:tcPr>
            <w:tcW w:w="1479" w:type="dxa"/>
            <w:vAlign w:val="center"/>
          </w:tcPr>
          <w:p>
            <w:pPr>
              <w:autoSpaceDN w:val="0"/>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开发</w:t>
            </w:r>
            <w:r>
              <w:rPr>
                <w:rFonts w:hint="eastAsia" w:ascii="仿宋_GB2312" w:hAnsi="仿宋_GB2312" w:eastAsia="仿宋_GB2312" w:cs="仿宋_GB2312"/>
                <w:color w:val="000000"/>
                <w:sz w:val="24"/>
              </w:rPr>
              <w:t>建设部</w:t>
            </w:r>
          </w:p>
        </w:tc>
        <w:tc>
          <w:tcPr>
            <w:tcW w:w="3106" w:type="dxa"/>
            <w:gridSpan w:val="8"/>
            <w:vAlign w:val="center"/>
          </w:tcPr>
          <w:p>
            <w:pPr>
              <w:autoSpaceDN w:val="0"/>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48" w:hRule="atLeast"/>
          <w:jc w:val="center"/>
        </w:trPr>
        <w:tc>
          <w:tcPr>
            <w:tcW w:w="9800" w:type="dxa"/>
            <w:gridSpan w:val="17"/>
            <w:vAlign w:val="center"/>
          </w:tcPr>
          <w:p>
            <w:pPr>
              <w:autoSpaceDN w:val="0"/>
              <w:jc w:val="left"/>
              <w:textAlignment w:val="center"/>
              <w:rPr>
                <w:rFonts w:ascii="仿宋_GB2312" w:hAnsi="仿宋_GB2312" w:eastAsia="仿宋_GB2312" w:cs="仿宋_GB2312"/>
                <w:color w:val="000000"/>
                <w:sz w:val="24"/>
              </w:rPr>
            </w:pPr>
            <w:bookmarkStart w:id="1" w:name="_GoBack"/>
            <w:bookmarkEnd w:id="1"/>
            <w:r>
              <w:rPr>
                <w:rFonts w:hint="eastAsia" w:ascii="仿宋_GB2312" w:hAnsi="仿宋_GB2312" w:eastAsia="仿宋_GB2312" w:cs="仿宋_GB2312"/>
                <w:color w:val="000000"/>
                <w:sz w:val="24"/>
              </w:rPr>
              <w:t>评价组组长（签字）：</w:t>
            </w: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22" w:hRule="atLeast"/>
          <w:jc w:val="center"/>
        </w:trPr>
        <w:tc>
          <w:tcPr>
            <w:tcW w:w="9800" w:type="dxa"/>
            <w:gridSpan w:val="17"/>
            <w:vAlign w:val="center"/>
          </w:tcPr>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rPr>
                <w:rFonts w:eastAsia="仿宋_GB2312"/>
                <w:sz w:val="24"/>
              </w:rPr>
            </w:pPr>
            <w:r>
              <w:rPr>
                <w:rFonts w:hint="eastAsia" w:eastAsia="仿宋_GB2312"/>
                <w:sz w:val="24"/>
              </w:rPr>
              <w:t>财政部门归口业务科室意见：</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hint="eastAsia" w:eastAsia="仿宋_GB2312"/>
                <w:sz w:val="24"/>
              </w:rPr>
              <w:t xml:space="preserve">                                  财政部门归口业务科室负责人（签章）：</w:t>
            </w:r>
          </w:p>
          <w:p>
            <w:pPr>
              <w:autoSpaceDN w:val="0"/>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姚可</w:t>
      </w:r>
      <w:r>
        <w:rPr>
          <w:rFonts w:hint="eastAsia" w:eastAsia="仿宋_GB2312" w:cs="仿宋_GB2312"/>
          <w:bCs/>
          <w:sz w:val="28"/>
          <w:szCs w:val="28"/>
        </w:rPr>
        <w:t xml:space="preserve">                 联系电话：</w:t>
      </w:r>
      <w:r>
        <w:rPr>
          <w:rFonts w:hint="eastAsia" w:ascii="仿宋_GB2312" w:hAnsi="仿宋_GB2312" w:eastAsia="仿宋_GB2312" w:cs="仿宋_GB2312"/>
          <w:color w:val="000000"/>
          <w:sz w:val="24"/>
          <w:lang w:val="en-US" w:eastAsia="zh-CN"/>
        </w:rPr>
        <w:t>13507301878</w:t>
      </w:r>
      <w:r>
        <w:rPr>
          <w:rFonts w:eastAsia="仿宋_GB2312" w:cs="仿宋_GB2312"/>
          <w:bCs/>
          <w:sz w:val="28"/>
          <w:szCs w:val="28"/>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34" w:firstLineChars="200"/>
              <w:rPr>
                <w:rFonts w:eastAsia="仿宋_GB2312"/>
                <w:sz w:val="32"/>
                <w:szCs w:val="32"/>
              </w:rPr>
            </w:pP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（一）部门（单位）基本情况</w:t>
            </w:r>
          </w:p>
          <w:p>
            <w:pPr>
              <w:autoSpaceDN w:val="0"/>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sz w:val="24"/>
                <w:lang w:eastAsia="zh-CN"/>
              </w:rPr>
              <w:t>开发建设部</w:t>
            </w:r>
            <w:r>
              <w:rPr>
                <w:rFonts w:hint="eastAsia" w:ascii="仿宋_GB2312" w:hAnsi="仿宋_GB2312" w:eastAsia="仿宋_GB2312" w:cs="仿宋_GB2312"/>
                <w:color w:val="000000"/>
                <w:sz w:val="24"/>
              </w:rPr>
              <w:t>基本情况人员共</w:t>
            </w:r>
            <w:r>
              <w:rPr>
                <w:rFonts w:hint="eastAsia" w:ascii="仿宋_GB2312" w:hAnsi="仿宋_GB2312" w:eastAsia="仿宋_GB2312" w:cs="仿宋_GB2312"/>
                <w:color w:val="000000"/>
                <w:sz w:val="24"/>
                <w:lang w:val="en-US" w:eastAsia="zh-CN"/>
              </w:rPr>
              <w:t>38</w:t>
            </w:r>
            <w:r>
              <w:rPr>
                <w:rFonts w:hint="eastAsia" w:ascii="仿宋_GB2312" w:hAnsi="仿宋_GB2312" w:eastAsia="仿宋_GB2312" w:cs="仿宋_GB2312"/>
                <w:color w:val="000000"/>
                <w:sz w:val="24"/>
              </w:rPr>
              <w:t>人，在编人员</w:t>
            </w:r>
            <w:r>
              <w:rPr>
                <w:rFonts w:hint="eastAsia" w:ascii="仿宋_GB2312" w:hAnsi="仿宋_GB2312" w:eastAsia="仿宋_GB2312" w:cs="仿宋_GB2312"/>
                <w:color w:val="000000"/>
                <w:sz w:val="24"/>
                <w:lang w:val="en-US" w:eastAsia="zh-CN"/>
              </w:rPr>
              <w:t>11</w:t>
            </w:r>
            <w:r>
              <w:rPr>
                <w:rFonts w:hint="eastAsia" w:ascii="仿宋_GB2312" w:hAnsi="仿宋_GB2312" w:eastAsia="仿宋_GB2312" w:cs="仿宋_GB2312"/>
                <w:color w:val="000000"/>
                <w:sz w:val="24"/>
              </w:rPr>
              <w:t>人，其主要职能</w:t>
            </w:r>
            <w:r>
              <w:rPr>
                <w:rFonts w:hint="eastAsia" w:ascii="仿宋_GB2312" w:hAnsi="仿宋_GB2312" w:eastAsia="仿宋_GB2312" w:cs="仿宋_GB2312"/>
                <w:color w:val="000000" w:themeColor="text1"/>
                <w:sz w:val="24"/>
                <w:lang w:val="en-US" w:eastAsia="zh-CN"/>
                <w14:textFill>
                  <w14:solidFill>
                    <w14:schemeClr w14:val="tx1"/>
                  </w14:solidFill>
                </w14:textFill>
              </w:rPr>
              <w:t>加挂自然资源局牌子</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负责对建设项目实施行业管理；负责招投标工作；负责房地产管理工作；办理施工图审查情况备案及施工许可工作；负责建筑物名称核准和地名管理工作；负责产城融合示范区建设日常工作；根据授权开展基础设施建设和维护工作；负责依法履行辖区内全民所有自然资源资产所有者职责；负责自然资源调查监测评价、确权登记、开发利用及资产有偿使用；负责国土空间规划实施管理，配合编制国土空间规划；负责国土空间用途管制、生态修复；负责耕地保护、测绘地理信息、矿产资源管理、地质灾害预防和治理；根据权限，依法承担规划、住建、人防、交通、农业、林业、水利等有关行政管理职能；根据权限，承担违法案件的查处工作。</w:t>
            </w:r>
          </w:p>
          <w:p>
            <w:pPr>
              <w:autoSpaceDN w:val="0"/>
              <w:jc w:val="left"/>
              <w:textAlignment w:val="center"/>
              <w:rPr>
                <w:rFonts w:ascii="仿宋_GB2312" w:hAnsi="仿宋_GB2312" w:eastAsia="仿宋_GB2312" w:cs="仿宋_GB2312"/>
                <w:color w:val="000000" w:themeColor="text1"/>
                <w:sz w:val="24"/>
                <w14:textFill>
                  <w14:solidFill>
                    <w14:schemeClr w14:val="tx1"/>
                  </w14:solidFill>
                </w14:textFill>
              </w:rPr>
            </w:pPr>
          </w:p>
          <w:p>
            <w:pPr>
              <w:autoSpaceDN w:val="0"/>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sz w:val="24"/>
              </w:rPr>
              <w:t>年度工作任务：</w:t>
            </w:r>
            <w:r>
              <w:rPr>
                <w:rFonts w:hint="eastAsia" w:ascii="仿宋_GB2312" w:hAnsi="仿宋_GB2312" w:eastAsia="仿宋_GB2312" w:cs="仿宋_GB2312"/>
                <w:color w:val="000000" w:themeColor="text1"/>
                <w:sz w:val="24"/>
                <w14:textFill>
                  <w14:solidFill>
                    <w14:schemeClr w14:val="tx1"/>
                  </w14:solidFill>
                </w14:textFill>
              </w:rPr>
              <w:t>1：</w:t>
            </w:r>
            <w:r>
              <w:rPr>
                <w:rFonts w:hint="eastAsia" w:ascii="仿宋_GB2312" w:hAnsi="仿宋_GB2312" w:eastAsia="仿宋_GB2312" w:cs="仿宋_GB2312"/>
                <w:color w:val="000000" w:themeColor="text1"/>
                <w:sz w:val="24"/>
                <w:lang w:val="en-US" w:eastAsia="zh-CN"/>
                <w14:textFill>
                  <w14:solidFill>
                    <w14:schemeClr w14:val="tx1"/>
                  </w14:solidFill>
                </w14:textFill>
              </w:rPr>
              <w:t>完成城乡规划编制服务。</w:t>
            </w:r>
            <w:r>
              <w:rPr>
                <w:rFonts w:hint="eastAsia" w:ascii="仿宋_GB2312" w:hAnsi="仿宋_GB2312" w:eastAsia="仿宋_GB2312" w:cs="仿宋_GB2312"/>
                <w:color w:val="000000" w:themeColor="text1"/>
                <w:sz w:val="24"/>
                <w14:textFill>
                  <w14:solidFill>
                    <w14:schemeClr w14:val="tx1"/>
                  </w14:solidFill>
                </w14:textFill>
              </w:rPr>
              <w:t>完成松阳湖南侧自贸区产业学院和兴港路以北科技创新产业园项目土地利用总体规划。根据全省统筹划定 “三区三线”工作视频会议精神和全市国土空间规划“三区三线”划定工作</w:t>
            </w:r>
            <w:r>
              <w:rPr>
                <w:rFonts w:hint="eastAsia" w:ascii="仿宋_GB2312" w:hAnsi="仿宋_GB2312" w:eastAsia="仿宋_GB2312" w:cs="仿宋_GB2312"/>
                <w:color w:val="000000" w:themeColor="text1"/>
                <w:sz w:val="24"/>
                <w:lang w:val="en-US" w:eastAsia="zh-CN"/>
                <w14:textFill>
                  <w14:solidFill>
                    <w14:schemeClr w14:val="tx1"/>
                  </w14:solidFill>
                </w14:textFill>
              </w:rPr>
              <w:t>要求</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并</w:t>
            </w:r>
            <w:r>
              <w:rPr>
                <w:rFonts w:hint="eastAsia" w:ascii="仿宋_GB2312" w:hAnsi="仿宋_GB2312" w:eastAsia="仿宋_GB2312" w:cs="仿宋_GB2312"/>
                <w:color w:val="000000" w:themeColor="text1"/>
                <w:sz w:val="24"/>
                <w14:textFill>
                  <w14:solidFill>
                    <w14:schemeClr w14:val="tx1"/>
                  </w14:solidFill>
                </w14:textFill>
              </w:rPr>
              <w:t>结合</w:t>
            </w:r>
            <w:r>
              <w:rPr>
                <w:rFonts w:hint="eastAsia" w:ascii="仿宋_GB2312" w:hAnsi="仿宋_GB2312" w:eastAsia="仿宋_GB2312" w:cs="仿宋_GB2312"/>
                <w:color w:val="000000" w:themeColor="text1"/>
                <w:sz w:val="24"/>
                <w:lang w:val="en-US" w:eastAsia="zh-CN"/>
                <w14:textFill>
                  <w14:solidFill>
                    <w14:schemeClr w14:val="tx1"/>
                  </w14:solidFill>
                </w14:textFill>
              </w:rPr>
              <w:t>港区</w:t>
            </w:r>
            <w:r>
              <w:rPr>
                <w:rFonts w:hint="eastAsia" w:ascii="仿宋_GB2312" w:hAnsi="仿宋_GB2312" w:eastAsia="仿宋_GB2312" w:cs="仿宋_GB2312"/>
                <w:color w:val="000000" w:themeColor="text1"/>
                <w:sz w:val="24"/>
                <w14:textFill>
                  <w14:solidFill>
                    <w14:schemeClr w14:val="tx1"/>
                  </w14:solidFill>
                </w14:textFill>
              </w:rPr>
              <w:t>调区扩区方案</w:t>
            </w:r>
            <w:r>
              <w:rPr>
                <w:rFonts w:hint="eastAsia" w:ascii="仿宋_GB2312" w:hAnsi="仿宋_GB2312" w:eastAsia="仿宋_GB2312" w:cs="仿宋_GB2312"/>
                <w:color w:val="000000" w:themeColor="text1"/>
                <w:sz w:val="24"/>
                <w:lang w:val="en-US" w:eastAsia="zh-CN"/>
                <w14:textFill>
                  <w14:solidFill>
                    <w14:schemeClr w14:val="tx1"/>
                  </w14:solidFill>
                </w14:textFill>
              </w:rPr>
              <w:t>完成了我区</w:t>
            </w:r>
            <w:r>
              <w:rPr>
                <w:rFonts w:hint="eastAsia" w:ascii="仿宋_GB2312" w:hAnsi="仿宋_GB2312" w:eastAsia="仿宋_GB2312" w:cs="仿宋_GB2312"/>
                <w:color w:val="000000" w:themeColor="text1"/>
                <w:sz w:val="24"/>
                <w14:textFill>
                  <w14:solidFill>
                    <w14:schemeClr w14:val="tx1"/>
                  </w14:solidFill>
                </w14:textFill>
              </w:rPr>
              <w:t>的“三区三线”划定工作</w:t>
            </w:r>
            <w:r>
              <w:rPr>
                <w:rFonts w:hint="eastAsia" w:ascii="仿宋_GB2312" w:hAnsi="仿宋_GB2312" w:eastAsia="仿宋_GB2312" w:cs="仿宋_GB2312"/>
                <w:color w:val="000000" w:themeColor="text1"/>
                <w:sz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完成《云溪滨湖村村庄振兴规划》</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《新港区电力专项规划》、《湖南城陵矶新港区人行过街设施专项规划（2022-2035）》等专项规划，《新港区生态修复专项规划暨山水林田湖草综合治理规划》、</w:t>
            </w:r>
            <w:r>
              <w:rPr>
                <w:rFonts w:hint="eastAsia" w:ascii="仿宋_GB2312" w:hAnsi="仿宋_GB2312" w:eastAsia="仿宋_GB2312" w:cs="仿宋_GB2312"/>
                <w:color w:val="000000" w:themeColor="text1"/>
                <w:sz w:val="24"/>
                <w14:textFill>
                  <w14:solidFill>
                    <w14:schemeClr w14:val="tx1"/>
                  </w14:solidFill>
                </w14:textFill>
              </w:rPr>
              <w:t>《湖南城陵矶新港区产业用地</w:t>
            </w:r>
            <w:r>
              <w:rPr>
                <w:rFonts w:hint="eastAsia" w:ascii="仿宋_GB2312" w:hAnsi="仿宋_GB2312" w:eastAsia="仿宋_GB2312" w:cs="仿宋_GB2312"/>
                <w:color w:val="000000" w:themeColor="text1"/>
                <w:sz w:val="24"/>
                <w:lang w:val="en-US" w:eastAsia="zh-CN"/>
                <w14:textFill>
                  <w14:solidFill>
                    <w14:schemeClr w14:val="tx1"/>
                  </w14:solidFill>
                </w14:textFill>
              </w:rPr>
              <w:t>调整</w:t>
            </w:r>
            <w:r>
              <w:rPr>
                <w:rFonts w:hint="eastAsia" w:ascii="仿宋_GB2312" w:hAnsi="仿宋_GB2312" w:eastAsia="仿宋_GB2312" w:cs="仿宋_GB2312"/>
                <w:color w:val="000000" w:themeColor="text1"/>
                <w:sz w:val="24"/>
                <w14:textFill>
                  <w14:solidFill>
                    <w14:schemeClr w14:val="tx1"/>
                  </w14:solidFill>
                </w14:textFill>
              </w:rPr>
              <w:t>规划》</w:t>
            </w:r>
            <w:r>
              <w:rPr>
                <w:rFonts w:hint="eastAsia" w:ascii="仿宋_GB2312" w:hAnsi="仿宋_GB2312" w:eastAsia="仿宋_GB2312" w:cs="仿宋_GB2312"/>
                <w:color w:val="000000" w:themeColor="text1"/>
                <w:sz w:val="24"/>
                <w:lang w:val="en-US" w:eastAsia="zh-CN"/>
                <w14:textFill>
                  <w14:solidFill>
                    <w14:schemeClr w14:val="tx1"/>
                  </w14:solidFill>
                </w14:textFill>
              </w:rPr>
              <w:t>初步成果。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lang w:val="en-US" w:eastAsia="zh-CN"/>
                <w14:textFill>
                  <w14:solidFill>
                    <w14:schemeClr w14:val="tx1"/>
                  </w14:solidFill>
                </w14:textFill>
              </w:rPr>
              <w:t>完成</w:t>
            </w:r>
            <w:r>
              <w:rPr>
                <w:rFonts w:hint="eastAsia" w:ascii="仿宋_GB2312" w:hAnsi="仿宋_GB2312" w:eastAsia="仿宋_GB2312" w:cs="仿宋_GB2312"/>
                <w:color w:val="000000" w:themeColor="text1"/>
                <w:sz w:val="24"/>
                <w14:textFill>
                  <w14:solidFill>
                    <w14:schemeClr w14:val="tx1"/>
                  </w14:solidFill>
                </w14:textFill>
              </w:rPr>
              <w:t>耕地保护</w:t>
            </w:r>
            <w:r>
              <w:rPr>
                <w:rFonts w:hint="eastAsia" w:ascii="仿宋_GB2312" w:hAnsi="仿宋_GB2312" w:eastAsia="仿宋_GB2312" w:cs="仿宋_GB2312"/>
                <w:color w:val="000000" w:themeColor="text1"/>
                <w:sz w:val="24"/>
                <w:lang w:val="en-US" w:eastAsia="zh-CN"/>
                <w14:textFill>
                  <w14:solidFill>
                    <w14:schemeClr w14:val="tx1"/>
                  </w14:solidFill>
                </w14:textFill>
              </w:rPr>
              <w:t>，加强永久基本农田保护，完成了我区永久基本农田核查整改任务，遏制耕地“非农化”、严格管控耕地“非粮化”。强化耕地保护监督管理。</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完成用地保障工作。做好项目用地保障，切实保障了重点建设项目用地需求，做好建设项目规划选址及用地审查工作，有力保障重点项目有序推进，加大新增建设用地报批力度，完成2022年度第二批次土地征收成片开发方案编制，完成2022年度国土变更调查、细化调查、2020年度耕地资源质量分类年度更新、2022年度耕地资源质量分类年度更新、耕地资源质量分类监测，完成岳阳楼区、云溪区2022年度国土变更调查净减少耕地整改补足工作，推进土地确权登记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4：完成国有土地执法监察及土地年度供应工作，完成土地卫片执法监督监察工作，完成禁违治违服务工作。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5：完成基础设施建设。</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6：推动供水主管建设。全年共启动了江一路、江岭东路、环湖路、雷公嘴路、敖家垄路、竹园路、天河路、茅岭路等八条道路的供水主管的建设，其中江一路、江岭东路、环湖路、雷公嘴路四条道路已完成施工，敖家垄路、竹园路、天河路、茅岭路四条道路已完成施工设计图和预算评审，保障了企业用电需求。</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7：协调电力线路建设及迁改：</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电力线路建设：根据新港区基础设施及入驻企业用电需要，全年共启动了江一路、雷公嘴路、攀华项目临时用电供电线路的建设并完成施工，保障了企业用电需求。根据党工委的批示，8月份启动汇川技术电力专线项目建设，10月底建成通电。</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（2）电力线路迁改：完成了110KV巴云德松线（10#－13#杆塔）、攀华项目10KV水泥支线的迁改，及时为天欣项目、攀华项目的建设进行腾地。</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（3）启动了中储粮项目10KV松镇线/松伍线、10KV松港I线、110KV巴云德松线/依松线线等电力线路迁改工作。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8：完成工程监管：</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（1）传达落实上级指示。组织相关监管人员及辖区各参建单位传达党中央及省市关于安全生产相关批示精神。</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（2）开展常态化安全生产检查，每月、每季度均出动进行项目安全生产检查督导，在建项目安全生产形势整体向好，未出现较大及以上安全生产事故。</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（3）项目前期把关，从项目方案设计至初步设计及施工图审查，对项目安全、消防设施严格把关，防止因把关不严造成建筑安全设施硬伤。</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ascii="仿宋_GB2312" w:hAnsi="仿宋_GB2312" w:eastAsia="仿宋_GB2312" w:cs="仿宋_GB2312"/>
                <w:color w:val="000000" w:themeColor="text1"/>
                <w:sz w:val="24"/>
                <w14:textFill>
                  <w14:solidFill>
                    <w14:schemeClr w14:val="tx1"/>
                  </w14:solidFill>
                </w14:textFill>
              </w:rPr>
              <w:t>9</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完成环境治理：</w:t>
            </w:r>
            <w:r>
              <w:rPr>
                <w:rFonts w:hint="default" w:ascii="仿宋_GB2312" w:hAnsi="仿宋_GB2312" w:eastAsia="仿宋_GB2312" w:cs="仿宋_GB2312"/>
                <w:color w:val="000000" w:themeColor="text1"/>
                <w:sz w:val="24"/>
                <w:lang w:val="en-US" w:eastAsia="zh-CN"/>
                <w14:textFill>
                  <w14:solidFill>
                    <w14:schemeClr w14:val="tx1"/>
                  </w14:solidFill>
                </w14:textFill>
              </w:rPr>
              <w:t>针对污水处理厂进水COD浓度偏低问题，</w:t>
            </w:r>
            <w:r>
              <w:rPr>
                <w:rFonts w:hint="eastAsia" w:ascii="仿宋_GB2312" w:hAnsi="仿宋_GB2312" w:eastAsia="仿宋_GB2312" w:cs="仿宋_GB2312"/>
                <w:color w:val="000000" w:themeColor="text1"/>
                <w:sz w:val="24"/>
                <w:lang w:val="en-US" w:eastAsia="zh-CN"/>
                <w14:textFill>
                  <w14:solidFill>
                    <w14:schemeClr w14:val="tx1"/>
                  </w14:solidFill>
                </w14:textFill>
              </w:rPr>
              <w:t>我部</w:t>
            </w:r>
            <w:r>
              <w:rPr>
                <w:rFonts w:hint="default" w:ascii="仿宋_GB2312" w:hAnsi="仿宋_GB2312" w:eastAsia="仿宋_GB2312" w:cs="仿宋_GB2312"/>
                <w:color w:val="000000" w:themeColor="text1"/>
                <w:sz w:val="24"/>
                <w:lang w:val="en-US" w:eastAsia="zh-CN"/>
                <w14:textFill>
                  <w14:solidFill>
                    <w14:schemeClr w14:val="tx1"/>
                  </w14:solidFill>
                </w14:textFill>
              </w:rPr>
              <w:t>对辖区内已建成未移交城管部门的14条污水管网开展全面排查并完成问题整改</w:t>
            </w:r>
            <w:r>
              <w:rPr>
                <w:rFonts w:hint="eastAsia" w:ascii="仿宋_GB2312" w:hAnsi="仿宋_GB2312" w:eastAsia="仿宋_GB2312" w:cs="仿宋_GB2312"/>
                <w:color w:val="000000" w:themeColor="text1"/>
                <w:sz w:val="24"/>
                <w:lang w:val="en-US" w:eastAsia="zh-CN"/>
                <w14:textFill>
                  <w14:solidFill>
                    <w14:schemeClr w14:val="tx1"/>
                  </w14:solidFill>
                </w14:textFill>
              </w:rPr>
              <w:t>，联合生态环保部门排查辖区企业污水排放情况。进一步分析污水处理厂进水浓度偏低问题原因，已取得初步结论。完成了辖区雨污水管网建设及雨污分流整改。持续巩固黑臭水体整治成效，完成象骨港渠日常保洁。完成“夏季攻势”总磷削减项目整改销号工作；完成生态环保部交办入河排污口规范化整治中我区住建领域11个排口排查整治；完成市级督查及市蓝天办反馈工地扬尘问题整改销号工作共6项；完成洞庭清波“污水收集处理尚有差距”问题整改销号；完成第二轮中央环保督查反馈“污水处理厂进水COD浓度偏低”问题阶段性整改任务。</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10：优化住建行政审批工作，完成施工许可证核发，完成施工图审查工作。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11：项目在施工许可阶段涉水行政审批手续办理，包括：取水许可审批，防洪影响审批，生产建设项目水土保持方案审批等。完成建设项目使用林地审批（含临时占用一般用途林地审批）、林木采伐手续办理。按要求实行告知承诺制并建立事中事后监管机制；在区域评估范围内全面推进区域评估成果；完成上级林地疑似图斑督查工作，核查图斑的违法性。</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12：完成人防审批办理。</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13：完成工程领域审批制度改革。</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themeColor="text1"/>
                <w:sz w:val="24"/>
                <w:lang w:val="en-US" w:eastAsia="zh-CN"/>
                <w14:textFill>
                  <w14:solidFill>
                    <w14:schemeClr w14:val="tx1"/>
                  </w14:solidFill>
                </w14:textFill>
              </w:rPr>
              <w:t>14：完成2022年争资争项任务</w:t>
            </w:r>
            <w:r>
              <w:rPr>
                <w:rFonts w:hint="eastAsia" w:ascii="仿宋_GB2312" w:hAnsi="仿宋_GB2312" w:eastAsia="仿宋_GB2312" w:cs="仿宋_GB2312"/>
                <w:color w:val="000000" w:themeColor="text1"/>
                <w:sz w:val="24"/>
                <w14:textFill>
                  <w14:solidFill>
                    <w14:schemeClr w14:val="tx1"/>
                  </w14:solidFill>
                </w14:textFill>
              </w:rPr>
              <w:t>。</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（二）部门（单位）整体支出规模、使用方向和主要内容、涉及范围等</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委会年初工作计划和重点工作，围绕市委、市政府的工作部署，积极履行职责，强化管理，我部圆满完成了年度工作目标。根据部门整体支出合计</w:t>
            </w:r>
            <w:r>
              <w:rPr>
                <w:rFonts w:hint="eastAsia" w:ascii="仿宋_GB2312" w:hAnsi="仿宋_GB2312" w:eastAsia="仿宋_GB2312" w:cs="仿宋_GB2312"/>
                <w:color w:val="000000"/>
                <w:sz w:val="24"/>
                <w:lang w:val="en-US" w:eastAsia="zh-CN"/>
              </w:rPr>
              <w:t>12262</w:t>
            </w:r>
            <w:r>
              <w:rPr>
                <w:rFonts w:hint="eastAsia" w:ascii="仿宋_GB2312" w:hAnsi="仿宋_GB2312" w:eastAsia="仿宋_GB2312" w:cs="仿宋_GB2312"/>
                <w:color w:val="000000"/>
                <w:sz w:val="24"/>
              </w:rPr>
              <w:t>万元，其中项目支出</w:t>
            </w:r>
            <w:r>
              <w:rPr>
                <w:rFonts w:hint="eastAsia" w:ascii="仿宋_GB2312" w:hAnsi="仿宋_GB2312" w:eastAsia="仿宋_GB2312" w:cs="仿宋_GB2312"/>
                <w:color w:val="000000"/>
                <w:sz w:val="24"/>
                <w:lang w:val="en-US" w:eastAsia="zh-CN"/>
              </w:rPr>
              <w:t>11516</w:t>
            </w:r>
            <w:r>
              <w:rPr>
                <w:rFonts w:hint="eastAsia" w:ascii="仿宋_GB2312" w:hAnsi="仿宋_GB2312" w:eastAsia="仿宋_GB2312" w:cs="仿宋_GB2312"/>
                <w:color w:val="000000"/>
                <w:sz w:val="24"/>
              </w:rPr>
              <w:t>万元，基本支出</w:t>
            </w:r>
            <w:r>
              <w:rPr>
                <w:rFonts w:hint="eastAsia" w:ascii="仿宋_GB2312" w:hAnsi="仿宋_GB2312" w:eastAsia="仿宋_GB2312" w:cs="仿宋_GB2312"/>
                <w:color w:val="000000"/>
                <w:sz w:val="24"/>
                <w:lang w:val="en-US" w:eastAsia="zh-CN"/>
              </w:rPr>
              <w:t>746</w:t>
            </w:r>
            <w:r>
              <w:rPr>
                <w:rFonts w:hint="eastAsia" w:ascii="仿宋_GB2312" w:hAnsi="仿宋_GB2312" w:eastAsia="仿宋_GB2312" w:cs="仿宋_GB2312"/>
                <w:color w:val="000000"/>
                <w:sz w:val="24"/>
              </w:rPr>
              <w:t>万元。基本支出中，人员支出</w:t>
            </w:r>
            <w:r>
              <w:rPr>
                <w:rFonts w:hint="eastAsia" w:ascii="仿宋_GB2312" w:hAnsi="仿宋_GB2312" w:eastAsia="仿宋_GB2312" w:cs="仿宋_GB2312"/>
                <w:color w:val="000000"/>
                <w:sz w:val="24"/>
                <w:lang w:val="en-US" w:eastAsia="zh-CN"/>
              </w:rPr>
              <w:t>626</w:t>
            </w:r>
            <w:r>
              <w:rPr>
                <w:rFonts w:hint="eastAsia" w:ascii="仿宋_GB2312" w:hAnsi="仿宋_GB2312" w:eastAsia="仿宋_GB2312" w:cs="仿宋_GB2312"/>
                <w:color w:val="000000"/>
                <w:sz w:val="24"/>
              </w:rPr>
              <w:t>万元，公用支出</w:t>
            </w:r>
            <w:r>
              <w:rPr>
                <w:rFonts w:hint="eastAsia" w:ascii="仿宋_GB2312" w:hAnsi="仿宋_GB2312" w:eastAsia="仿宋_GB2312" w:cs="仿宋_GB2312"/>
                <w:color w:val="000000"/>
                <w:sz w:val="24"/>
                <w:lang w:val="en-US" w:eastAsia="zh-CN"/>
              </w:rPr>
              <w:t>120</w:t>
            </w:r>
            <w:r>
              <w:rPr>
                <w:rFonts w:hint="eastAsia" w:ascii="仿宋_GB2312" w:hAnsi="仿宋_GB2312" w:eastAsia="仿宋_GB2312" w:cs="仿宋_GB2312"/>
                <w:color w:val="000000"/>
                <w:sz w:val="24"/>
              </w:rPr>
              <w:t>万元。</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（一）基本支出</w:t>
            </w:r>
          </w:p>
          <w:p>
            <w:pPr>
              <w:autoSpaceDN w:val="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基本支出用于保障单位各科室正常运转、完成日常工作任务而发生支出，包括人员经费和日常公用经费。部门基本支出</w:t>
            </w:r>
            <w:r>
              <w:rPr>
                <w:rFonts w:hint="eastAsia" w:ascii="仿宋_GB2312" w:hAnsi="仿宋_GB2312" w:eastAsia="仿宋_GB2312" w:cs="仿宋_GB2312"/>
                <w:color w:val="000000"/>
                <w:sz w:val="24"/>
                <w:lang w:val="en-US" w:eastAsia="zh-CN"/>
              </w:rPr>
              <w:t>746</w:t>
            </w:r>
            <w:r>
              <w:rPr>
                <w:rFonts w:hint="eastAsia" w:ascii="仿宋_GB2312" w:hAnsi="仿宋_GB2312" w:eastAsia="仿宋_GB2312" w:cs="仿宋_GB2312"/>
                <w:color w:val="000000"/>
                <w:sz w:val="24"/>
              </w:rPr>
              <w:t>万元，其中人员支出</w:t>
            </w:r>
            <w:r>
              <w:rPr>
                <w:rFonts w:hint="eastAsia" w:ascii="仿宋_GB2312" w:hAnsi="仿宋_GB2312" w:eastAsia="仿宋_GB2312" w:cs="仿宋_GB2312"/>
                <w:color w:val="000000"/>
                <w:sz w:val="24"/>
                <w:lang w:val="en-US" w:eastAsia="zh-CN"/>
              </w:rPr>
              <w:t>626</w:t>
            </w:r>
            <w:r>
              <w:rPr>
                <w:rFonts w:hint="eastAsia" w:ascii="仿宋_GB2312" w:hAnsi="仿宋_GB2312" w:eastAsia="仿宋_GB2312" w:cs="仿宋_GB2312"/>
                <w:color w:val="000000"/>
                <w:sz w:val="24"/>
              </w:rPr>
              <w:t>万元，公用支出</w:t>
            </w:r>
            <w:r>
              <w:rPr>
                <w:rFonts w:hint="eastAsia" w:ascii="仿宋_GB2312" w:hAnsi="仿宋_GB2312" w:eastAsia="仿宋_GB2312" w:cs="仿宋_GB2312"/>
                <w:color w:val="000000"/>
                <w:sz w:val="24"/>
                <w:lang w:val="en-US" w:eastAsia="zh-CN"/>
              </w:rPr>
              <w:t>120</w:t>
            </w:r>
            <w:r>
              <w:rPr>
                <w:rFonts w:hint="eastAsia" w:ascii="仿宋_GB2312" w:hAnsi="仿宋_GB2312" w:eastAsia="仿宋_GB2312" w:cs="仿宋_GB2312"/>
                <w:color w:val="000000"/>
                <w:sz w:val="24"/>
              </w:rPr>
              <w:t>万元。</w:t>
            </w:r>
          </w:p>
          <w:p>
            <w:pPr>
              <w:autoSpaceDN w:val="0"/>
              <w:jc w:val="left"/>
              <w:textAlignment w:val="center"/>
              <w:rPr>
                <w:rFonts w:hint="eastAsia" w:ascii="仿宋_GB2312" w:hAnsi="仿宋_GB2312" w:eastAsia="仿宋_GB2312" w:cs="仿宋_GB2312"/>
                <w:color w:val="000000"/>
                <w:sz w:val="24"/>
              </w:rPr>
            </w:pPr>
          </w:p>
          <w:p>
            <w:pPr>
              <w:autoSpaceDN w:val="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（二）专项支出</w:t>
            </w:r>
          </w:p>
          <w:p>
            <w:pPr>
              <w:autoSpaceDN w:val="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1、专项资金安排落实、总投入等情况分析</w:t>
            </w:r>
          </w:p>
          <w:p>
            <w:pPr>
              <w:autoSpaceDN w:val="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2022</w:t>
            </w:r>
            <w:r>
              <w:rPr>
                <w:rFonts w:hint="eastAsia" w:ascii="仿宋_GB2312" w:hAnsi="仿宋_GB2312" w:eastAsia="仿宋_GB2312" w:cs="仿宋_GB2312"/>
                <w:color w:val="000000"/>
                <w:sz w:val="24"/>
              </w:rPr>
              <w:t>年年初预算批复的项目支出为</w:t>
            </w:r>
            <w:r>
              <w:rPr>
                <w:rFonts w:hint="eastAsia" w:ascii="仿宋_GB2312" w:hAnsi="仿宋_GB2312" w:eastAsia="仿宋_GB2312" w:cs="仿宋_GB2312"/>
                <w:color w:val="000000"/>
                <w:sz w:val="24"/>
                <w:lang w:val="en-US" w:eastAsia="zh-CN"/>
              </w:rPr>
              <w:t>11516</w:t>
            </w:r>
            <w:r>
              <w:rPr>
                <w:rFonts w:hint="eastAsia" w:ascii="仿宋_GB2312" w:hAnsi="仿宋_GB2312" w:eastAsia="仿宋_GB2312" w:cs="仿宋_GB2312"/>
                <w:color w:val="000000"/>
                <w:sz w:val="24"/>
              </w:rPr>
              <w:t>万元，实际决算支出</w:t>
            </w:r>
            <w:r>
              <w:rPr>
                <w:rFonts w:hint="eastAsia" w:ascii="仿宋_GB2312" w:hAnsi="仿宋_GB2312" w:eastAsia="仿宋_GB2312" w:cs="仿宋_GB2312"/>
                <w:color w:val="FF0000"/>
                <w:sz w:val="24"/>
                <w:lang w:val="en-US" w:eastAsia="zh-CN"/>
              </w:rPr>
              <w:t>11516</w:t>
            </w:r>
            <w:r>
              <w:rPr>
                <w:rFonts w:hint="eastAsia" w:ascii="仿宋_GB2312" w:hAnsi="仿宋_GB2312" w:eastAsia="仿宋_GB2312" w:cs="仿宋_GB2312"/>
                <w:color w:val="000000"/>
                <w:sz w:val="24"/>
              </w:rPr>
              <w:t>万元</w:t>
            </w:r>
          </w:p>
          <w:p>
            <w:pPr>
              <w:autoSpaceDN w:val="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2、专项资金实际使用情况分析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3、专项资金管理情况分析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三、部门（单位）专项组织实施情况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（一）专项组织情况分析</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（二）专项管理情况分析</w:t>
            </w:r>
          </w:p>
          <w:p>
            <w:pPr>
              <w:autoSpaceDN w:val="0"/>
              <w:jc w:val="left"/>
              <w:textAlignment w:val="center"/>
              <w:rPr>
                <w:rFonts w:ascii="仿宋_GB2312" w:hAnsi="仿宋_GB2312" w:eastAsia="仿宋_GB2312" w:cs="仿宋_GB2312"/>
                <w:bCs/>
                <w:sz w:val="28"/>
                <w:szCs w:val="28"/>
              </w:rPr>
            </w:pPr>
            <w:r>
              <w:rPr>
                <w:rFonts w:hint="eastAsia" w:ascii="仿宋_GB2312" w:hAnsi="仿宋_GB2312" w:eastAsia="仿宋_GB2312" w:cs="仿宋_GB2312"/>
                <w:color w:val="000000"/>
                <w:sz w:val="24"/>
              </w:rPr>
              <w:t>按规定发布奖补申报通知，公开预决算信息；按规定时限公开预决算信息；已制定或具有预算资金管理办法，内部财务管理制度、会计核算制度等管理制度；相关管理制度合法、合规、完整；相关管理制度得到有效执行</w:t>
            </w:r>
            <w:r>
              <w:rPr>
                <w:rFonts w:hint="eastAsia" w:ascii="仿宋_GB2312" w:hAnsi="仿宋_GB2312" w:eastAsia="仿宋_GB2312" w:cs="仿宋_GB2312"/>
                <w:bCs/>
                <w:sz w:val="28"/>
                <w:szCs w:val="28"/>
              </w:rPr>
              <w:t>。</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根据自评绩效评分细则，我部严格执行预算管理，防止各种违反财经纪律的行为、保障重点、量入为出、收支平衡的原则，提高资金使用效益。并完成了以下任务：</w:t>
            </w:r>
          </w:p>
          <w:p>
            <w:pPr>
              <w:autoSpaceDN w:val="0"/>
              <w:jc w:val="left"/>
              <w:textAlignment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任务1：</w:t>
            </w:r>
            <w:r>
              <w:rPr>
                <w:rFonts w:hint="eastAsia" w:ascii="仿宋_GB2312" w:hAnsi="仿宋_GB2312" w:eastAsia="仿宋_GB2312" w:cs="仿宋_GB2312"/>
                <w:color w:val="000000" w:themeColor="text1"/>
                <w:sz w:val="24"/>
                <w:lang w:val="en-US" w:eastAsia="zh-CN"/>
                <w14:textFill>
                  <w14:solidFill>
                    <w14:schemeClr w14:val="tx1"/>
                  </w14:solidFill>
                </w14:textFill>
              </w:rPr>
              <w:t>完成城乡规划编制服务：</w:t>
            </w:r>
            <w:r>
              <w:rPr>
                <w:rFonts w:hint="eastAsia" w:ascii="仿宋_GB2312" w:hAnsi="仿宋_GB2312" w:eastAsia="仿宋_GB2312" w:cs="仿宋_GB2312"/>
                <w:color w:val="000000" w:themeColor="text1"/>
                <w:sz w:val="24"/>
                <w14:textFill>
                  <w14:solidFill>
                    <w14:schemeClr w14:val="tx1"/>
                  </w14:solidFill>
                </w14:textFill>
              </w:rPr>
              <w:t>完成松阳湖南侧自贸区产业学院和兴港路以北科技创新产业园项目土地利用总体规划向省厅追加城镇建设用地指标约76公顷（1140亩）的任务。根据全省统筹划定 “三区三线”工作视频会议精神和全市国土空间规划“三区三线”划定工作</w:t>
            </w:r>
            <w:r>
              <w:rPr>
                <w:rFonts w:hint="eastAsia" w:ascii="仿宋_GB2312" w:hAnsi="仿宋_GB2312" w:eastAsia="仿宋_GB2312" w:cs="仿宋_GB2312"/>
                <w:color w:val="000000" w:themeColor="text1"/>
                <w:sz w:val="24"/>
                <w:lang w:val="en-US" w:eastAsia="zh-CN"/>
                <w14:textFill>
                  <w14:solidFill>
                    <w14:schemeClr w14:val="tx1"/>
                  </w14:solidFill>
                </w14:textFill>
              </w:rPr>
              <w:t>要求</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并</w:t>
            </w:r>
            <w:r>
              <w:rPr>
                <w:rFonts w:hint="eastAsia" w:ascii="仿宋_GB2312" w:hAnsi="仿宋_GB2312" w:eastAsia="仿宋_GB2312" w:cs="仿宋_GB2312"/>
                <w:color w:val="000000" w:themeColor="text1"/>
                <w:sz w:val="24"/>
                <w14:textFill>
                  <w14:solidFill>
                    <w14:schemeClr w14:val="tx1"/>
                  </w14:solidFill>
                </w14:textFill>
              </w:rPr>
              <w:t>结合</w:t>
            </w:r>
            <w:r>
              <w:rPr>
                <w:rFonts w:hint="eastAsia" w:ascii="仿宋_GB2312" w:hAnsi="仿宋_GB2312" w:eastAsia="仿宋_GB2312" w:cs="仿宋_GB2312"/>
                <w:color w:val="000000" w:themeColor="text1"/>
                <w:sz w:val="24"/>
                <w:lang w:val="en-US" w:eastAsia="zh-CN"/>
                <w14:textFill>
                  <w14:solidFill>
                    <w14:schemeClr w14:val="tx1"/>
                  </w14:solidFill>
                </w14:textFill>
              </w:rPr>
              <w:t>港区</w:t>
            </w:r>
            <w:r>
              <w:rPr>
                <w:rFonts w:hint="eastAsia" w:ascii="仿宋_GB2312" w:hAnsi="仿宋_GB2312" w:eastAsia="仿宋_GB2312" w:cs="仿宋_GB2312"/>
                <w:color w:val="000000" w:themeColor="text1"/>
                <w:sz w:val="24"/>
                <w14:textFill>
                  <w14:solidFill>
                    <w14:schemeClr w14:val="tx1"/>
                  </w14:solidFill>
                </w14:textFill>
              </w:rPr>
              <w:t>调区扩区方案</w:t>
            </w:r>
            <w:r>
              <w:rPr>
                <w:rFonts w:hint="eastAsia" w:ascii="仿宋_GB2312" w:hAnsi="仿宋_GB2312" w:eastAsia="仿宋_GB2312" w:cs="仿宋_GB2312"/>
                <w:color w:val="000000" w:themeColor="text1"/>
                <w:sz w:val="24"/>
                <w:lang w:val="en-US" w:eastAsia="zh-CN"/>
                <w14:textFill>
                  <w14:solidFill>
                    <w14:schemeClr w14:val="tx1"/>
                  </w14:solidFill>
                </w14:textFill>
              </w:rPr>
              <w:t>完成了我区</w:t>
            </w:r>
            <w:r>
              <w:rPr>
                <w:rFonts w:hint="eastAsia" w:ascii="仿宋_GB2312" w:hAnsi="仿宋_GB2312" w:eastAsia="仿宋_GB2312" w:cs="仿宋_GB2312"/>
                <w:color w:val="000000" w:themeColor="text1"/>
                <w:sz w:val="24"/>
                <w14:textFill>
                  <w14:solidFill>
                    <w14:schemeClr w14:val="tx1"/>
                  </w14:solidFill>
                </w14:textFill>
              </w:rPr>
              <w:t>的“三区三线”划定工作</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已获自然资源部批复</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完成我区69平方公里范围内42.17平方公里城镇开发边界划定，在我区现状基数28.79平方公里上增加13.38平方公里允许建设范围。（新增范围格石岭山东侧3.59平方公里，170国道以西芭蕉湖以东3.62平方公里）。</w:t>
            </w:r>
            <w:r>
              <w:rPr>
                <w:rFonts w:hint="eastAsia" w:ascii="仿宋_GB2312" w:hAnsi="仿宋_GB2312" w:eastAsia="仿宋_GB2312" w:cs="仿宋_GB2312"/>
                <w:color w:val="000000" w:themeColor="text1"/>
                <w:sz w:val="24"/>
                <w14:textFill>
                  <w14:solidFill>
                    <w14:schemeClr w14:val="tx1"/>
                  </w14:solidFill>
                </w14:textFill>
              </w:rPr>
              <w:t>完成《云溪滨湖村村庄振兴规划》</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《新港区电力专项规划》、《湖南城陵矶新港区人行过街设施专项规划（2022-2035）》等专项规划，《新港区生态修复专项规划暨山水林田湖草综合治理规划》、</w:t>
            </w:r>
            <w:r>
              <w:rPr>
                <w:rFonts w:hint="eastAsia" w:ascii="仿宋_GB2312" w:hAnsi="仿宋_GB2312" w:eastAsia="仿宋_GB2312" w:cs="仿宋_GB2312"/>
                <w:color w:val="000000" w:themeColor="text1"/>
                <w:sz w:val="24"/>
                <w14:textFill>
                  <w14:solidFill>
                    <w14:schemeClr w14:val="tx1"/>
                  </w14:solidFill>
                </w14:textFill>
              </w:rPr>
              <w:t>《湖南城陵矶新港区产业用地</w:t>
            </w:r>
            <w:r>
              <w:rPr>
                <w:rFonts w:hint="eastAsia" w:ascii="仿宋_GB2312" w:hAnsi="仿宋_GB2312" w:eastAsia="仿宋_GB2312" w:cs="仿宋_GB2312"/>
                <w:color w:val="000000" w:themeColor="text1"/>
                <w:sz w:val="24"/>
                <w:lang w:val="en-US" w:eastAsia="zh-CN"/>
                <w14:textFill>
                  <w14:solidFill>
                    <w14:schemeClr w14:val="tx1"/>
                  </w14:solidFill>
                </w14:textFill>
              </w:rPr>
              <w:t>调整</w:t>
            </w:r>
            <w:r>
              <w:rPr>
                <w:rFonts w:hint="eastAsia" w:ascii="仿宋_GB2312" w:hAnsi="仿宋_GB2312" w:eastAsia="仿宋_GB2312" w:cs="仿宋_GB2312"/>
                <w:color w:val="000000" w:themeColor="text1"/>
                <w:sz w:val="24"/>
                <w14:textFill>
                  <w14:solidFill>
                    <w14:schemeClr w14:val="tx1"/>
                  </w14:solidFill>
                </w14:textFill>
              </w:rPr>
              <w:t>规划》</w:t>
            </w:r>
            <w:r>
              <w:rPr>
                <w:rFonts w:hint="eastAsia" w:ascii="仿宋_GB2312" w:hAnsi="仿宋_GB2312" w:eastAsia="仿宋_GB2312" w:cs="仿宋_GB2312"/>
                <w:color w:val="000000" w:themeColor="text1"/>
                <w:sz w:val="24"/>
                <w:lang w:val="en-US" w:eastAsia="zh-CN"/>
                <w14:textFill>
                  <w14:solidFill>
                    <w14:schemeClr w14:val="tx1"/>
                  </w14:solidFill>
                </w14:textFill>
              </w:rPr>
              <w:t>初步成果。落实水利部门河湖划界矢量数据，确定</w:t>
            </w:r>
            <w:r>
              <w:rPr>
                <w:rFonts w:hint="eastAsia" w:ascii="仿宋_GB2312" w:hAnsi="仿宋_GB2312" w:eastAsia="仿宋_GB2312" w:cs="仿宋_GB2312"/>
                <w:color w:val="000000" w:themeColor="text1"/>
                <w:sz w:val="24"/>
                <w14:textFill>
                  <w14:solidFill>
                    <w14:schemeClr w14:val="tx1"/>
                  </w14:solidFill>
                </w14:textFill>
              </w:rPr>
              <w:t>新港区与河湖界线冲突</w:t>
            </w:r>
            <w:r>
              <w:rPr>
                <w:rFonts w:hint="eastAsia" w:ascii="仿宋_GB2312" w:hAnsi="仿宋_GB2312" w:eastAsia="仿宋_GB2312" w:cs="仿宋_GB2312"/>
                <w:color w:val="000000" w:themeColor="text1"/>
                <w:sz w:val="24"/>
                <w:lang w:val="en-US" w:eastAsia="zh-CN"/>
                <w14:textFill>
                  <w14:solidFill>
                    <w14:schemeClr w14:val="tx1"/>
                  </w14:solidFill>
                </w14:textFill>
              </w:rPr>
              <w:t>面积和项目。</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任务2：耕地保护坚实</w:t>
            </w:r>
            <w:r>
              <w:rPr>
                <w:rFonts w:hint="eastAsia" w:ascii="仿宋_GB2312" w:hAnsi="仿宋_GB2312" w:eastAsia="仿宋_GB2312" w:cs="仿宋_GB2312"/>
                <w:color w:val="000000" w:themeColor="text1"/>
                <w:sz w:val="24"/>
                <w:lang w:val="en-US" w:eastAsia="zh-CN"/>
                <w14:textFill>
                  <w14:solidFill>
                    <w14:schemeClr w14:val="tx1"/>
                  </w14:solidFill>
                </w14:textFill>
              </w:rPr>
              <w:t>夯基</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val="en-US" w:eastAsia="zh-CN"/>
                <w14:textFill>
                  <w14:solidFill>
                    <w14:schemeClr w14:val="tx1"/>
                  </w14:solidFill>
                </w14:textFill>
              </w:rPr>
              <w:t>一是全面配合云溪区、岳阳楼区落实“田长制”，实现监管网格化。全面构建乡村两级“田长制”责任制度，初步形成横向到边、纵向到底，全覆盖无死角的耕地保护新机制。二是加强永久基本农田保护。根据部、省、市永久基本农田核查</w: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24"/>
                <w:lang w:val="en-US" w:eastAsia="zh-CN"/>
                <w14:textFill>
                  <w14:solidFill>
                    <w14:schemeClr w14:val="tx1"/>
                  </w14:solidFill>
                </w14:textFill>
              </w:rPr>
              <w:instrText xml:space="preserve"> HYPERLINK "http://www.mswk.cn/Article/Special/zhenggai/Index.html" \t "http://www.mswk.cn/Article/_blank" </w:instrTex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separate"/>
            </w:r>
            <w:r>
              <w:rPr>
                <w:rFonts w:hint="eastAsia" w:ascii="仿宋_GB2312" w:hAnsi="仿宋_GB2312" w:eastAsia="仿宋_GB2312" w:cs="仿宋_GB2312"/>
                <w:color w:val="000000" w:themeColor="text1"/>
                <w:sz w:val="24"/>
                <w:lang w:val="en-US" w:eastAsia="zh-CN"/>
                <w14:textFill>
                  <w14:solidFill>
                    <w14:schemeClr w14:val="tx1"/>
                  </w14:solidFill>
                </w14:textFill>
              </w:rPr>
              <w:t>整改</w:t>
            </w:r>
            <w:r>
              <w:rPr>
                <w:rFonts w:hint="eastAsia" w:ascii="仿宋_GB2312" w:hAnsi="仿宋_GB2312" w:eastAsia="仿宋_GB2312" w:cs="仿宋_GB2312"/>
                <w:color w:val="000000" w:themeColor="text1"/>
                <w:sz w:val="24"/>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24"/>
                <w:lang w:val="en-US" w:eastAsia="zh-CN"/>
                <w14:textFill>
                  <w14:solidFill>
                    <w14:schemeClr w14:val="tx1"/>
                  </w14:solidFill>
                </w14:textFill>
              </w:rPr>
              <w:t>工作部署，按时完成了我区永久基本农田核查整改任务。三是坚决遏制耕地“非农化”、严格管控耕地“非粮化”。强化耕地保护监督管理，落实耕地非农化“六个严禁”要求，严格耕地占补平衡，确保长期稳定利用的耕地总量不再减少。四是杜绝农村乱占耕地建房新增问题发生。严格落实农村建房“八不准”要求，加强日常巡查监管，落实建房“四到场”程序，强化源头管理，做到“早发现、早制止、严查处”，实行乱占耕地建房新增问题零容忍，上半年无农村乱占耕地建房。</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3：用地保障坚定落实。一是做好项目用地保障。争取了省自然资源厅支持，追加我区城镇建设用地指标约76公顷（1140亩），同意将中国（湖南）自由贸易试验区岳阳片区农用地转用呈报件直报。切实保障了重点建设项目用地需求。二是认真做好建设项目规划选址及用地审查工作，有力保障重点项目有序推进。三是加大新增建设用地报批力度。今年以来审核建设用地报批项目18个，已拿回建设用地项目审批单4个，批准面积659.01亩，涉及产业学院、EOD、芭蕉湖景观带项目——绿地与广场用地等建设项目，4个项目均一次性通过省厅用地审查。四是完成了2022年度第二批次土地征收成片开发方案编制。临时用地管理情况摸底和临时建设规划管理情况调查摸底等工作。五是完成了2022年度国土变更调查、细化调查、2020年度耕地资源质量分类年度更新、2022年度耕地资源质量分类年度更新、耕地资源质量分类监测。完成了岳阳楼区、云溪区2022年度国土变更调查净减少耕地整改补足工作，就地整改任务和一般整改任务共计690.61亩，卫星监测耕地监测图斑累计完成65个。六是全力推进土地确权登记工作。完成了兆金财汇、湖南岳阳新港110KV输变电项目、六九O六公租房等项目九十六宗土地的确权登记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4：完成国有土地执法监察及土地年度供应工作，完成土地卫片执法监督监察工作，完成禁违治违服务工作：完成了13宗土地出让，共计面积1101.44亩，出让收入104705万元；完成了6宗协议出让，共计面积34.27亩，出让收入767万元；完成了划拨供地23宗，共计面积583.11亩；处置了批而未供面积1804.1亩，处置比例34.58％；处置了25宗闲置土地，共计面积2601.68亩，处置比例67.91％；处置了园区批而未供，高新区面积135亩，处置比例80.5％；处置了园区闲置土地，其中高新区1宗，面积110.56亩，处置比例83.56％，综保区1宗，面积80.12亩，处置比例100％；处置了低效土地，其中高新区6宗，面积571.35亩，处置比例48.36％，综保区1宗，面积30.4亩，处置比例18.73％；完成了卫片图斑举证销号326个，完成违法图斑整改28个；立案查处1宗，面积为0.4亩。</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5：推进市政基础设施建设。全年完成天河路、敖家垄路、竹园路和茅岭东路四条道路验收工作；东干渠排水及辅道工程、西干渠疏浚及擂鼓台区域水系综合治理（雨水）、环白杨湖综合环境整治与生态修复建设项目等七个续建项目按照目标正常推进，其中江济中路及电力管廊项目已达到通车条件；根据党工委部署，启动了象骨港前池开挖一期项目、凌泊湖220KV变电站10KV出线电力走廊工程、新港区环湖路-长江大道北段污水干管项目及东欣路及东风大道工程项目四个新建项目施工以及擂鼓台路、沿江路提质改造、格堤路、华港路等项目的前期设计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6：推动供水主管建设。全年共启动了江一路、江岭东路、环湖路、雷公嘴路、敖家垄路、竹园路、天河路、茅岭路等八条道路的供水主管的建设，其中江一路、江岭东路、环湖路、雷公嘴路四条道路已完成施工，敖家垄路、竹园路、天河路、茅岭路四条道路已完成施工设计图和预算评审，保障了企业用电需求。</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任务7：协调电力线路建设及迁改：</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电力线路建设：根据新港区基础设施及入驻企业用电需要，全年共启动了江一路、雷公嘴路、攀华项目临时用电供电线路的建设并完成施工，保障了企业用电需求。根据党工委的批示，8月份启动汇川技术电力专线项目建设，10月底建成通电。</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（2）电力线路迁改：完成了110KV巴云德松线（10#－13#杆塔）、攀华项目10KV水泥支线的迁改，及时为天欣项目、攀华项目的建设进行腾地。</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（3）启动了中储粮项目10KV松镇线/松伍线、10KV松港I线、110KV巴云德松线/依松线线等电力线路迁改工作。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任务8：完成工程监管：</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（1）传达落实上级指示。组织相关监管人员及辖区各参建单位传达党中央及省市关于安全生产相关批示精神。</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（2）开展常态化安全生产检查，每月、每季度均出动进行项目安全生产检查督导，在建项目安全生产形势整体向好，未出现较大及以上安全生产事故。</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（3）项目前期把关，从项目方案设计至初步设计及施工图审查，对项目安全、消防设施严格把关，防止因把关不严造成建筑安全设施硬伤。</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任务9：完成环境治理：</w:t>
            </w:r>
            <w:r>
              <w:rPr>
                <w:rFonts w:hint="default" w:ascii="仿宋_GB2312" w:hAnsi="仿宋_GB2312" w:eastAsia="仿宋_GB2312" w:cs="仿宋_GB2312"/>
                <w:color w:val="000000" w:themeColor="text1"/>
                <w:sz w:val="24"/>
                <w:lang w:val="en-US" w:eastAsia="zh-CN"/>
                <w14:textFill>
                  <w14:solidFill>
                    <w14:schemeClr w14:val="tx1"/>
                  </w14:solidFill>
                </w14:textFill>
              </w:rPr>
              <w:t>针对污水处理厂进水COD浓度偏低问题，</w:t>
            </w:r>
            <w:r>
              <w:rPr>
                <w:rFonts w:hint="eastAsia" w:ascii="仿宋_GB2312" w:hAnsi="仿宋_GB2312" w:eastAsia="仿宋_GB2312" w:cs="仿宋_GB2312"/>
                <w:color w:val="000000" w:themeColor="text1"/>
                <w:sz w:val="24"/>
                <w:lang w:val="en-US" w:eastAsia="zh-CN"/>
                <w14:textFill>
                  <w14:solidFill>
                    <w14:schemeClr w14:val="tx1"/>
                  </w14:solidFill>
                </w14:textFill>
              </w:rPr>
              <w:t>我部</w:t>
            </w:r>
            <w:r>
              <w:rPr>
                <w:rFonts w:hint="default" w:ascii="仿宋_GB2312" w:hAnsi="仿宋_GB2312" w:eastAsia="仿宋_GB2312" w:cs="仿宋_GB2312"/>
                <w:color w:val="000000" w:themeColor="text1"/>
                <w:sz w:val="24"/>
                <w:lang w:val="en-US" w:eastAsia="zh-CN"/>
                <w14:textFill>
                  <w14:solidFill>
                    <w14:schemeClr w14:val="tx1"/>
                  </w14:solidFill>
                </w14:textFill>
              </w:rPr>
              <w:t>对辖区内已建成未移交城管部门的14条污水管网开展全面排查并完成问题整改</w:t>
            </w:r>
            <w:r>
              <w:rPr>
                <w:rFonts w:hint="eastAsia" w:ascii="仿宋_GB2312" w:hAnsi="仿宋_GB2312" w:eastAsia="仿宋_GB2312" w:cs="仿宋_GB2312"/>
                <w:color w:val="000000" w:themeColor="text1"/>
                <w:sz w:val="24"/>
                <w:lang w:val="en-US" w:eastAsia="zh-CN"/>
                <w14:textFill>
                  <w14:solidFill>
                    <w14:schemeClr w14:val="tx1"/>
                  </w14:solidFill>
                </w14:textFill>
              </w:rPr>
              <w:t>，联合生态环保部门排查辖区企业污水排放情况。进一步分析污水处理厂进水浓度偏低问题原因，已取得初步结论。完成了辖区雨污水管网建设及雨污分流整改。持续巩固黑臭水体整治成效，完成象骨港渠日常保洁。完成“夏季攻势”总磷削减项目整改销号工作；完成生态环保部交办入河排污口规范化整治中我区住建领域11个排口排查整治；完成市级督查及市蓝天办反馈工地扬尘问题整改销号工作共6项；完成洞庭清波“污水收集处理尚有差距”问题整改销号；完成第二轮中央环保督查反馈“污水处理厂进水COD浓度偏低”问题阶段性整改任务。</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任务10：优化住建行政审批工作：</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施工许可证核发：共核发岳阳自贸片区数字经济产业综合体建设项目B、D地块、多式联运二期项目、广德亿盛铁芯冲压项目等33个项目的施工许可证，其中房建项目30个，市政基础设施项目3个（生态廊道项目、江岭东路、茅岭东路）。工程造价累计约32.2亿元，建筑面积累计约114.3万平米。解决处理了郡华学校、上海大众4S店、谭家湖小区、凌泊湖小区五期等一批遗留项目的施工许可证的核发。</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施工图审查：共办结岳阳自贸片区数字经济产业综合体建设项目、中央储备粮岳阳直属库有限公司粮食现代物流项目、多式联运二期项目、汇川工业电机及相关产品基地建设项目一标段、二标段、阿波罗酒店等35个项目施工图审查工作。完成岳阳自贸片区数字经济产业综合体建设项目A、B、C、D地块“两设合一、两审合一”审查遴选。</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11：完成水利林业行政管理：（1）优化行政审批：完成了包括中国（湖南）自由贸易试验区岳阳片区2022年第一批次建设用地等5项新港区重大建设项目用地林地报批审批，4项临时使用林地审批。完成水行政审批中重大建设项目涉水部分防洪影响评价报告5项，批复水土保持方案30项，攀华项目取水审批1项。</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压实责任，落实违法图斑整改销号。完成了国家林业和草原局贵阳专员办关于湖南省2022年打击破坏林草资源图斑督查核查，共计6个图斑销号和1个图斑的整治整改工作。完成了国家林业和草原局下发森林督查96个林地图班的外业调查核实销号。核查了关于中央审计署移交的涉嫌非法围湖问题及全市河湖“清四乱”问题图斑共计5处，其中销号4处，联合市水利局查处整改1处，完成新港区2022年度遥感监管疑似违法违规扰动图斑核查整改销号共计78处，为新港区全力发展建设保驾护航。。</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任务12：完成人防审批办理：</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（1）人防审批：共完成EOD项目、岳阳新兴产业园建设项目装备制造改装基地（一期）等22个项目的人防审批手续，共收取易地建设费约282.92万元，共批建人防工程面积约为2.4万平米。</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（2）人防工程验收：完成了凌泊湖六期、恒泰雅园三期二批次、新金宝商业街三个项目的结建人防工程的验收。</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任务13：完成工程领域审批制度改革：</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（1）全面推行“拿地即开工”改革。</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截至目前，我区已7个项目启动了“拿地即开工”，其中广德亿盛等4个项目已成功实现。</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（2）率先推行工程建设项目“两设合一”、“两审合一”改革。</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目前我区已累计有4个项目实现了“两设合一、两审合一”。</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任务14：完成2022年争资争项任务。1、我部作为业主的城陵矶新港区5G电子信息产业园配套设施建设项目共成功发债5亿元。</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2、成功申报了第二批海绵城市建设专项资金，实际分配700万元。</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w:t>
            </w:r>
            <w:r>
              <w:rPr>
                <w:rFonts w:hint="default" w:ascii="仿宋_GB2312" w:hAnsi="仿宋_GB2312" w:eastAsia="仿宋_GB2312" w:cs="仿宋_GB2312"/>
                <w:color w:val="000000" w:themeColor="text1"/>
                <w:sz w:val="24"/>
                <w:lang w:val="en-US" w:eastAsia="zh-CN"/>
                <w14:textFill>
                  <w14:solidFill>
                    <w14:schemeClr w14:val="tx1"/>
                  </w14:solidFill>
                </w14:textFill>
              </w:rPr>
              <w:t>象骨港电排配套渠系治理工程</w:t>
            </w:r>
            <w:r>
              <w:rPr>
                <w:rFonts w:hint="eastAsia" w:ascii="仿宋_GB2312" w:hAnsi="仿宋_GB2312" w:eastAsia="仿宋_GB2312" w:cs="仿宋_GB2312"/>
                <w:color w:val="000000" w:themeColor="text1"/>
                <w:sz w:val="24"/>
                <w:lang w:val="en-US" w:eastAsia="zh-CN"/>
                <w14:textFill>
                  <w14:solidFill>
                    <w14:schemeClr w14:val="tx1"/>
                  </w14:solidFill>
                </w14:textFill>
              </w:rPr>
              <w:t>成功纳入《湖南省洞庭湖区重点区域排涝能力建设“十四五”实施方案》，获批中央预算资金734万元，获批省级配套资金312万元。</w:t>
            </w:r>
          </w:p>
          <w:p>
            <w:pPr>
              <w:autoSpaceDN w:val="0"/>
              <w:jc w:val="left"/>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4、经与市中心城区水环境综合治理PPP项目建设指挥部积极对接，我区范围</w:t>
            </w:r>
            <w:r>
              <w:rPr>
                <w:rFonts w:hint="default" w:ascii="仿宋_GB2312" w:hAnsi="仿宋_GB2312" w:eastAsia="仿宋_GB2312" w:cs="仿宋_GB2312"/>
                <w:color w:val="000000" w:themeColor="text1"/>
                <w:sz w:val="24"/>
                <w:lang w:val="en-US" w:eastAsia="zh-CN"/>
                <w14:textFill>
                  <w14:solidFill>
                    <w14:schemeClr w14:val="tx1"/>
                  </w14:solidFill>
                </w14:textFill>
              </w:rPr>
              <w:t>内13个管网建设及雨污分流整改项目</w:t>
            </w:r>
            <w:r>
              <w:rPr>
                <w:rFonts w:hint="eastAsia" w:ascii="仿宋_GB2312" w:hAnsi="仿宋_GB2312" w:eastAsia="仿宋_GB2312" w:cs="仿宋_GB2312"/>
                <w:color w:val="000000" w:themeColor="text1"/>
                <w:sz w:val="24"/>
                <w:lang w:val="en-US" w:eastAsia="zh-CN"/>
                <w14:textFill>
                  <w14:solidFill>
                    <w14:schemeClr w14:val="tx1"/>
                  </w14:solidFill>
                </w14:textFill>
              </w:rPr>
              <w:t>（累计</w:t>
            </w:r>
            <w:r>
              <w:rPr>
                <w:rFonts w:hint="default" w:ascii="仿宋_GB2312" w:hAnsi="仿宋_GB2312" w:eastAsia="仿宋_GB2312" w:cs="仿宋_GB2312"/>
                <w:color w:val="000000" w:themeColor="text1"/>
                <w:sz w:val="24"/>
                <w:lang w:val="en-US" w:eastAsia="zh-CN"/>
                <w14:textFill>
                  <w14:solidFill>
                    <w14:schemeClr w14:val="tx1"/>
                  </w14:solidFill>
                </w14:textFill>
              </w:rPr>
              <w:t>投资</w:t>
            </w:r>
            <w:r>
              <w:rPr>
                <w:rFonts w:hint="eastAsia" w:ascii="仿宋_GB2312" w:hAnsi="仿宋_GB2312" w:eastAsia="仿宋_GB2312" w:cs="仿宋_GB2312"/>
                <w:color w:val="000000" w:themeColor="text1"/>
                <w:sz w:val="24"/>
                <w:lang w:val="en-US" w:eastAsia="zh-CN"/>
                <w14:textFill>
                  <w14:solidFill>
                    <w14:schemeClr w14:val="tx1"/>
                  </w14:solidFill>
                </w14:textFill>
              </w:rPr>
              <w:t>估算</w:t>
            </w:r>
            <w:r>
              <w:rPr>
                <w:rFonts w:hint="default" w:ascii="仿宋_GB2312" w:hAnsi="仿宋_GB2312" w:eastAsia="仿宋_GB2312" w:cs="仿宋_GB2312"/>
                <w:color w:val="000000" w:themeColor="text1"/>
                <w:sz w:val="24"/>
                <w:lang w:val="en-US" w:eastAsia="zh-CN"/>
                <w14:textFill>
                  <w14:solidFill>
                    <w14:schemeClr w14:val="tx1"/>
                  </w14:solidFill>
                </w14:textFill>
              </w:rPr>
              <w:t>15364.38万元</w:t>
            </w:r>
            <w:r>
              <w:rPr>
                <w:rFonts w:hint="eastAsia" w:ascii="仿宋_GB2312" w:hAnsi="仿宋_GB2312" w:eastAsia="仿宋_GB2312" w:cs="仿宋_GB2312"/>
                <w:color w:val="000000" w:themeColor="text1"/>
                <w:sz w:val="24"/>
                <w:lang w:val="en-US" w:eastAsia="zh-CN"/>
                <w14:textFill>
                  <w14:solidFill>
                    <w14:schemeClr w14:val="tx1"/>
                  </w14:solidFill>
                </w14:textFill>
              </w:rPr>
              <w:t>）已成功</w:t>
            </w:r>
            <w:r>
              <w:rPr>
                <w:rFonts w:hint="default" w:ascii="仿宋_GB2312" w:hAnsi="仿宋_GB2312" w:eastAsia="仿宋_GB2312" w:cs="仿宋_GB2312"/>
                <w:color w:val="000000" w:themeColor="text1"/>
                <w:sz w:val="24"/>
                <w:lang w:val="en-US" w:eastAsia="zh-CN"/>
                <w14:textFill>
                  <w14:solidFill>
                    <w14:schemeClr w14:val="tx1"/>
                  </w14:solidFill>
                </w14:textFill>
              </w:rPr>
              <w:t>纳入了三峡ppp项目二期清单</w:t>
            </w:r>
            <w:r>
              <w:rPr>
                <w:rFonts w:hint="eastAsia" w:ascii="仿宋_GB2312" w:hAnsi="仿宋_GB2312" w:eastAsia="仿宋_GB2312" w:cs="仿宋_GB2312"/>
                <w:color w:val="000000" w:themeColor="text1"/>
                <w:sz w:val="24"/>
                <w:lang w:val="en-US" w:eastAsia="zh-CN"/>
                <w14:textFill>
                  <w14:solidFill>
                    <w14:schemeClr w14:val="tx1"/>
                  </w14:solidFill>
                </w14:textFill>
              </w:rPr>
              <w:t>，这意味着原本需我区财政负担的13个项目建设将由市三峡集团统一出资建设，大大减轻了财政支出负担。</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autoSpaceDN w:val="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w:t>
            </w:r>
            <w:r>
              <w:rPr>
                <w:rFonts w:hint="eastAsia" w:ascii="仿宋_GB2312" w:hAnsi="仿宋_GB2312" w:eastAsia="仿宋_GB2312" w:cs="仿宋_GB2312"/>
                <w:color w:val="000000"/>
                <w:sz w:val="24"/>
                <w:lang w:val="en-US" w:eastAsia="zh-CN"/>
              </w:rPr>
              <w:t>财政资金等</w:t>
            </w:r>
            <w:r>
              <w:rPr>
                <w:rFonts w:hint="eastAsia" w:ascii="仿宋_GB2312" w:hAnsi="仿宋_GB2312" w:eastAsia="仿宋_GB2312" w:cs="仿宋_GB2312"/>
                <w:color w:val="000000"/>
                <w:sz w:val="24"/>
              </w:rPr>
              <w:t>影响导致</w:t>
            </w:r>
            <w:r>
              <w:rPr>
                <w:rFonts w:hint="eastAsia" w:ascii="仿宋_GB2312" w:hAnsi="仿宋_GB2312" w:eastAsia="仿宋_GB2312" w:cs="仿宋_GB2312"/>
                <w:color w:val="000000"/>
                <w:sz w:val="24"/>
                <w:lang w:val="en-US" w:eastAsia="zh-CN"/>
              </w:rPr>
              <w:t>项目</w:t>
            </w:r>
            <w:r>
              <w:rPr>
                <w:rFonts w:hint="eastAsia" w:ascii="仿宋_GB2312" w:hAnsi="仿宋_GB2312" w:eastAsia="仿宋_GB2312" w:cs="仿宋_GB2312"/>
                <w:color w:val="000000"/>
                <w:sz w:val="24"/>
              </w:rPr>
              <w:t>的进展程度和资金拨付的情况存在不确定因素，增加了预算难度。</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280" w:lineRule="exact"/>
              <w:ind w:firstLine="474" w:firstLineChars="200"/>
              <w:rPr>
                <w:rFonts w:eastAsia="楷体_GB2312"/>
                <w:bCs/>
                <w:sz w:val="28"/>
                <w:szCs w:val="28"/>
              </w:rPr>
            </w:pPr>
            <w:r>
              <w:rPr>
                <w:rFonts w:hint="eastAsia" w:ascii="仿宋_GB2312" w:hAnsi="仿宋_GB2312" w:eastAsia="仿宋_GB2312" w:cs="仿宋_GB2312"/>
                <w:color w:val="000000"/>
                <w:sz w:val="24"/>
              </w:rPr>
              <w:t>早规划、早组织、早预算，按进度正常推进，争取项目专项经费预算与支出基本一致。</w:t>
            </w:r>
          </w:p>
        </w:tc>
      </w:tr>
    </w:tbl>
    <w:p>
      <w:pPr>
        <w:spacing w:line="348" w:lineRule="auto"/>
        <w:rPr>
          <w:sz w:val="28"/>
          <w:szCs w:val="28"/>
        </w:rPr>
      </w:pPr>
    </w:p>
    <w:sectPr>
      <w:headerReference r:id="rId3" w:type="default"/>
      <w:pgSz w:w="11906" w:h="16838"/>
      <w:pgMar w:top="1588" w:right="1588" w:bottom="1588" w:left="1588" w:header="851" w:footer="1020"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3"/>
  <w:drawingGridVerticalSpacing w:val="301"/>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ZmMwNWZkNzEyMjc5ZTRiYTUxNTRkODhiOWM4YTMifQ=="/>
  </w:docVars>
  <w:rsids>
    <w:rsidRoot w:val="00F521AC"/>
    <w:rsid w:val="00003EB1"/>
    <w:rsid w:val="00005DF5"/>
    <w:rsid w:val="00010D7A"/>
    <w:rsid w:val="00024D2C"/>
    <w:rsid w:val="000260E9"/>
    <w:rsid w:val="00026733"/>
    <w:rsid w:val="00026EDF"/>
    <w:rsid w:val="00050AF2"/>
    <w:rsid w:val="00056B12"/>
    <w:rsid w:val="00081A89"/>
    <w:rsid w:val="00082D66"/>
    <w:rsid w:val="000907A7"/>
    <w:rsid w:val="00096750"/>
    <w:rsid w:val="000A3E95"/>
    <w:rsid w:val="000B10DA"/>
    <w:rsid w:val="000B28E3"/>
    <w:rsid w:val="000B3931"/>
    <w:rsid w:val="000D2C50"/>
    <w:rsid w:val="000D35DF"/>
    <w:rsid w:val="000D4A37"/>
    <w:rsid w:val="000D6385"/>
    <w:rsid w:val="000E0C52"/>
    <w:rsid w:val="000E44B2"/>
    <w:rsid w:val="000F18C2"/>
    <w:rsid w:val="000F2261"/>
    <w:rsid w:val="000F265E"/>
    <w:rsid w:val="001113B3"/>
    <w:rsid w:val="00111919"/>
    <w:rsid w:val="00121064"/>
    <w:rsid w:val="001274A6"/>
    <w:rsid w:val="001477FB"/>
    <w:rsid w:val="0015582E"/>
    <w:rsid w:val="0017578D"/>
    <w:rsid w:val="001779C9"/>
    <w:rsid w:val="001A3FB9"/>
    <w:rsid w:val="001A6003"/>
    <w:rsid w:val="001B6FEA"/>
    <w:rsid w:val="001C0E82"/>
    <w:rsid w:val="001C669D"/>
    <w:rsid w:val="001D0882"/>
    <w:rsid w:val="001D33EF"/>
    <w:rsid w:val="001D39FF"/>
    <w:rsid w:val="001D40FA"/>
    <w:rsid w:val="001D59FA"/>
    <w:rsid w:val="001E757A"/>
    <w:rsid w:val="001F0AA8"/>
    <w:rsid w:val="001F769E"/>
    <w:rsid w:val="00204F0D"/>
    <w:rsid w:val="00220EA4"/>
    <w:rsid w:val="002228C6"/>
    <w:rsid w:val="002319A0"/>
    <w:rsid w:val="00232650"/>
    <w:rsid w:val="00241C05"/>
    <w:rsid w:val="002539C5"/>
    <w:rsid w:val="00253DEA"/>
    <w:rsid w:val="002908F0"/>
    <w:rsid w:val="002925F6"/>
    <w:rsid w:val="002B3114"/>
    <w:rsid w:val="002B7CFD"/>
    <w:rsid w:val="002C10A0"/>
    <w:rsid w:val="002C55D1"/>
    <w:rsid w:val="002D0413"/>
    <w:rsid w:val="002D6B96"/>
    <w:rsid w:val="002D7DBD"/>
    <w:rsid w:val="002E1135"/>
    <w:rsid w:val="002E1E26"/>
    <w:rsid w:val="002F390D"/>
    <w:rsid w:val="002F60FF"/>
    <w:rsid w:val="00303DD3"/>
    <w:rsid w:val="003104AF"/>
    <w:rsid w:val="00320034"/>
    <w:rsid w:val="0032250D"/>
    <w:rsid w:val="00332BB6"/>
    <w:rsid w:val="00334545"/>
    <w:rsid w:val="00347857"/>
    <w:rsid w:val="0036710C"/>
    <w:rsid w:val="0037745C"/>
    <w:rsid w:val="0038587D"/>
    <w:rsid w:val="0039324B"/>
    <w:rsid w:val="00394711"/>
    <w:rsid w:val="003A0113"/>
    <w:rsid w:val="003B00F5"/>
    <w:rsid w:val="003B56A9"/>
    <w:rsid w:val="003C0133"/>
    <w:rsid w:val="003C08FC"/>
    <w:rsid w:val="003C1415"/>
    <w:rsid w:val="003D0A51"/>
    <w:rsid w:val="003D1404"/>
    <w:rsid w:val="003E4968"/>
    <w:rsid w:val="003F1FCC"/>
    <w:rsid w:val="003F6FBE"/>
    <w:rsid w:val="00402768"/>
    <w:rsid w:val="0041038C"/>
    <w:rsid w:val="00414610"/>
    <w:rsid w:val="00434F20"/>
    <w:rsid w:val="004412D2"/>
    <w:rsid w:val="00454AB8"/>
    <w:rsid w:val="0047486C"/>
    <w:rsid w:val="00475895"/>
    <w:rsid w:val="004831D2"/>
    <w:rsid w:val="00497775"/>
    <w:rsid w:val="004A1022"/>
    <w:rsid w:val="004A175A"/>
    <w:rsid w:val="004A440C"/>
    <w:rsid w:val="004B6F18"/>
    <w:rsid w:val="004D3F63"/>
    <w:rsid w:val="004E01C2"/>
    <w:rsid w:val="004E4D39"/>
    <w:rsid w:val="00532371"/>
    <w:rsid w:val="0054082A"/>
    <w:rsid w:val="005534F8"/>
    <w:rsid w:val="00557CE8"/>
    <w:rsid w:val="00564E7D"/>
    <w:rsid w:val="005725E6"/>
    <w:rsid w:val="00572799"/>
    <w:rsid w:val="005901A2"/>
    <w:rsid w:val="00595358"/>
    <w:rsid w:val="005961D8"/>
    <w:rsid w:val="00596FC1"/>
    <w:rsid w:val="005A5CEA"/>
    <w:rsid w:val="005B1E93"/>
    <w:rsid w:val="005B6700"/>
    <w:rsid w:val="005D50DC"/>
    <w:rsid w:val="005E24D1"/>
    <w:rsid w:val="005E46AD"/>
    <w:rsid w:val="005F5EEA"/>
    <w:rsid w:val="005F7633"/>
    <w:rsid w:val="00604AE8"/>
    <w:rsid w:val="00604FE6"/>
    <w:rsid w:val="00606B25"/>
    <w:rsid w:val="00616310"/>
    <w:rsid w:val="00622E89"/>
    <w:rsid w:val="00625743"/>
    <w:rsid w:val="00627F1B"/>
    <w:rsid w:val="006363BB"/>
    <w:rsid w:val="0064603D"/>
    <w:rsid w:val="00655EB6"/>
    <w:rsid w:val="0066251B"/>
    <w:rsid w:val="0067543D"/>
    <w:rsid w:val="00682829"/>
    <w:rsid w:val="006B167D"/>
    <w:rsid w:val="006C4524"/>
    <w:rsid w:val="006D3CF1"/>
    <w:rsid w:val="006D7C61"/>
    <w:rsid w:val="006E7AA7"/>
    <w:rsid w:val="006F0260"/>
    <w:rsid w:val="006F4200"/>
    <w:rsid w:val="00700961"/>
    <w:rsid w:val="00701987"/>
    <w:rsid w:val="00716CE3"/>
    <w:rsid w:val="00725667"/>
    <w:rsid w:val="00736EFE"/>
    <w:rsid w:val="007556ED"/>
    <w:rsid w:val="00773BC9"/>
    <w:rsid w:val="007777F4"/>
    <w:rsid w:val="00780FE5"/>
    <w:rsid w:val="007928AF"/>
    <w:rsid w:val="0079496B"/>
    <w:rsid w:val="007A6C0D"/>
    <w:rsid w:val="007C001D"/>
    <w:rsid w:val="007C6A33"/>
    <w:rsid w:val="007C74D1"/>
    <w:rsid w:val="007D034A"/>
    <w:rsid w:val="007D2E06"/>
    <w:rsid w:val="007F75FD"/>
    <w:rsid w:val="007F766B"/>
    <w:rsid w:val="00801650"/>
    <w:rsid w:val="00802152"/>
    <w:rsid w:val="00807973"/>
    <w:rsid w:val="00816F26"/>
    <w:rsid w:val="008254B9"/>
    <w:rsid w:val="0083009A"/>
    <w:rsid w:val="008613DB"/>
    <w:rsid w:val="00865245"/>
    <w:rsid w:val="008671CE"/>
    <w:rsid w:val="00873E24"/>
    <w:rsid w:val="008766B7"/>
    <w:rsid w:val="00893926"/>
    <w:rsid w:val="008A73F2"/>
    <w:rsid w:val="008B0AEF"/>
    <w:rsid w:val="008B504E"/>
    <w:rsid w:val="008D1E26"/>
    <w:rsid w:val="008D4A78"/>
    <w:rsid w:val="008E6189"/>
    <w:rsid w:val="008F0E3B"/>
    <w:rsid w:val="008F291E"/>
    <w:rsid w:val="00902843"/>
    <w:rsid w:val="00904DA1"/>
    <w:rsid w:val="00914A31"/>
    <w:rsid w:val="0092625E"/>
    <w:rsid w:val="00926410"/>
    <w:rsid w:val="00942A92"/>
    <w:rsid w:val="009440E3"/>
    <w:rsid w:val="00950E43"/>
    <w:rsid w:val="00970B2B"/>
    <w:rsid w:val="00976EC2"/>
    <w:rsid w:val="00996B5A"/>
    <w:rsid w:val="009A306D"/>
    <w:rsid w:val="009A6E11"/>
    <w:rsid w:val="009C67E8"/>
    <w:rsid w:val="009E7663"/>
    <w:rsid w:val="00A10045"/>
    <w:rsid w:val="00A20F18"/>
    <w:rsid w:val="00A22DC4"/>
    <w:rsid w:val="00A33916"/>
    <w:rsid w:val="00A46F54"/>
    <w:rsid w:val="00A5171F"/>
    <w:rsid w:val="00A54D5D"/>
    <w:rsid w:val="00A675D5"/>
    <w:rsid w:val="00A712A3"/>
    <w:rsid w:val="00A72038"/>
    <w:rsid w:val="00A9218F"/>
    <w:rsid w:val="00AA0989"/>
    <w:rsid w:val="00AA16BE"/>
    <w:rsid w:val="00AB14B8"/>
    <w:rsid w:val="00AC36DE"/>
    <w:rsid w:val="00AD06C8"/>
    <w:rsid w:val="00AD0E66"/>
    <w:rsid w:val="00AD105F"/>
    <w:rsid w:val="00AD574C"/>
    <w:rsid w:val="00AF12D6"/>
    <w:rsid w:val="00AF19F1"/>
    <w:rsid w:val="00B00897"/>
    <w:rsid w:val="00B04CA3"/>
    <w:rsid w:val="00B131AF"/>
    <w:rsid w:val="00B230E8"/>
    <w:rsid w:val="00B32B1E"/>
    <w:rsid w:val="00B34A91"/>
    <w:rsid w:val="00B575B0"/>
    <w:rsid w:val="00B6434A"/>
    <w:rsid w:val="00B676AC"/>
    <w:rsid w:val="00B735BC"/>
    <w:rsid w:val="00B735E0"/>
    <w:rsid w:val="00B8377C"/>
    <w:rsid w:val="00B95C26"/>
    <w:rsid w:val="00B9644C"/>
    <w:rsid w:val="00B97BF5"/>
    <w:rsid w:val="00BC7F9A"/>
    <w:rsid w:val="00BD0E6D"/>
    <w:rsid w:val="00BE6625"/>
    <w:rsid w:val="00BE6929"/>
    <w:rsid w:val="00BF3187"/>
    <w:rsid w:val="00BF329A"/>
    <w:rsid w:val="00BF3858"/>
    <w:rsid w:val="00BF7945"/>
    <w:rsid w:val="00C07659"/>
    <w:rsid w:val="00C079EF"/>
    <w:rsid w:val="00C111C8"/>
    <w:rsid w:val="00C2125D"/>
    <w:rsid w:val="00C249E4"/>
    <w:rsid w:val="00C35BF9"/>
    <w:rsid w:val="00C413D6"/>
    <w:rsid w:val="00C473A5"/>
    <w:rsid w:val="00C6068F"/>
    <w:rsid w:val="00C760B4"/>
    <w:rsid w:val="00C94C51"/>
    <w:rsid w:val="00CA1890"/>
    <w:rsid w:val="00CB51A5"/>
    <w:rsid w:val="00CD64E7"/>
    <w:rsid w:val="00CE7209"/>
    <w:rsid w:val="00D03B18"/>
    <w:rsid w:val="00D13565"/>
    <w:rsid w:val="00D163B1"/>
    <w:rsid w:val="00D23C30"/>
    <w:rsid w:val="00D32A14"/>
    <w:rsid w:val="00D32C7C"/>
    <w:rsid w:val="00D41F2D"/>
    <w:rsid w:val="00D47E7F"/>
    <w:rsid w:val="00D516E9"/>
    <w:rsid w:val="00D619E5"/>
    <w:rsid w:val="00D63103"/>
    <w:rsid w:val="00D64A9A"/>
    <w:rsid w:val="00D7081E"/>
    <w:rsid w:val="00D73BE4"/>
    <w:rsid w:val="00D96E3B"/>
    <w:rsid w:val="00DA23A3"/>
    <w:rsid w:val="00DA30A4"/>
    <w:rsid w:val="00DB2C5A"/>
    <w:rsid w:val="00DB4BFF"/>
    <w:rsid w:val="00DC0295"/>
    <w:rsid w:val="00DC5AFB"/>
    <w:rsid w:val="00DC7A0B"/>
    <w:rsid w:val="00DC7CBF"/>
    <w:rsid w:val="00DE5351"/>
    <w:rsid w:val="00DF1BBB"/>
    <w:rsid w:val="00DF3CFF"/>
    <w:rsid w:val="00E03031"/>
    <w:rsid w:val="00E07EBC"/>
    <w:rsid w:val="00E341EB"/>
    <w:rsid w:val="00E37999"/>
    <w:rsid w:val="00E41941"/>
    <w:rsid w:val="00E516D5"/>
    <w:rsid w:val="00E60FCA"/>
    <w:rsid w:val="00E610B4"/>
    <w:rsid w:val="00E61DB6"/>
    <w:rsid w:val="00E67F5C"/>
    <w:rsid w:val="00E75218"/>
    <w:rsid w:val="00E83AEA"/>
    <w:rsid w:val="00E84755"/>
    <w:rsid w:val="00EA1E6B"/>
    <w:rsid w:val="00EB2748"/>
    <w:rsid w:val="00EC3950"/>
    <w:rsid w:val="00ED0664"/>
    <w:rsid w:val="00EE6506"/>
    <w:rsid w:val="00EF48C4"/>
    <w:rsid w:val="00EF7BE7"/>
    <w:rsid w:val="00F058E8"/>
    <w:rsid w:val="00F07005"/>
    <w:rsid w:val="00F11624"/>
    <w:rsid w:val="00F13C9F"/>
    <w:rsid w:val="00F22646"/>
    <w:rsid w:val="00F4172C"/>
    <w:rsid w:val="00F42BE3"/>
    <w:rsid w:val="00F4540E"/>
    <w:rsid w:val="00F458DE"/>
    <w:rsid w:val="00F521AC"/>
    <w:rsid w:val="00F5361E"/>
    <w:rsid w:val="00F56436"/>
    <w:rsid w:val="00F61B32"/>
    <w:rsid w:val="00F66BA4"/>
    <w:rsid w:val="00F705DD"/>
    <w:rsid w:val="00F74B28"/>
    <w:rsid w:val="00F81F44"/>
    <w:rsid w:val="00F86472"/>
    <w:rsid w:val="00FB7F6D"/>
    <w:rsid w:val="00FC3EED"/>
    <w:rsid w:val="00FE660E"/>
    <w:rsid w:val="02E84657"/>
    <w:rsid w:val="1FD37985"/>
    <w:rsid w:val="21DE1912"/>
    <w:rsid w:val="2A6D1036"/>
    <w:rsid w:val="2AE35581"/>
    <w:rsid w:val="30DF318F"/>
    <w:rsid w:val="3231623F"/>
    <w:rsid w:val="35D06877"/>
    <w:rsid w:val="38100F54"/>
    <w:rsid w:val="3BFD22C4"/>
    <w:rsid w:val="3C12626D"/>
    <w:rsid w:val="452B03D5"/>
    <w:rsid w:val="46EF7542"/>
    <w:rsid w:val="4F3029FA"/>
    <w:rsid w:val="532377B5"/>
    <w:rsid w:val="54401FF4"/>
    <w:rsid w:val="5AAB406B"/>
    <w:rsid w:val="5CFBA84B"/>
    <w:rsid w:val="64DE4FA4"/>
    <w:rsid w:val="65666F58"/>
    <w:rsid w:val="6AD16123"/>
    <w:rsid w:val="77996DC0"/>
    <w:rsid w:val="79BA34E7"/>
    <w:rsid w:val="7EBF898A"/>
    <w:rsid w:val="B6BF56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line="360" w:lineRule="auto"/>
      <w:ind w:left="420" w:leftChars="200"/>
    </w:pPr>
  </w:style>
  <w:style w:type="paragraph" w:styleId="3">
    <w:name w:val="Body Text Indent 2"/>
    <w:basedOn w:val="1"/>
    <w:link w:val="15"/>
    <w:unhideWhenUsed/>
    <w:qFormat/>
    <w:uiPriority w:val="0"/>
    <w:pPr>
      <w:ind w:firstLine="588" w:firstLineChars="200"/>
    </w:pPr>
    <w:rPr>
      <w:rFonts w:ascii="仿宋_GB2312" w:hAnsi="Calibri" w:eastAsia="仿宋_GB2312" w:cs="Times New Roman"/>
      <w:sz w:val="32"/>
      <w:szCs w:val="24"/>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basedOn w:val="2"/>
    <w:qFormat/>
    <w:uiPriority w:val="0"/>
    <w:pPr>
      <w:spacing w:line="240" w:lineRule="auto"/>
      <w:ind w:firstLine="420" w:firstLineChars="200"/>
    </w:pPr>
  </w:style>
  <w:style w:type="character" w:styleId="10">
    <w:name w:val="page number"/>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0"/>
    <w:rPr>
      <w:sz w:val="18"/>
      <w:szCs w:val="18"/>
    </w:rPr>
  </w:style>
  <w:style w:type="character" w:customStyle="1" w:styleId="14">
    <w:name w:val="标题 3 Char Char"/>
    <w:qFormat/>
    <w:uiPriority w:val="0"/>
    <w:rPr>
      <w:rFonts w:eastAsia="楷体_GB2312"/>
      <w:b/>
      <w:kern w:val="2"/>
      <w:sz w:val="32"/>
      <w:szCs w:val="24"/>
      <w:lang w:val="en-US" w:eastAsia="zh-CN" w:bidi="ar-SA"/>
    </w:rPr>
  </w:style>
  <w:style w:type="character" w:customStyle="1" w:styleId="15">
    <w:name w:val="正文文本缩进 2 Char"/>
    <w:basedOn w:val="9"/>
    <w:link w:val="3"/>
    <w:qFormat/>
    <w:uiPriority w:val="0"/>
    <w:rPr>
      <w:rFonts w:ascii="仿宋_GB2312" w:hAnsi="Calibri" w:eastAsia="仿宋_GB2312" w:cs="Times New Roman"/>
      <w:sz w:val="32"/>
      <w:szCs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19736</Words>
  <Characters>20596</Characters>
  <Lines>168</Lines>
  <Paragraphs>47</Paragraphs>
  <TotalTime>8</TotalTime>
  <ScaleCrop>false</ScaleCrop>
  <LinksUpToDate>false</LinksUpToDate>
  <CharactersWithSpaces>22063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2022-06-27T16:52:00Z</dcterms:created>
  <dc:creator>lenvov</dc:creator>
  <cp:lastModifiedBy>greatwall</cp:lastModifiedBy>
  <cp:lastPrinted>2021-07-22T17:57:00Z</cp:lastPrinted>
  <dcterms:modified xsi:type="dcterms:W3CDTF">2023-09-20T09:29:57Z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C2540E52F8164B6285F5DAB5B71725C7_13</vt:lpwstr>
  </property>
</Properties>
</file>