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22</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口岸贸易部</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009      </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highlight w:val="none"/>
        </w:rPr>
      </w:pPr>
      <w:r>
        <w:rPr>
          <w:rFonts w:hint="eastAsia" w:eastAsia="仿宋_GB2312"/>
          <w:sz w:val="32"/>
          <w:highlight w:val="none"/>
        </w:rPr>
        <w:t>报告日期：</w:t>
      </w:r>
      <w:r>
        <w:rPr>
          <w:rFonts w:hint="eastAsia" w:eastAsia="仿宋_GB2312"/>
          <w:sz w:val="32"/>
          <w:highlight w:val="none"/>
          <w:lang w:val="en-US" w:eastAsia="zh-CN"/>
        </w:rPr>
        <w:t>2023</w:t>
      </w:r>
      <w:r>
        <w:rPr>
          <w:rFonts w:hint="eastAsia" w:eastAsia="仿宋_GB2312"/>
          <w:sz w:val="32"/>
          <w:highlight w:val="none"/>
        </w:rPr>
        <w:t>年</w:t>
      </w:r>
      <w:r>
        <w:rPr>
          <w:rFonts w:hint="eastAsia" w:eastAsia="仿宋_GB2312"/>
          <w:sz w:val="32"/>
          <w:highlight w:val="none"/>
          <w:lang w:val="en-US" w:eastAsia="zh-CN"/>
        </w:rPr>
        <w:t>8</w:t>
      </w:r>
      <w:r>
        <w:rPr>
          <w:rFonts w:hint="eastAsia" w:eastAsia="仿宋_GB2312"/>
          <w:sz w:val="32"/>
          <w:highlight w:val="none"/>
        </w:rPr>
        <w:t xml:space="preserve"> 月 </w:t>
      </w:r>
      <w:r>
        <w:rPr>
          <w:rFonts w:hint="eastAsia" w:eastAsia="仿宋_GB2312"/>
          <w:sz w:val="32"/>
          <w:highlight w:val="none"/>
          <w:lang w:val="en-US" w:eastAsia="zh-CN"/>
        </w:rPr>
        <w:t>18</w:t>
      </w:r>
      <w:r>
        <w:rPr>
          <w:rFonts w:hint="eastAsia" w:eastAsia="仿宋_GB2312"/>
          <w:sz w:val="32"/>
          <w:highlight w:val="none"/>
        </w:rPr>
        <w:t>日</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袁梓豪</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15197029999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负责贯彻执行区域内港口管理方面的政策法规，参与研究制定并组织实施关于港口管理、口岸经济发展政策;负责统筹协调区域内港口岸线资源及相关陆域的使用管理;负责协调区域内港口生产、经营秩序，负责口岸平台资质申报、建设协调、运营管理工作;负责口岸经贸活动的策划和组织实施:负责区域内物流管理工作，牵头推进国家物流枢纽项目建设;负责组织实施自贸片区口岸管理、航运物流、国际贸易等制度创新工作</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rPr>
              <w:t>项目任务：一区一港四口岸奖</w:t>
            </w:r>
            <w:r>
              <w:rPr>
                <w:rFonts w:hint="eastAsia" w:ascii="仿宋_GB2312" w:hAnsi="仿宋_GB2312" w:eastAsia="仿宋_GB2312" w:cs="仿宋_GB2312"/>
                <w:color w:val="000000"/>
                <w:sz w:val="24"/>
                <w:highlight w:val="none"/>
              </w:rPr>
              <w:t>补资金</w:t>
            </w:r>
            <w:r>
              <w:rPr>
                <w:rFonts w:hint="eastAsia" w:ascii="仿宋_GB2312" w:hAnsi="仿宋_GB2312" w:eastAsia="仿宋_GB2312" w:cs="仿宋_GB2312"/>
                <w:color w:val="000000"/>
                <w:sz w:val="24"/>
                <w:highlight w:val="none"/>
                <w:lang w:val="en-US" w:eastAsia="zh-CN"/>
              </w:rPr>
              <w:t>9000</w:t>
            </w:r>
            <w:r>
              <w:rPr>
                <w:rFonts w:hint="eastAsia" w:ascii="仿宋_GB2312" w:hAnsi="仿宋_GB2312" w:eastAsia="仿宋_GB2312" w:cs="仿宋_GB2312"/>
                <w:color w:val="000000"/>
                <w:sz w:val="24"/>
                <w:highlight w:val="none"/>
              </w:rPr>
              <w:t>万元, 用于支付信息技术、监管数据服务，深入推进开放崛起发展战略,加快城陵矶口岸航运物流发展,加速打造湖南通江达海新增长极,建设长江中游综合性航运物流中心,重点支持海外直航和国际接力航线、支持拓展省际航线、发展壮大省内航线、鼓励省内外集装箱货物在城陵矶港中转、鼓励港口运营企业做大做强城陵矶口岸。</w:t>
            </w:r>
            <w:r>
              <w:rPr>
                <w:rFonts w:ascii="仿宋_GB2312" w:hAnsi="仿宋_GB2312" w:eastAsia="仿宋_GB2312" w:cs="仿宋_GB2312"/>
                <w:color w:val="000000"/>
                <w:sz w:val="24"/>
                <w:highlight w:val="none"/>
              </w:rPr>
              <w:t xml:space="preserve"> </w:t>
            </w:r>
          </w:p>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任务1：口岸发展及航线拓展，年内使用经费</w:t>
            </w:r>
            <w:r>
              <w:rPr>
                <w:rFonts w:hint="eastAsia" w:ascii="仿宋_GB2312" w:hAnsi="仿宋_GB2312" w:eastAsia="仿宋_GB2312" w:cs="仿宋_GB2312"/>
                <w:color w:val="000000"/>
                <w:sz w:val="24"/>
                <w:highlight w:val="none"/>
                <w:lang w:val="en-US" w:eastAsia="zh-CN"/>
              </w:rPr>
              <w:t>20</w:t>
            </w:r>
            <w:r>
              <w:rPr>
                <w:rFonts w:hint="eastAsia" w:ascii="仿宋_GB2312" w:hAnsi="仿宋_GB2312" w:eastAsia="仿宋_GB2312" w:cs="仿宋_GB2312"/>
                <w:color w:val="000000"/>
                <w:sz w:val="24"/>
                <w:highlight w:val="none"/>
              </w:rPr>
              <w:t>万元，用于促进货运总量、集装箱量、航线数量及班次比上年有所增加；</w:t>
            </w:r>
          </w:p>
          <w:p>
            <w:pPr>
              <w:autoSpaceDN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任务2：码头岸线整治，年内使用经费9万元，用于统筹协调区域内港口岸线资源及相关陆域的使用管理；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highlight w:val="none"/>
              </w:rPr>
              <w:t>任务</w:t>
            </w:r>
            <w:r>
              <w:rPr>
                <w:rFonts w:hint="eastAsia" w:ascii="仿宋_GB2312" w:hAnsi="仿宋_GB2312" w:eastAsia="仿宋_GB2312" w:cs="仿宋_GB2312"/>
                <w:color w:val="000000"/>
                <w:sz w:val="24"/>
                <w:highlight w:val="none"/>
                <w:lang w:val="en-US" w:eastAsia="zh-CN"/>
              </w:rPr>
              <w:t>3</w:t>
            </w:r>
            <w:r>
              <w:rPr>
                <w:rFonts w:hint="eastAsia" w:ascii="仿宋_GB2312" w:hAnsi="仿宋_GB2312" w:eastAsia="仿宋_GB2312" w:cs="仿宋_GB2312"/>
                <w:color w:val="000000"/>
                <w:sz w:val="24"/>
                <w:highlight w:val="none"/>
              </w:rPr>
              <w:t>：芭蕉湖河长办，年内使用经费</w:t>
            </w:r>
            <w:r>
              <w:rPr>
                <w:rFonts w:hint="eastAsia" w:ascii="仿宋_GB2312" w:hAnsi="仿宋_GB2312" w:eastAsia="仿宋_GB2312" w:cs="仿宋_GB2312"/>
                <w:color w:val="000000"/>
                <w:sz w:val="24"/>
                <w:highlight w:val="none"/>
                <w:lang w:val="en-US" w:eastAsia="zh-CN"/>
              </w:rPr>
              <w:t>4</w:t>
            </w:r>
            <w:r>
              <w:rPr>
                <w:rFonts w:hint="eastAsia" w:ascii="仿宋_GB2312" w:hAnsi="仿宋_GB2312" w:eastAsia="仿宋_GB2312" w:cs="仿宋_GB2312"/>
                <w:color w:val="000000"/>
                <w:sz w:val="24"/>
                <w:highlight w:val="none"/>
              </w:rPr>
              <w:t>万元，用于芭蕉湖</w:t>
            </w:r>
            <w:r>
              <w:rPr>
                <w:rFonts w:hint="eastAsia" w:ascii="仿宋_GB2312" w:hAnsi="仿宋_GB2312" w:eastAsia="仿宋_GB2312" w:cs="仿宋_GB2312"/>
                <w:color w:val="000000"/>
                <w:sz w:val="24"/>
              </w:rPr>
              <w:t>管护治理，日常巡湖、日常打捞清理，改善芭蕉湖环境，为湖净身。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1、防疫联点工作扎实，所有码头企业正常运营。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2、全力参与第</w:t>
            </w:r>
            <w:r>
              <w:rPr>
                <w:rFonts w:hint="eastAsia" w:ascii="仿宋_GB2312" w:hAnsi="仿宋_GB2312" w:eastAsia="仿宋_GB2312" w:cs="仿宋_GB2312"/>
                <w:color w:val="000000"/>
                <w:sz w:val="24"/>
                <w:lang w:eastAsia="zh-CN"/>
              </w:rPr>
              <w:t>三</w:t>
            </w:r>
            <w:r>
              <w:rPr>
                <w:rFonts w:hint="eastAsia" w:ascii="仿宋_GB2312" w:hAnsi="仿宋_GB2312" w:eastAsia="仿宋_GB2312" w:cs="仿宋_GB2312"/>
                <w:color w:val="000000"/>
                <w:sz w:val="24"/>
              </w:rPr>
              <w:t>届口岸博览会筹备工作。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3、全面维护岸线整治复绿与绿化提质成果。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4、全力推动城陵矶港做大做强</w:t>
            </w:r>
            <w:r>
              <w:rPr>
                <w:rFonts w:hint="eastAsia" w:ascii="仿宋_GB2312" w:hAnsi="仿宋_GB2312" w:eastAsia="仿宋_GB2312" w:cs="仿宋_GB2312"/>
                <w:color w:val="000000"/>
                <w:sz w:val="24"/>
                <w:lang w:eastAsia="zh-CN"/>
              </w:rPr>
              <w:t>，完成集装箱吞吐量</w:t>
            </w:r>
            <w:r>
              <w:rPr>
                <w:rFonts w:hint="eastAsia" w:ascii="仿宋_GB2312" w:hAnsi="仿宋_GB2312" w:eastAsia="仿宋_GB2312" w:cs="仿宋_GB2312"/>
                <w:color w:val="000000"/>
                <w:sz w:val="24"/>
                <w:lang w:val="en-US" w:eastAsia="zh-CN"/>
              </w:rPr>
              <w:t>100万标箱</w:t>
            </w:r>
            <w:r>
              <w:rPr>
                <w:rFonts w:hint="eastAsia" w:ascii="仿宋_GB2312" w:hAnsi="仿宋_GB2312" w:eastAsia="仿宋_GB2312" w:cs="仿宋_GB2312"/>
                <w:color w:val="000000"/>
                <w:sz w:val="24"/>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5、稳步推进码头提质改造。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、精心组织202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年下半年与202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年上半年“一区一港四口岸”奖补的申报、审核工作，健全航线体系。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、做好城陵矶港外贸集装箱免收“九项”费用工作。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、稳步推进集装箱铁水联运发展。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、加速现代物流业的发展。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、综合治理芭蕉湖。</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11、推动</w:t>
            </w:r>
            <w:r>
              <w:rPr>
                <w:rFonts w:hint="eastAsia" w:ascii="仿宋_GB2312" w:hAnsi="仿宋_GB2312" w:eastAsia="仿宋_GB2312" w:cs="仿宋_GB2312"/>
                <w:color w:val="000000"/>
                <w:sz w:val="24"/>
                <w:lang w:eastAsia="zh-CN"/>
              </w:rPr>
              <w:t>现代港口群建设。</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9212</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9212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9212</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9212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9212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9033</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9212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9033</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1、实现物流业年产值262.4亿元以上；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2、完成</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次督查码头提质改造工作；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3、开通城陵矶-</w:t>
            </w:r>
            <w:r>
              <w:rPr>
                <w:rFonts w:hint="eastAsia" w:ascii="仿宋_GB2312" w:hAnsi="仿宋_GB2312" w:eastAsia="仿宋_GB2312" w:cs="仿宋_GB2312"/>
                <w:color w:val="000000"/>
                <w:sz w:val="24"/>
                <w:lang w:val="en-US" w:eastAsia="zh-CN"/>
              </w:rPr>
              <w:t>川渝</w:t>
            </w:r>
            <w:r>
              <w:rPr>
                <w:rFonts w:hint="eastAsia" w:ascii="仿宋_GB2312" w:hAnsi="仿宋_GB2312" w:eastAsia="仿宋_GB2312" w:cs="仿宋_GB2312"/>
                <w:color w:val="000000"/>
                <w:sz w:val="24"/>
              </w:rPr>
              <w:t>航线；</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4、集装箱年吞吐量达</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万标箱；</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5、完成202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年下半年和202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年上半年“一区一港四口岸” 奖励资金的申报资料的初审。</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完成物流业年产值265亿元</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2、完成</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次督查码头提质改造工作；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3、开通了城陵矶-</w:t>
            </w:r>
            <w:r>
              <w:rPr>
                <w:rFonts w:hint="eastAsia" w:ascii="仿宋_GB2312" w:hAnsi="仿宋_GB2312" w:eastAsia="仿宋_GB2312" w:cs="仿宋_GB2312"/>
                <w:color w:val="000000"/>
                <w:sz w:val="24"/>
                <w:lang w:val="en-US" w:eastAsia="zh-CN"/>
              </w:rPr>
              <w:t>川渝</w:t>
            </w:r>
            <w:r>
              <w:rPr>
                <w:rFonts w:hint="eastAsia" w:ascii="仿宋_GB2312" w:hAnsi="仿宋_GB2312" w:eastAsia="仿宋_GB2312" w:cs="仿宋_GB2312"/>
                <w:color w:val="000000"/>
                <w:sz w:val="24"/>
              </w:rPr>
              <w:t>航线；</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4、集装箱年吞吐量达</w:t>
            </w:r>
            <w:r>
              <w:rPr>
                <w:rFonts w:hint="eastAsia" w:ascii="仿宋_GB2312" w:hAnsi="仿宋_GB2312" w:eastAsia="仿宋_GB2312" w:cs="仿宋_GB2312"/>
                <w:color w:val="000000"/>
                <w:sz w:val="24"/>
                <w:lang w:val="en-US" w:eastAsia="zh-CN"/>
              </w:rPr>
              <w:t>100.96</w:t>
            </w:r>
            <w:r>
              <w:rPr>
                <w:rFonts w:hint="eastAsia" w:ascii="仿宋_GB2312" w:hAnsi="仿宋_GB2312" w:eastAsia="仿宋_GB2312" w:cs="仿宋_GB2312"/>
                <w:color w:val="000000"/>
                <w:sz w:val="24"/>
              </w:rPr>
              <w:t>万标箱；</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5、完成202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年下半年和202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年上半年“一区一港四口岸” 奖励资金的申报资料的初审。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1、集装箱吞吐量稳定增长；</w:t>
            </w:r>
          </w:p>
        </w:tc>
        <w:tc>
          <w:tcPr>
            <w:tcW w:w="2684" w:type="dxa"/>
            <w:gridSpan w:val="6"/>
            <w:vAlign w:val="top"/>
          </w:tcPr>
          <w:p>
            <w:pPr>
              <w:jc w:val="center"/>
              <w:rPr>
                <w:rFonts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2、航线稳定运营，提速增效；开通</w:t>
            </w:r>
            <w:r>
              <w:rPr>
                <w:rFonts w:hint="eastAsia" w:ascii="仿宋_GB2312" w:hAnsi="仿宋_GB2312" w:eastAsia="仿宋_GB2312" w:cs="仿宋_GB2312"/>
                <w:color w:val="000000"/>
                <w:sz w:val="24"/>
                <w:lang w:val="en-US" w:eastAsia="zh-CN"/>
              </w:rPr>
              <w:t>城陵矶-川渝</w:t>
            </w:r>
            <w:r>
              <w:rPr>
                <w:rFonts w:hint="eastAsia" w:ascii="仿宋_GB2312" w:hAnsi="仿宋_GB2312" w:eastAsia="仿宋_GB2312" w:cs="仿宋_GB2312"/>
                <w:color w:val="000000"/>
                <w:sz w:val="24"/>
              </w:rPr>
              <w:t xml:space="preserve">集装箱航线；        </w:t>
            </w:r>
          </w:p>
        </w:tc>
        <w:tc>
          <w:tcPr>
            <w:tcW w:w="2684" w:type="dxa"/>
            <w:gridSpan w:val="6"/>
            <w:vAlign w:val="top"/>
          </w:tcPr>
          <w:p>
            <w:pPr>
              <w:jc w:val="center"/>
              <w:rPr>
                <w:rFonts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推动“铁水联运”“江海联运”，吸引省内外大宗商品从城陵矶港进出中转</w:t>
            </w:r>
            <w:r>
              <w:rPr>
                <w:rFonts w:hint="eastAsia" w:ascii="仿宋_GB2312" w:hAnsi="仿宋_GB2312" w:eastAsia="仿宋_GB2312" w:cs="仿宋_GB2312"/>
                <w:color w:val="000000"/>
                <w:sz w:val="24"/>
                <w:lang w:eastAsia="zh-CN"/>
              </w:rPr>
              <w:t>；</w:t>
            </w:r>
          </w:p>
        </w:tc>
        <w:tc>
          <w:tcPr>
            <w:tcW w:w="2684" w:type="dxa"/>
            <w:gridSpan w:val="6"/>
            <w:vAlign w:val="top"/>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4、完成码头提质改造的企业达到质量合格要求，确保码头安全生产；</w:t>
            </w:r>
          </w:p>
        </w:tc>
        <w:tc>
          <w:tcPr>
            <w:tcW w:w="2684" w:type="dxa"/>
            <w:gridSpan w:val="6"/>
            <w:vAlign w:val="top"/>
          </w:tcPr>
          <w:p>
            <w:pPr>
              <w:jc w:val="center"/>
              <w:rPr>
                <w:rFonts w:hint="eastAsia"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5、对202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年下半年“一区一港四口岸” 奖补资金和202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年上半年“城陵矶口岸航运物流” 奖补资金审核无误。</w:t>
            </w:r>
          </w:p>
        </w:tc>
        <w:tc>
          <w:tcPr>
            <w:tcW w:w="2684" w:type="dxa"/>
            <w:gridSpan w:val="6"/>
            <w:vAlign w:val="top"/>
          </w:tcPr>
          <w:p>
            <w:pPr>
              <w:jc w:val="center"/>
              <w:rPr>
                <w:rFonts w:hint="eastAsia"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1、完成集装箱吞吐量</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万标箱（本港）；</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color w:val="000000"/>
                <w:sz w:val="24"/>
              </w:rPr>
              <w:t>本港完成集装箱吞吐量</w:t>
            </w:r>
            <w:r>
              <w:rPr>
                <w:rFonts w:hint="eastAsia" w:ascii="仿宋_GB2312" w:hAnsi="仿宋_GB2312" w:eastAsia="仿宋_GB2312" w:cs="仿宋_GB2312"/>
                <w:color w:val="000000"/>
                <w:sz w:val="24"/>
                <w:lang w:val="en-US" w:eastAsia="zh-CN"/>
              </w:rPr>
              <w:t>100.96</w:t>
            </w:r>
            <w:r>
              <w:rPr>
                <w:rFonts w:hint="eastAsia" w:ascii="仿宋_GB2312" w:hAnsi="仿宋_GB2312" w:eastAsia="仿宋_GB2312" w:cs="仿宋_GB2312"/>
                <w:color w:val="000000"/>
                <w:sz w:val="24"/>
              </w:rPr>
              <w:t>万标箱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、实现物流业年产值262.4亿元以上；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完成物流业年产值265亿元</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完成</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次督查码头提质改造工作</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完成</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次督查码头提质改造工作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4、加密航线</w:t>
            </w:r>
          </w:p>
        </w:tc>
        <w:tc>
          <w:tcPr>
            <w:tcW w:w="2684" w:type="dxa"/>
            <w:gridSpan w:val="6"/>
            <w:vAlign w:val="center"/>
          </w:tcPr>
          <w:p>
            <w:pPr>
              <w:tabs>
                <w:tab w:val="left" w:pos="650"/>
              </w:tabs>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城陵矶至重庆航线由每周2-3班提升到每周4-5班，洋山线每周增加了1班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、完成202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年下半年“一区一港四口岸” 奖励资金和202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年上半年“城陵矶口岸航运物流” 奖补资金的申报资料的初审；</w:t>
            </w:r>
          </w:p>
        </w:tc>
        <w:tc>
          <w:tcPr>
            <w:tcW w:w="2684" w:type="dxa"/>
            <w:gridSpan w:val="6"/>
            <w:vAlign w:val="top"/>
          </w:tcPr>
          <w:p>
            <w:pPr>
              <w:jc w:val="center"/>
              <w:rPr>
                <w:rFonts w:hint="eastAsia"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、完成市级芭蕉湖巡湖</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、将城陵矶至上海洋山航线增至每周</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班</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城陵矶至重庆航线增至每周4-5班</w:t>
            </w:r>
            <w:r>
              <w:rPr>
                <w:rFonts w:hint="eastAsia" w:ascii="仿宋_GB2312" w:hAnsi="仿宋_GB2312" w:eastAsia="仿宋_GB2312" w:cs="仿宋_GB2312"/>
                <w:color w:val="000000"/>
                <w:sz w:val="24"/>
              </w:rPr>
              <w:t>；</w:t>
            </w:r>
          </w:p>
        </w:tc>
        <w:tc>
          <w:tcPr>
            <w:tcW w:w="2684" w:type="dxa"/>
            <w:gridSpan w:val="6"/>
            <w:vAlign w:val="center"/>
          </w:tcPr>
          <w:p>
            <w:pPr>
              <w:jc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、2021年推动省内外各铁路站点往返岳阳北站、松阳湖铁路支线新港站、云溪站、路口铺站等铁路站点开展集装箱（重箱）铁水联运；</w:t>
            </w:r>
          </w:p>
        </w:tc>
        <w:tc>
          <w:tcPr>
            <w:tcW w:w="2684" w:type="dxa"/>
            <w:gridSpan w:val="6"/>
            <w:vAlign w:val="center"/>
          </w:tcPr>
          <w:p>
            <w:pPr>
              <w:jc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年7月底前发放202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下</w:t>
            </w:r>
            <w:r>
              <w:rPr>
                <w:rFonts w:hint="eastAsia" w:ascii="仿宋_GB2312" w:hAnsi="仿宋_GB2312" w:eastAsia="仿宋_GB2312" w:cs="仿宋_GB2312"/>
                <w:color w:val="000000"/>
                <w:sz w:val="24"/>
              </w:rPr>
              <w:t>半年奖补资金，202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11</w:t>
            </w:r>
            <w:r>
              <w:rPr>
                <w:rFonts w:hint="eastAsia" w:ascii="仿宋_GB2312" w:hAnsi="仿宋_GB2312" w:eastAsia="仿宋_GB2312" w:cs="仿宋_GB2312"/>
                <w:color w:val="000000"/>
                <w:sz w:val="24"/>
              </w:rPr>
              <w:t>月底前发放202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年上半年奖补资金。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highlight w:val="none"/>
              </w:rPr>
              <w:t>202</w:t>
            </w:r>
            <w:r>
              <w:rPr>
                <w:rFonts w:hint="eastAsia" w:ascii="仿宋_GB2312" w:hAnsi="仿宋_GB2312" w:eastAsia="仿宋_GB2312" w:cs="仿宋_GB2312"/>
                <w:color w:val="000000"/>
                <w:sz w:val="24"/>
                <w:highlight w:val="none"/>
                <w:lang w:val="en-US" w:eastAsia="zh-CN"/>
              </w:rPr>
              <w:t>2</w:t>
            </w:r>
            <w:r>
              <w:rPr>
                <w:rFonts w:hint="eastAsia" w:ascii="仿宋_GB2312" w:hAnsi="仿宋_GB2312" w:eastAsia="仿宋_GB2312" w:cs="仿宋_GB2312"/>
                <w:color w:val="000000"/>
                <w:sz w:val="24"/>
                <w:highlight w:val="none"/>
              </w:rPr>
              <w:t>年7月底前发放202</w:t>
            </w:r>
            <w:r>
              <w:rPr>
                <w:rFonts w:hint="eastAsia" w:ascii="仿宋_GB2312" w:hAnsi="仿宋_GB2312" w:eastAsia="仿宋_GB2312" w:cs="仿宋_GB2312"/>
                <w:color w:val="000000"/>
                <w:sz w:val="24"/>
                <w:highlight w:val="none"/>
                <w:lang w:val="en-US" w:eastAsia="zh-CN"/>
              </w:rPr>
              <w:t>1</w:t>
            </w:r>
            <w:r>
              <w:rPr>
                <w:rFonts w:hint="eastAsia" w:ascii="仿宋_GB2312" w:hAnsi="仿宋_GB2312" w:eastAsia="仿宋_GB2312" w:cs="仿宋_GB2312"/>
                <w:color w:val="000000"/>
                <w:sz w:val="24"/>
                <w:highlight w:val="none"/>
              </w:rPr>
              <w:t>年下半年奖补资金</w:t>
            </w:r>
            <w:r>
              <w:rPr>
                <w:rFonts w:hint="eastAsia" w:ascii="仿宋_GB2312" w:hAnsi="仿宋_GB2312" w:eastAsia="仿宋_GB2312" w:cs="仿宋_GB2312"/>
                <w:color w:val="000000"/>
                <w:sz w:val="24"/>
                <w:highlight w:val="none"/>
                <w:lang w:val="en-US" w:eastAsia="zh-CN"/>
              </w:rPr>
              <w:t>5896.3</w:t>
            </w:r>
            <w:r>
              <w:rPr>
                <w:rFonts w:hint="eastAsia" w:ascii="仿宋_GB2312" w:hAnsi="仿宋_GB2312" w:eastAsia="仿宋_GB2312" w:cs="仿宋_GB2312"/>
                <w:color w:val="000000"/>
                <w:sz w:val="24"/>
                <w:highlight w:val="none"/>
              </w:rPr>
              <w:t>万元，202</w:t>
            </w:r>
            <w:r>
              <w:rPr>
                <w:rFonts w:hint="eastAsia" w:ascii="仿宋_GB2312" w:hAnsi="仿宋_GB2312" w:eastAsia="仿宋_GB2312" w:cs="仿宋_GB2312"/>
                <w:color w:val="000000"/>
                <w:sz w:val="24"/>
                <w:highlight w:val="none"/>
                <w:lang w:val="en-US" w:eastAsia="zh-CN"/>
              </w:rPr>
              <w:t>2</w:t>
            </w:r>
            <w:r>
              <w:rPr>
                <w:rFonts w:hint="eastAsia" w:ascii="仿宋_GB2312" w:hAnsi="仿宋_GB2312" w:eastAsia="仿宋_GB2312" w:cs="仿宋_GB2312"/>
                <w:color w:val="000000"/>
                <w:sz w:val="24"/>
                <w:highlight w:val="none"/>
              </w:rPr>
              <w:t>年10月底前发放202</w:t>
            </w:r>
            <w:r>
              <w:rPr>
                <w:rFonts w:hint="eastAsia" w:ascii="仿宋_GB2312" w:hAnsi="仿宋_GB2312" w:eastAsia="仿宋_GB2312" w:cs="仿宋_GB2312"/>
                <w:color w:val="000000"/>
                <w:sz w:val="24"/>
                <w:highlight w:val="none"/>
                <w:lang w:val="en-US" w:eastAsia="zh-CN"/>
              </w:rPr>
              <w:t>2</w:t>
            </w:r>
            <w:r>
              <w:rPr>
                <w:rFonts w:hint="eastAsia" w:ascii="仿宋_GB2312" w:hAnsi="仿宋_GB2312" w:eastAsia="仿宋_GB2312" w:cs="仿宋_GB2312"/>
                <w:color w:val="000000"/>
                <w:sz w:val="24"/>
                <w:highlight w:val="none"/>
              </w:rPr>
              <w:t>年上半年奖补资金</w:t>
            </w:r>
            <w:r>
              <w:rPr>
                <w:rFonts w:hint="eastAsia" w:ascii="仿宋_GB2312" w:hAnsi="仿宋_GB2312" w:eastAsia="仿宋_GB2312" w:cs="仿宋_GB2312"/>
                <w:color w:val="000000"/>
                <w:sz w:val="24"/>
                <w:highlight w:val="none"/>
                <w:lang w:val="en-US" w:eastAsia="zh-CN"/>
              </w:rPr>
              <w:t>6216.07</w:t>
            </w:r>
            <w:r>
              <w:rPr>
                <w:rFonts w:hint="eastAsia" w:ascii="仿宋_GB2312" w:hAnsi="仿宋_GB2312" w:eastAsia="仿宋_GB2312" w:cs="仿宋_GB2312"/>
                <w:color w:val="000000"/>
                <w:sz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完成全部财政预算安排资金支出目标，不超范围、超预算支出</w:t>
            </w:r>
          </w:p>
        </w:tc>
        <w:tc>
          <w:tcPr>
            <w:tcW w:w="2684" w:type="dxa"/>
            <w:gridSpan w:val="6"/>
            <w:vAlign w:val="center"/>
          </w:tcPr>
          <w:p>
            <w:pPr>
              <w:jc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拓展优化了航线资源，实现“水水中转”战略，吸引了货源转运，实现城陵矶港集装箱吞吐量继续领先宜昌等同类港口，推动经济发展</w:t>
            </w:r>
          </w:p>
        </w:tc>
        <w:tc>
          <w:tcPr>
            <w:tcW w:w="2684" w:type="dxa"/>
            <w:gridSpan w:val="6"/>
            <w:vAlign w:val="center"/>
          </w:tcPr>
          <w:p>
            <w:pPr>
              <w:jc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1、做大物流产值，为生产贸易企业降低物流成本，推动湖南省外向型经济发展；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2、提升港口码头的作业效率与环保标准。</w:t>
            </w:r>
          </w:p>
        </w:tc>
        <w:tc>
          <w:tcPr>
            <w:tcW w:w="2684" w:type="dxa"/>
            <w:gridSpan w:val="6"/>
            <w:vAlign w:val="center"/>
          </w:tcPr>
          <w:p>
            <w:pPr>
              <w:jc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推动经济绿色低碳发展，改善运输结构，降低运输工具碳排放，助推打赢“蓝天保卫战”，防止破坏复绿岸线的行为发生，确保长江岸线的复绿效果，完善芭蕉湖管护治理。</w:t>
            </w:r>
          </w:p>
        </w:tc>
        <w:tc>
          <w:tcPr>
            <w:tcW w:w="2684" w:type="dxa"/>
            <w:gridSpan w:val="6"/>
            <w:vAlign w:val="center"/>
          </w:tcPr>
          <w:p>
            <w:pPr>
              <w:jc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服务对象满意率高于95%</w:t>
            </w:r>
          </w:p>
        </w:tc>
        <w:tc>
          <w:tcPr>
            <w:tcW w:w="2684" w:type="dxa"/>
            <w:gridSpan w:val="6"/>
            <w:vAlign w:val="center"/>
          </w:tcPr>
          <w:p>
            <w:pPr>
              <w:jc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袁梓豪</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科员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口岸贸易部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ind w:firstLine="554"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口岸贸易部</w:t>
            </w:r>
            <w:r>
              <w:rPr>
                <w:rFonts w:hint="eastAsia" w:ascii="仿宋_GB2312" w:hAnsi="仿宋_GB2312" w:eastAsia="仿宋_GB2312" w:cs="仿宋_GB2312"/>
                <w:bCs/>
                <w:sz w:val="28"/>
                <w:szCs w:val="28"/>
              </w:rPr>
              <w:t>基本情况人员共</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人，其中在编人员</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人，下设口岸发展科和物流促进科。主要职能：负责贯彻执行区域内港口管理方面的政策法规，参与研究制定并组织实施关于港口管理、口岸经济发展政策;负责统筹协调区域内港口岸线资源及相关陆域的使用管理;负责协调区域内港口生产、经营秩序，负责口岸平台资质申报、建设协调、运营管理工作;负责口岸经贸活动的策划和组织实施:负责区域内物流管理工作，牵头推进国家物流枢纽项目建设;负责组织实施自贸片区口岸管理、航运物流、国际贸易等制度创新工作</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年度工作任务：1、贯彻执行区域内港口管理方面的政策法规，参与研究制定并组织实施关于港口管理、口岸发展的相关政策。2、统筹协调区域内港口岸线资源及相关陆域的使用管理。3、维护我区港口生产、经营秩序；4、推动完成现代港口群设及码头提质岸线维护；5、深入推进开放崛起发展战略,加快城陵矶口岸航运物流发展,加速打造湖南通江达海新增长极,建设长江中游综合性航运物流中心,重点支持海外直航和国际接力航线、支持拓展省际航线、发展壮大省内航线、鼓励省内外集装箱货物在城陵矶港中转、鼓励港口运营企业做大做强城陵矶口岸。</w:t>
            </w:r>
          </w:p>
          <w:p>
            <w:pPr>
              <w:numPr>
                <w:ilvl w:val="0"/>
                <w:numId w:val="1"/>
              </w:num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部门支出规模</w:t>
            </w:r>
            <w:r>
              <w:rPr>
                <w:rFonts w:hint="eastAsia" w:ascii="仿宋_GB2312" w:hAnsi="仿宋_GB2312" w:eastAsia="仿宋_GB2312" w:cs="仿宋_GB2312"/>
                <w:bCs/>
                <w:sz w:val="28"/>
                <w:szCs w:val="28"/>
                <w:lang w:val="en-US" w:eastAsia="zh-CN"/>
              </w:rPr>
              <w:t>9212</w:t>
            </w:r>
            <w:r>
              <w:rPr>
                <w:rFonts w:hint="eastAsia" w:ascii="仿宋_GB2312" w:hAnsi="仿宋_GB2312" w:eastAsia="仿宋_GB2312" w:cs="仿宋_GB2312"/>
                <w:bCs/>
                <w:sz w:val="28"/>
                <w:szCs w:val="28"/>
              </w:rPr>
              <w:t>万元，包括一区一港四口岸奖补专项资金</w:t>
            </w:r>
            <w:r>
              <w:rPr>
                <w:rFonts w:hint="eastAsia" w:ascii="仿宋_GB2312" w:hAnsi="仿宋_GB2312" w:eastAsia="仿宋_GB2312" w:cs="仿宋_GB2312"/>
                <w:bCs/>
                <w:sz w:val="28"/>
                <w:szCs w:val="28"/>
                <w:lang w:val="en-US" w:eastAsia="zh-CN"/>
              </w:rPr>
              <w:t>9000</w:t>
            </w:r>
            <w:r>
              <w:rPr>
                <w:rFonts w:hint="eastAsia" w:ascii="仿宋_GB2312" w:hAnsi="仿宋_GB2312" w:eastAsia="仿宋_GB2312" w:cs="仿宋_GB2312"/>
                <w:bCs/>
                <w:sz w:val="28"/>
                <w:szCs w:val="28"/>
              </w:rPr>
              <w:t>万元，基本支出资金</w:t>
            </w:r>
            <w:r>
              <w:rPr>
                <w:rFonts w:hint="eastAsia" w:ascii="仿宋_GB2312" w:hAnsi="仿宋_GB2312" w:eastAsia="仿宋_GB2312" w:cs="仿宋_GB2312"/>
                <w:bCs/>
                <w:sz w:val="28"/>
                <w:szCs w:val="28"/>
                <w:lang w:val="en-US" w:eastAsia="zh-CN"/>
              </w:rPr>
              <w:t>179</w:t>
            </w:r>
            <w:r>
              <w:rPr>
                <w:rFonts w:hint="eastAsia" w:ascii="仿宋_GB2312" w:hAnsi="仿宋_GB2312" w:eastAsia="仿宋_GB2312" w:cs="仿宋_GB2312"/>
                <w:bCs/>
                <w:sz w:val="28"/>
                <w:szCs w:val="28"/>
              </w:rPr>
              <w:t>万元，其中</w:t>
            </w:r>
            <w:r>
              <w:rPr>
                <w:rFonts w:hint="eastAsia" w:ascii="仿宋_GB2312" w:hAnsi="仿宋_GB2312" w:eastAsia="仿宋_GB2312" w:cs="仿宋_GB2312"/>
                <w:bCs/>
                <w:sz w:val="28"/>
                <w:szCs w:val="28"/>
                <w:lang w:val="en-US" w:eastAsia="zh-CN"/>
              </w:rPr>
              <w:t>164</w:t>
            </w:r>
            <w:r>
              <w:rPr>
                <w:rFonts w:hint="eastAsia" w:ascii="仿宋_GB2312" w:hAnsi="仿宋_GB2312" w:eastAsia="仿宋_GB2312" w:cs="仿宋_GB2312"/>
                <w:bCs/>
                <w:sz w:val="28"/>
                <w:szCs w:val="28"/>
              </w:rPr>
              <w:t>万元是人员支出费用，</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万元是公用支出费用。</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60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部门基本支出资金</w:t>
            </w:r>
            <w:r>
              <w:rPr>
                <w:rFonts w:hint="eastAsia" w:ascii="仿宋_GB2312" w:hAnsi="仿宋_GB2312" w:eastAsia="仿宋_GB2312" w:cs="仿宋_GB2312"/>
                <w:bCs/>
                <w:sz w:val="28"/>
                <w:szCs w:val="28"/>
                <w:lang w:val="en-US" w:eastAsia="zh-CN"/>
              </w:rPr>
              <w:t>179</w:t>
            </w:r>
            <w:r>
              <w:rPr>
                <w:rFonts w:hint="eastAsia" w:ascii="仿宋_GB2312" w:hAnsi="仿宋_GB2312" w:eastAsia="仿宋_GB2312" w:cs="仿宋_GB2312"/>
                <w:bCs/>
                <w:sz w:val="28"/>
                <w:szCs w:val="28"/>
              </w:rPr>
              <w:t>万元，其中人员支出</w:t>
            </w:r>
            <w:r>
              <w:rPr>
                <w:rFonts w:hint="eastAsia" w:ascii="仿宋_GB2312" w:hAnsi="仿宋_GB2312" w:eastAsia="仿宋_GB2312" w:cs="仿宋_GB2312"/>
                <w:bCs/>
                <w:sz w:val="28"/>
                <w:szCs w:val="28"/>
                <w:lang w:val="en-US" w:eastAsia="zh-CN"/>
              </w:rPr>
              <w:t>164</w:t>
            </w:r>
            <w:r>
              <w:rPr>
                <w:rFonts w:hint="eastAsia" w:ascii="仿宋_GB2312" w:hAnsi="仿宋_GB2312" w:eastAsia="仿宋_GB2312" w:cs="仿宋_GB2312"/>
                <w:bCs/>
                <w:sz w:val="28"/>
                <w:szCs w:val="28"/>
              </w:rPr>
              <w:t>万元，公用支出</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万元。三公经费使用</w:t>
            </w:r>
            <w:r>
              <w:rPr>
                <w:rFonts w:hint="eastAsia" w:ascii="仿宋_GB2312" w:hAnsi="仿宋_GB2312" w:eastAsia="仿宋_GB2312" w:cs="仿宋_GB2312"/>
                <w:bCs/>
                <w:sz w:val="28"/>
                <w:szCs w:val="28"/>
                <w:lang w:val="en-US" w:eastAsia="zh-CN"/>
              </w:rPr>
              <w:t>3.98</w:t>
            </w:r>
            <w:r>
              <w:rPr>
                <w:rFonts w:hint="eastAsia" w:ascii="仿宋_GB2312" w:hAnsi="仿宋_GB2312" w:eastAsia="仿宋_GB2312" w:cs="仿宋_GB2312"/>
                <w:bCs/>
                <w:sz w:val="28"/>
                <w:szCs w:val="28"/>
              </w:rPr>
              <w:t>万元</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专项支出共计</w:t>
            </w:r>
            <w:r>
              <w:rPr>
                <w:rFonts w:hint="eastAsia" w:ascii="仿宋_GB2312" w:hAnsi="仿宋_GB2312" w:eastAsia="仿宋_GB2312" w:cs="仿宋_GB2312"/>
                <w:bCs/>
                <w:sz w:val="28"/>
                <w:szCs w:val="28"/>
                <w:lang w:val="en-US" w:eastAsia="zh-CN"/>
              </w:rPr>
              <w:t>9000</w:t>
            </w:r>
            <w:r>
              <w:rPr>
                <w:rFonts w:hint="eastAsia" w:ascii="仿宋_GB2312" w:hAnsi="仿宋_GB2312" w:eastAsia="仿宋_GB2312" w:cs="仿宋_GB2312"/>
                <w:bCs/>
                <w:sz w:val="28"/>
                <w:szCs w:val="28"/>
              </w:rPr>
              <w:t>万元，用于支付信息技术、监管数据服务、重点支持海外直航和国际接力航线、支持拓展省际航线、发展壮大省内航线、鼓励省内外集装箱货物在城陵矶港中转、鼓励港口运营企业做大做强城陵矶口岸。城陵矶港全年完成集装箱吞吐量</w:t>
            </w:r>
            <w:r>
              <w:rPr>
                <w:rFonts w:hint="eastAsia" w:ascii="仿宋_GB2312" w:hAnsi="仿宋_GB2312" w:eastAsia="仿宋_GB2312" w:cs="仿宋_GB2312"/>
                <w:bCs/>
                <w:sz w:val="28"/>
                <w:szCs w:val="28"/>
                <w:lang w:val="en-US" w:eastAsia="zh-CN"/>
              </w:rPr>
              <w:t>100</w:t>
            </w:r>
            <w:r>
              <w:rPr>
                <w:rFonts w:hint="eastAsia" w:ascii="仿宋_GB2312" w:hAnsi="仿宋_GB2312" w:eastAsia="仿宋_GB2312" w:cs="仿宋_GB2312"/>
                <w:bCs/>
                <w:sz w:val="28"/>
                <w:szCs w:val="28"/>
              </w:rPr>
              <w:t>万标箱，开通</w:t>
            </w:r>
            <w:r>
              <w:rPr>
                <w:rFonts w:hint="eastAsia" w:ascii="仿宋_GB2312" w:hAnsi="仿宋_GB2312" w:eastAsia="仿宋_GB2312" w:cs="仿宋_GB2312"/>
                <w:bCs/>
                <w:sz w:val="28"/>
                <w:szCs w:val="28"/>
                <w:lang w:val="en-US" w:eastAsia="zh-CN"/>
              </w:rPr>
              <w:t>川渝航线</w:t>
            </w:r>
            <w:r>
              <w:rPr>
                <w:rFonts w:hint="eastAsia" w:ascii="仿宋_GB2312" w:hAnsi="仿宋_GB2312" w:eastAsia="仿宋_GB2312" w:cs="仿宋_GB2312"/>
                <w:bCs/>
                <w:sz w:val="28"/>
                <w:szCs w:val="28"/>
              </w:rPr>
              <w:t>等，奖补数据准确，资金落实效果明显。</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专项资金实际使用情况与预算情况一致，且发挥了专项资金效益。</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已制定或具有预算资金管理办法，内部财务管理制度、会计核算制度等管理制度；相关管理制度合法、合规、完整；相关管理制度得到有效执行。</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napToGrid w:val="0"/>
              <w:spacing w:line="60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numPr>
                <w:ilvl w:val="0"/>
                <w:numId w:val="1"/>
              </w:numPr>
              <w:spacing w:line="560" w:lineRule="exact"/>
              <w:ind w:left="0" w:leftChars="0"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numPr>
                <w:ilvl w:val="0"/>
                <w:numId w:val="0"/>
              </w:num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numPr>
                <w:ilvl w:val="0"/>
                <w:numId w:val="2"/>
              </w:numPr>
              <w:spacing w:line="560" w:lineRule="exact"/>
              <w:ind w:firstLine="554"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adjustRightInd w:val="0"/>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（一）经济性分析</w:t>
            </w:r>
          </w:p>
          <w:p>
            <w:pPr>
              <w:adjustRightInd w:val="0"/>
              <w:snapToGrid w:val="0"/>
              <w:spacing w:line="60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安排了专人对编写了基础数据信息和会计信息资料，确保了资料真实、完整、准确，使用环节严格按照成本（预算）控制制度进行，资金拨付有完整的审批程序和手续；项目支出按规定经过评估论证；确保了资金充分合理使用，基本保持支出与预算一致。</w:t>
            </w:r>
          </w:p>
          <w:p>
            <w:pPr>
              <w:adjustRightInd w:val="0"/>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 效率性分析</w:t>
            </w:r>
          </w:p>
          <w:p>
            <w:pPr>
              <w:adjustRightInd w:val="0"/>
              <w:snapToGrid w:val="0"/>
              <w:spacing w:line="60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按时按质量完成了各项工作：本港完成集装箱吞吐量</w:t>
            </w:r>
            <w:r>
              <w:rPr>
                <w:rFonts w:hint="eastAsia" w:ascii="仿宋_GB2312" w:hAnsi="仿宋_GB2312" w:eastAsia="仿宋_GB2312" w:cs="仿宋_GB2312"/>
                <w:bCs/>
                <w:sz w:val="28"/>
                <w:szCs w:val="28"/>
                <w:lang w:val="en-US" w:eastAsia="zh-CN"/>
              </w:rPr>
              <w:t>100</w:t>
            </w:r>
            <w:r>
              <w:rPr>
                <w:rFonts w:hint="eastAsia" w:ascii="仿宋_GB2312" w:hAnsi="仿宋_GB2312" w:eastAsia="仿宋_GB2312" w:cs="仿宋_GB2312"/>
                <w:bCs/>
                <w:sz w:val="28"/>
                <w:szCs w:val="28"/>
              </w:rPr>
              <w:t>万标箱；完成物流产值</w:t>
            </w:r>
            <w:r>
              <w:rPr>
                <w:rFonts w:hint="eastAsia" w:ascii="仿宋_GB2312" w:hAnsi="仿宋_GB2312" w:eastAsia="仿宋_GB2312" w:cs="仿宋_GB2312"/>
                <w:bCs/>
                <w:sz w:val="28"/>
                <w:szCs w:val="28"/>
                <w:lang w:val="en-US" w:eastAsia="zh-CN"/>
              </w:rPr>
              <w:t>265</w:t>
            </w:r>
            <w:r>
              <w:rPr>
                <w:rFonts w:hint="eastAsia" w:ascii="仿宋_GB2312" w:hAnsi="仿宋_GB2312" w:eastAsia="仿宋_GB2312" w:cs="仿宋_GB2312"/>
                <w:bCs/>
                <w:sz w:val="28"/>
                <w:szCs w:val="28"/>
              </w:rPr>
              <w:t>亿元，完</w:t>
            </w:r>
            <w:r>
              <w:rPr>
                <w:rFonts w:hint="eastAsia" w:ascii="仿宋_GB2312" w:hAnsi="仿宋_GB2312" w:eastAsia="仿宋_GB2312" w:cs="仿宋_GB2312"/>
                <w:bCs/>
                <w:sz w:val="28"/>
                <w:szCs w:val="28"/>
                <w:lang w:val="en-US" w:eastAsia="zh-CN"/>
              </w:rPr>
              <w:t>成6次督查码头提质改造工作；将城陵矶至上海洋山航线增至每周5班以上，城陵矶至重庆航线增至每周4-5班；完成2021年下半年和2022年上半</w:t>
            </w:r>
            <w:r>
              <w:rPr>
                <w:rFonts w:hint="eastAsia" w:ascii="仿宋_GB2312" w:hAnsi="仿宋_GB2312" w:eastAsia="仿宋_GB2312" w:cs="仿宋_GB2312"/>
                <w:bCs/>
                <w:sz w:val="28"/>
                <w:szCs w:val="28"/>
              </w:rPr>
              <w:t>年“一区一港四口岸” 奖励资金的申报资料的初审并发放到位；完成市级芭蕉湖巡湖</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次。</w:t>
            </w:r>
          </w:p>
          <w:p>
            <w:pPr>
              <w:adjustRightInd w:val="0"/>
              <w:snapToGrid w:val="0"/>
              <w:spacing w:line="600" w:lineRule="exact"/>
              <w:ind w:firstLine="554" w:firstLineChars="200"/>
              <w:rPr>
                <w:rFonts w:ascii="Calibri" w:hAnsi="Calibri" w:eastAsia="仿宋_GB2312" w:cs="Times New Roman"/>
                <w:bCs/>
                <w:sz w:val="28"/>
                <w:szCs w:val="28"/>
              </w:rPr>
            </w:pPr>
            <w:r>
              <w:rPr>
                <w:rFonts w:hint="eastAsia" w:ascii="Calibri" w:hAnsi="Calibri" w:eastAsia="仿宋_GB2312" w:cs="Times New Roman"/>
                <w:bCs/>
                <w:sz w:val="28"/>
                <w:szCs w:val="28"/>
              </w:rPr>
              <w:t>（三）有效性分析</w:t>
            </w:r>
          </w:p>
          <w:p>
            <w:pPr>
              <w:adjustRightInd w:val="0"/>
              <w:snapToGrid w:val="0"/>
              <w:spacing w:line="600" w:lineRule="exact"/>
              <w:ind w:firstLine="554" w:firstLineChars="200"/>
              <w:rPr>
                <w:rFonts w:ascii="Calibri" w:hAnsi="Calibri" w:eastAsia="仿宋_GB2312" w:cs="Times New Roman"/>
                <w:bCs/>
                <w:sz w:val="28"/>
                <w:szCs w:val="28"/>
              </w:rPr>
            </w:pPr>
            <w:r>
              <w:rPr>
                <w:rFonts w:hint="eastAsia" w:ascii="Calibri" w:hAnsi="Calibri" w:eastAsia="仿宋_GB2312" w:cs="Times New Roman"/>
                <w:bCs/>
                <w:sz w:val="28"/>
                <w:szCs w:val="28"/>
              </w:rPr>
              <w:t>各项工作达到的成效：做大物流产值，实现降本增效；提升港口码头的作业效率与环保标准；拓展优化了航线资源，实现“水水中转”战略，吸引了货源转运，实现城陵矶港集装箱吞吐量继续领先宜昌等同类港口，推动经济发展；防止破坏复绿岸线的行为发生，确保了长江岸线的复绿效果，完善芭蕉湖管护治理。</w:t>
            </w:r>
          </w:p>
          <w:p>
            <w:pPr>
              <w:adjustRightInd w:val="0"/>
              <w:snapToGrid w:val="0"/>
              <w:spacing w:line="600" w:lineRule="exact"/>
              <w:ind w:firstLine="554" w:firstLineChars="200"/>
              <w:rPr>
                <w:rFonts w:ascii="Calibri" w:hAnsi="Calibri" w:eastAsia="仿宋_GB2312" w:cs="Times New Roman"/>
                <w:bCs/>
                <w:sz w:val="28"/>
                <w:szCs w:val="28"/>
              </w:rPr>
            </w:pPr>
            <w:r>
              <w:rPr>
                <w:rFonts w:hint="eastAsia" w:ascii="Calibri" w:hAnsi="Calibri" w:eastAsia="仿宋_GB2312" w:cs="Times New Roman"/>
                <w:bCs/>
                <w:sz w:val="28"/>
                <w:szCs w:val="28"/>
              </w:rPr>
              <w:t>（四）可持续性</w:t>
            </w:r>
          </w:p>
          <w:p>
            <w:pPr>
              <w:adjustRightInd w:val="0"/>
              <w:snapToGrid w:val="0"/>
              <w:spacing w:line="600" w:lineRule="exact"/>
              <w:ind w:firstLine="554" w:firstLineChars="200"/>
              <w:rPr>
                <w:rFonts w:ascii="Calibri" w:hAnsi="Calibri" w:eastAsia="仿宋_GB2312" w:cs="Times New Roman"/>
                <w:bCs/>
                <w:sz w:val="28"/>
                <w:szCs w:val="28"/>
              </w:rPr>
            </w:pPr>
            <w:r>
              <w:rPr>
                <w:rFonts w:hint="eastAsia" w:ascii="Calibri" w:hAnsi="Calibri" w:eastAsia="仿宋_GB2312" w:cs="Times New Roman"/>
                <w:bCs/>
                <w:sz w:val="28"/>
                <w:szCs w:val="28"/>
              </w:rPr>
              <w:t>继续进行所有码头企业防疫联点工作；继续全力引导省内货物从城陵矶港通行；继续全力参与口岸博览会筹备工作；继续积极争取省级财政专项资金支持；继续精心组织港航奖补资料审核工作；继续着力推动物流产业的发展，稳步推进集装箱铁水联运发展；将继续对芭蕉湖进行持续有效管护。</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预算绩效评价指标体系有待完善。因对项目支出规律研究不深，校内部分项目考核指标细化和量化不够，投入产出经济性、效益性、满意度考核指标不够明确、不够完善。</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adjustRightInd w:val="0"/>
              <w:snapToGrid w:val="0"/>
              <w:spacing w:line="6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会计制度功能科目和经济科目的要求科学分解财政预算，达到预算指标和绩效指标高度一致，以进一步提高整体支出绩效目标。完善项目绩效管理办法，落实项目绩效管理责任，严格项目管控过程，加快项目推进进度，建立自评与他评相结合的评价机制，提高绩效考核结果对预算编制的指挥作用。</w:t>
            </w:r>
          </w:p>
          <w:p>
            <w:pPr>
              <w:rPr>
                <w:rFonts w:eastAsia="楷体_GB2312"/>
                <w:bCs/>
                <w:sz w:val="28"/>
                <w:szCs w:val="28"/>
              </w:rPr>
            </w:pPr>
          </w:p>
        </w:tc>
      </w:tr>
    </w:tbl>
    <w:p>
      <w:r>
        <w:rPr>
          <w:rFonts w:eastAsia="楷体_GB2312"/>
          <w:bCs/>
          <w:sz w:val="28"/>
          <w:szCs w:val="28"/>
        </w:rPr>
        <w:br w:type="page"/>
      </w:r>
    </w:p>
    <w:p>
      <w:pPr>
        <w:rPr>
          <w:rFonts w:ascii="黑体" w:hAnsi="黑体" w:eastAsia="黑体"/>
          <w:sz w:val="32"/>
          <w:szCs w:val="32"/>
        </w:rPr>
      </w:pPr>
      <w:r>
        <w:rPr>
          <w:rFonts w:hint="eastAsia" w:ascii="黑体" w:hAnsi="黑体" w:eastAsia="黑体"/>
          <w:sz w:val="32"/>
          <w:szCs w:val="32"/>
        </w:rPr>
        <w:t>附件3-1</w:t>
      </w:r>
    </w:p>
    <w:p>
      <w:pPr>
        <w:keepNext w:val="0"/>
        <w:keepLines w:val="0"/>
        <w:pageBreakBefore w:val="0"/>
        <w:widowControl w:val="0"/>
        <w:kinsoku/>
        <w:wordWrap/>
        <w:overflowPunct/>
        <w:topLinePunct w:val="0"/>
        <w:autoSpaceDE/>
        <w:autoSpaceDN/>
        <w:bidi w:val="0"/>
        <w:adjustRightInd/>
        <w:snapToGrid/>
        <w:spacing w:before="304" w:beforeLines="50" w:after="304" w:afterLines="50"/>
        <w:jc w:val="center"/>
        <w:textAlignment w:val="auto"/>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adjustRightInd w:val="0"/>
        <w:snapToGrid w:val="0"/>
        <w:spacing w:line="640" w:lineRule="exact"/>
        <w:contextualSpacing/>
        <w:rPr>
          <w:rFonts w:hint="eastAsia"/>
          <w:sz w:val="28"/>
          <w:szCs w:val="28"/>
        </w:rPr>
      </w:pPr>
      <w:bookmarkStart w:id="0" w:name="_GoBack"/>
      <w:bookmarkEnd w:id="0"/>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CC727"/>
    <w:multiLevelType w:val="singleLevel"/>
    <w:tmpl w:val="0D6CC727"/>
    <w:lvl w:ilvl="0" w:tentative="0">
      <w:start w:val="2"/>
      <w:numFmt w:val="chineseCounting"/>
      <w:suff w:val="nothing"/>
      <w:lvlText w:val="（%1）"/>
      <w:lvlJc w:val="left"/>
      <w:rPr>
        <w:rFonts w:hint="eastAsia"/>
      </w:rPr>
    </w:lvl>
  </w:abstractNum>
  <w:abstractNum w:abstractNumId="1">
    <w:nsid w:val="2821309C"/>
    <w:multiLevelType w:val="singleLevel"/>
    <w:tmpl w:val="2821309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YTAzZTgyMDMwZjE4NDYxZDljMTc5OTg0ZTQ5NjEifQ=="/>
    <w:docVar w:name="KSO_WPS_MARK_KEY" w:val="0ee7d815-2f00-4552-8a69-20e963c2de23"/>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6FBE"/>
    <w:rsid w:val="00497775"/>
    <w:rsid w:val="004A175A"/>
    <w:rsid w:val="004E4D39"/>
    <w:rsid w:val="00532371"/>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C0295"/>
    <w:rsid w:val="00DC5AFB"/>
    <w:rsid w:val="00DF1BBB"/>
    <w:rsid w:val="00E60FCA"/>
    <w:rsid w:val="00EA1E6B"/>
    <w:rsid w:val="00EB2748"/>
    <w:rsid w:val="00F521AC"/>
    <w:rsid w:val="00F74B28"/>
    <w:rsid w:val="00F86472"/>
    <w:rsid w:val="02AC2ED8"/>
    <w:rsid w:val="040C1788"/>
    <w:rsid w:val="11D93DD7"/>
    <w:rsid w:val="1A9B1BBA"/>
    <w:rsid w:val="21DE1912"/>
    <w:rsid w:val="292E4C0A"/>
    <w:rsid w:val="2A6D1036"/>
    <w:rsid w:val="30DF318F"/>
    <w:rsid w:val="327F338E"/>
    <w:rsid w:val="3B012C57"/>
    <w:rsid w:val="3C12626D"/>
    <w:rsid w:val="40823155"/>
    <w:rsid w:val="4233680D"/>
    <w:rsid w:val="46EF7542"/>
    <w:rsid w:val="6AD16123"/>
    <w:rsid w:val="79BA3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2"/>
    <w:basedOn w:val="1"/>
    <w:link w:val="15"/>
    <w:unhideWhenUsed/>
    <w:qFormat/>
    <w:uiPriority w:val="0"/>
    <w:pPr>
      <w:ind w:firstLine="588" w:firstLineChars="200"/>
    </w:pPr>
    <w:rPr>
      <w:rFonts w:ascii="仿宋_GB2312" w:hAnsi="Calibri" w:eastAsia="仿宋_GB2312" w:cs="Times New Roman"/>
      <w:sz w:val="32"/>
      <w:szCs w:val="24"/>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0"/>
    <w:rPr>
      <w:sz w:val="18"/>
      <w:szCs w:val="18"/>
    </w:rPr>
  </w:style>
  <w:style w:type="character" w:customStyle="1" w:styleId="14">
    <w:name w:val="标题 3 Char Char"/>
    <w:qFormat/>
    <w:uiPriority w:val="0"/>
    <w:rPr>
      <w:rFonts w:eastAsia="楷体_GB2312"/>
      <w:b/>
      <w:kern w:val="2"/>
      <w:sz w:val="32"/>
      <w:szCs w:val="24"/>
      <w:lang w:val="en-US" w:eastAsia="zh-CN" w:bidi="ar-SA"/>
    </w:rPr>
  </w:style>
  <w:style w:type="character" w:customStyle="1" w:styleId="15">
    <w:name w:val="正文文本缩进 2 Char"/>
    <w:basedOn w:val="9"/>
    <w:link w:val="4"/>
    <w:qFormat/>
    <w:uiPriority w:val="0"/>
    <w:rPr>
      <w:rFonts w:ascii="仿宋_GB2312" w:hAnsi="Calibri" w:eastAsia="仿宋_GB2312" w:cs="Times New Roman"/>
      <w:sz w:val="32"/>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11292</Words>
  <Characters>12059</Characters>
  <Lines>19</Lines>
  <Paragraphs>5</Paragraphs>
  <TotalTime>288</TotalTime>
  <ScaleCrop>false</ScaleCrop>
  <LinksUpToDate>false</LinksUpToDate>
  <CharactersWithSpaces>13211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Boss-Yuan</cp:lastModifiedBy>
  <cp:lastPrinted>2023-08-31T06:29:00Z</cp:lastPrinted>
  <dcterms:modified xsi:type="dcterms:W3CDTF">2023-10-08T02:22:10Z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38FB44C29A1148A49C4E799BB4BD13D1</vt:lpwstr>
  </property>
</Properties>
</file>