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p>
    <w:p>
      <w:pPr>
        <w:spacing w:line="60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岳阳市</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市场监管</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部门</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行政许可事项清单（2023年版）</w:t>
      </w:r>
      <w:bookmarkEnd w:id="0"/>
    </w:p>
    <w:p>
      <w:pPr>
        <w:spacing w:line="600" w:lineRule="exact"/>
        <w:ind w:firstLine="640" w:firstLineChars="200"/>
        <w:rPr>
          <w:rFonts w:hAnsi="黑体" w:eastAsia="黑体"/>
          <w:color w:val="000000" w:themeColor="text1"/>
          <w:sz w:val="32"/>
          <w:szCs w:val="32"/>
          <w14:textFill>
            <w14:solidFill>
              <w14:schemeClr w14:val="tx1"/>
            </w14:solidFill>
          </w14:textFill>
        </w:rPr>
      </w:pPr>
    </w:p>
    <w:tbl>
      <w:tblPr>
        <w:tblStyle w:val="10"/>
        <w:tblW w:w="1417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58"/>
        <w:gridCol w:w="1171"/>
        <w:gridCol w:w="2621"/>
        <w:gridCol w:w="2748"/>
        <w:gridCol w:w="5264"/>
        <w:gridCol w:w="18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cantSplit/>
          <w:trHeight w:val="567" w:hRule="atLeast"/>
          <w:tblHeader/>
          <w:jc w:val="center"/>
        </w:trPr>
        <w:tc>
          <w:tcPr>
            <w:tcW w:w="558" w:type="dxa"/>
            <w:noWrap w:val="0"/>
            <w:tcMar>
              <w:top w:w="28" w:type="dxa"/>
              <w:left w:w="28" w:type="dxa"/>
              <w:bottom w:w="28" w:type="dxa"/>
              <w:right w:w="28" w:type="dxa"/>
            </w:tcMar>
            <w:vAlign w:val="center"/>
          </w:tcPr>
          <w:p>
            <w:pPr>
              <w:spacing w:line="360" w:lineRule="exact"/>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序号</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lang w:eastAsia="zh-CN"/>
                <w14:textFill>
                  <w14:solidFill>
                    <w14:schemeClr w14:val="tx1"/>
                  </w14:solidFill>
                </w14:textFill>
              </w:rPr>
              <w:t>市级</w:t>
            </w:r>
          </w:p>
          <w:p>
            <w:pPr>
              <w:spacing w:line="360" w:lineRule="exact"/>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主管部门</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事项名称</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实施机关</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设定和实施依据</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黑体" w:hAnsi="黑体" w:eastAsia="黑体" w:cs="黑体"/>
                <w:b w:val="0"/>
                <w:bCs/>
                <w:color w:val="000000" w:themeColor="text1"/>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备   注</w:t>
            </w: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食品生产许可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市市场监管局；县级市场监管部门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《中华人民共和国食品安全法》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《食品生产许可管理办法》</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食品添加剂生产许可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市市场监管局；县级市场监管部门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《中华人民共和国食品安全法》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《食品生产许可管理办法》</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食品经营许可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市市场监管局；县市区市场监管部门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《中华人民共和国食品安全法》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《食品经营许可管理办法》</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移动式压力容器、气瓶充装许可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市市场监管局（受省市场监管局委托实施）</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《中华人民共和国特种设备安全法》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《特种设备安全监察条例》</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特种设备使用登记</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《中华人民共和国特种设备安全法》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《特种设备安全监察条例》</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特种设备安全管理和作业人员资格认定</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《中华人民共和国特种设备安全法》</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《特种设备安全监察条例》</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《特种设备作业人员监督管理办法》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《国家职业资格目录（2021年版）》</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1054"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计量标准器具核准</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市市场监管局；县级市场监管部门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《中华人民共和国计量法》</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《中华人民共和国计量法实施细则》</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《计量标准考核办法》</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895"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承担国家法定计量检定机构任务授权</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市市场监管局；县级市场监管部门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《中华人民共和国计量法》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《中华人民共和国计量法实施细则》</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《计量授权管理办法》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《法定计量检定机构监督管理办法》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《专业计量站管理办法》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《市场监管总局关于取消部分部门规章和规范性文件等设定的证明事项的公告》（国家市场监督管理总局公告2019年第54号）</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1233"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企业登记注册</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市市场监管局；县市区市场监管部门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《中华人民共和国公司法》</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《中华人民共和国合伙企业法》</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《中华人民共和国个人独资企业法》</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《中华人民共和国外商投资法》</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《中华人民共和国市场主体登记管理条例》</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《中华人民共和国外商投资法实施条例》</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《中华人民共和国市场主体登记管理条例实施细则》</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个体工商户登记注册</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县市区市场监管部门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《中华人民共和国市场主体登记管理条例》</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《促进个体工商户发展条例》</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《中华人民共和国市场主体登记管理条例实施细则》</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农民专业合作社登记注册</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县市区市场监管部门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《中华人民共和国农民专业合作社法》</w:t>
            </w:r>
          </w:p>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《中华人民共和国市场主体登记管理条例》</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《中华人民共和国市场主体登记管理条例实施细则》</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药品零售企业经营许可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市市场监管局；县市区市场监管部门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《中华人民共和国药品管理法》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《中华人民共和国药品管理法实施条例》</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567"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麻醉药品、第一类精神药品运输许可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《中华人民共和国禁毒法》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《麻醉药品和精神药品管理条例》</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1079"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麻醉药品、精神药品邮寄许可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《中华人民共和国禁毒法》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《麻醉药品和精神药品管理条例》</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1594"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第三类医疗器械经营许可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市市场监管局（负责批发及批零兼营）；县市区市场监管部门（受市市场监管局委托负责零售）</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《医疗器械监督管理条例》</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1174"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小餐饮经营许可</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县市区市场监管部门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《湖南省食品生产加工小作坊小餐饮和食品摊贩管理条例》</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1069"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药品零售企业筹建审批</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市市场监管局；县市区市场监管部门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《中华人民共和国药品管理法》</w:t>
            </w:r>
          </w:p>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《中华人民共和国药品管理法实施条例》</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trPr>
          <w:cantSplit/>
          <w:trHeight w:val="1093" w:hRule="atLeast"/>
          <w:jc w:val="center"/>
        </w:trPr>
        <w:tc>
          <w:tcPr>
            <w:tcW w:w="558" w:type="dxa"/>
            <w:noWrap/>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17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szCs w:val="24"/>
                <w14:textFill>
                  <w14:solidFill>
                    <w14:schemeClr w14:val="tx1"/>
                  </w14:solidFill>
                </w14:textFill>
              </w:rPr>
              <w:t>市场</w:t>
            </w:r>
          </w:p>
          <w:p>
            <w:pPr>
              <w:spacing w:line="360" w:lineRule="exact"/>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监管局</w:t>
            </w:r>
          </w:p>
        </w:tc>
        <w:tc>
          <w:tcPr>
            <w:tcW w:w="262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科研和教学用毒性药品购买审批</w:t>
            </w:r>
          </w:p>
        </w:tc>
        <w:tc>
          <w:tcPr>
            <w:tcW w:w="2748"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市市场监管局；县市区市场监管部门</w:t>
            </w:r>
          </w:p>
        </w:tc>
        <w:tc>
          <w:tcPr>
            <w:tcW w:w="5264"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《医疗用毒性药品管理办法》</w:t>
            </w:r>
          </w:p>
        </w:tc>
        <w:tc>
          <w:tcPr>
            <w:tcW w:w="1811" w:type="dxa"/>
            <w:noWrap w:val="0"/>
            <w:tcMar>
              <w:top w:w="28" w:type="dxa"/>
              <w:left w:w="28" w:type="dxa"/>
              <w:bottom w:w="28" w:type="dxa"/>
              <w:right w:w="28" w:type="dxa"/>
            </w:tcMar>
            <w:vAlign w:val="center"/>
          </w:tcPr>
          <w:p>
            <w:pPr>
              <w:spacing w:line="360" w:lineRule="exact"/>
              <w:jc w:val="center"/>
              <w:textAlignment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bl>
    <w:p>
      <w:pPr>
        <w:rPr>
          <w:rFonts w:hint="eastAsia"/>
          <w:color w:val="000000" w:themeColor="text1"/>
          <w:lang w:eastAsia="zh-CN"/>
          <w14:textFill>
            <w14:solidFill>
              <w14:schemeClr w14:val="tx1"/>
            </w14:solidFill>
          </w14:textFill>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仿宋简体">
    <w:altName w:val="方正仿宋_GBK"/>
    <w:panose1 w:val="03000509000000000000"/>
    <w:charset w:val="00"/>
    <w:family w:val="script"/>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_GBK">
    <w:panose1 w:val="02000000000000000000"/>
    <w:charset w:val="86"/>
    <w:family w:val="script"/>
    <w:pitch w:val="default"/>
    <w:sig w:usb0="00000000" w:usb1="00000000" w:usb2="00000000" w:usb3="00000000" w:csb0="00160000" w:csb1="00000000"/>
  </w:font>
  <w:font w:name="仿宋_GB2312">
    <w:panose1 w:val="0201060903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MWI1ZTI3YmNhODA4YTk1NTM0ODY4NzhiZTVhYTMifQ=="/>
  </w:docVars>
  <w:rsids>
    <w:rsidRoot w:val="27EFC2AE"/>
    <w:rsid w:val="27EFC2AE"/>
    <w:rsid w:val="411F4135"/>
    <w:rsid w:val="52BF8757"/>
    <w:rsid w:val="57F2ECF5"/>
    <w:rsid w:val="5FB25591"/>
    <w:rsid w:val="77DF5C6A"/>
    <w:rsid w:val="7DAF9BFE"/>
    <w:rsid w:val="7F766471"/>
    <w:rsid w:val="7FFFB052"/>
    <w:rsid w:val="CFF23D02"/>
    <w:rsid w:val="DFCEC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spacing w:beforeLines="0" w:afterLines="0"/>
      <w:ind w:firstLine="420"/>
    </w:pPr>
    <w:rPr>
      <w:rFonts w:hint="default" w:eastAsia="方正仿宋简体"/>
      <w:sz w:val="32"/>
      <w:szCs w:val="24"/>
    </w:rPr>
  </w:style>
  <w:style w:type="paragraph" w:styleId="3">
    <w:name w:val="Body Text Indent"/>
    <w:basedOn w:val="1"/>
    <w:next w:val="1"/>
    <w:unhideWhenUsed/>
    <w:qFormat/>
    <w:uiPriority w:val="0"/>
    <w:pPr>
      <w:spacing w:beforeLines="0" w:after="120" w:afterLines="0"/>
      <w:ind w:left="420" w:leftChars="200"/>
    </w:pPr>
    <w:rPr>
      <w:rFonts w:hint="default"/>
      <w:kern w:val="0"/>
      <w:sz w:val="20"/>
      <w:szCs w:val="24"/>
    </w:r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toc 3"/>
    <w:basedOn w:val="1"/>
    <w:next w:val="1"/>
    <w:unhideWhenUsed/>
    <w:qFormat/>
    <w:uiPriority w:val="39"/>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1537</Words>
  <Characters>1572</Characters>
  <Lines>0</Lines>
  <Paragraphs>0</Paragraphs>
  <TotalTime>16</TotalTime>
  <ScaleCrop>false</ScaleCrop>
  <LinksUpToDate>false</LinksUpToDate>
  <CharactersWithSpaces>1657</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2023-10-13T23:47:00Z</dcterms:created>
  <dc:creator>李琼</dc:creator>
  <cp:lastModifiedBy>柳青</cp:lastModifiedBy>
  <cp:lastPrinted>2023-10-13T17:05:00Z</cp:lastPrinted>
  <dcterms:modified xsi:type="dcterms:W3CDTF">2023-10-13T17:14:36Z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63779222489EE4607C0A29658DF88E76_43</vt:lpwstr>
  </property>
</Properties>
</file>