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rPr>
          <w:rFonts w:hint="default" w:ascii="Times New Roman" w:eastAsia="Times New Roman"/>
          <w:color w:val="auto"/>
          <w:sz w:val="2"/>
          <w:szCs w:val="24"/>
        </w:rPr>
      </w:pPr>
      <w:bookmarkStart w:id="0" w:name="_GoBack"/>
      <w:bookmarkEnd w:id="0"/>
    </w:p>
    <w:tbl>
      <w:tblPr>
        <w:tblStyle w:val="8"/>
        <w:tblW w:w="15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5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1110" w:lineRule="exact"/>
              <w:ind w:left="20"/>
              <w:jc w:val="center"/>
              <w:rPr>
                <w:rFonts w:hint="default" w:ascii="微软雅黑" w:hAnsi="Times New Roman" w:eastAsia="微软雅黑"/>
                <w:b/>
                <w:sz w:val="84"/>
                <w:szCs w:val="24"/>
              </w:rPr>
            </w:pPr>
            <w:r>
              <w:rPr>
                <w:rFonts w:hint="default" w:ascii="微软雅黑" w:hAnsi="Times New Roman" w:eastAsia="微软雅黑"/>
                <w:b/>
                <w:sz w:val="84"/>
                <w:szCs w:val="24"/>
              </w:rPr>
              <w:t>岳阳市科学技术局2023年度</w:t>
            </w:r>
          </w:p>
          <w:p>
            <w:pPr>
              <w:spacing w:beforeLines="0" w:afterLines="0" w:line="1110" w:lineRule="exact"/>
              <w:ind w:left="20"/>
              <w:jc w:val="center"/>
              <w:rPr>
                <w:rFonts w:hint="default" w:ascii="微软雅黑" w:hAnsi="Times New Roman" w:eastAsia="微软雅黑"/>
                <w:sz w:val="84"/>
                <w:szCs w:val="24"/>
              </w:rPr>
            </w:pPr>
            <w:r>
              <w:rPr>
                <w:rFonts w:hint="default" w:ascii="微软雅黑" w:hAnsi="Times New Roman" w:eastAsia="微软雅黑"/>
                <w:b/>
                <w:sz w:val="84"/>
                <w:szCs w:val="24"/>
              </w:rPr>
              <w:t>部门预算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42"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25" w:lineRule="exact"/>
              <w:ind w:left="20"/>
              <w:jc w:val="center"/>
              <w:rPr>
                <w:rFonts w:hint="default" w:ascii="Dialog" w:hAnsi="Times New Roman"/>
                <w:sz w:val="44"/>
                <w:szCs w:val="24"/>
              </w:rPr>
            </w:pPr>
            <w:r>
              <w:rPr>
                <w:rFonts w:hint="eastAsia" w:ascii="Dialog" w:hAnsi="Times New Roman"/>
                <w:sz w:val="44"/>
                <w:szCs w:val="24"/>
              </w:rPr>
              <w:t>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第一部分  2023年部门预算说明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第二部分  2023年部门预算公开表格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4、支出预算分类汇总表（按政府预算经济分类）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5、支出预算分类汇总表（按部门预算经济分类）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6、财政拨款收支总表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7、一般公共预算支出表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8、一般公共预算基本支出表</w:t>
            </w:r>
            <w:r>
              <w:rPr>
                <w:rFonts w:hint="default" w:ascii="Dialog" w:hAnsi="Times New Roman"/>
                <w:sz w:val="32"/>
                <w:szCs w:val="24"/>
              </w:rPr>
              <w:t>-</w:t>
            </w:r>
            <w:r>
              <w:rPr>
                <w:rFonts w:hint="eastAsia" w:ascii="Dialog" w:hAnsi="Times New Roman"/>
                <w:sz w:val="32"/>
                <w:szCs w:val="24"/>
              </w:rPr>
              <w:t>人员经费（工资福利支出）（按政府预算经济分类）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9、一般公共预算基本支出表</w:t>
            </w:r>
            <w:r>
              <w:rPr>
                <w:rFonts w:hint="default" w:ascii="Dialog" w:hAnsi="Times New Roman"/>
                <w:sz w:val="32"/>
                <w:szCs w:val="24"/>
              </w:rPr>
              <w:t>-</w:t>
            </w:r>
            <w:r>
              <w:rPr>
                <w:rFonts w:hint="eastAsia" w:ascii="Dialog" w:hAnsi="Times New Roman"/>
                <w:sz w:val="32"/>
                <w:szCs w:val="24"/>
              </w:rPr>
              <w:t>人员经费（工资福利支出）（按部门预算经济分类）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10、一般公共预算基本支出表</w:t>
            </w:r>
            <w:r>
              <w:rPr>
                <w:rFonts w:hint="default" w:ascii="Dialog" w:hAnsi="Times New Roman"/>
                <w:sz w:val="32"/>
                <w:szCs w:val="24"/>
              </w:rPr>
              <w:t>-</w:t>
            </w:r>
            <w:r>
              <w:rPr>
                <w:rFonts w:hint="eastAsia" w:ascii="Dialog" w:hAnsi="Times New Roman"/>
                <w:sz w:val="32"/>
                <w:szCs w:val="24"/>
              </w:rPr>
              <w:t>人员经费（对个人和家庭的补助）（按政府预算经济分类）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11、一般公共预算基本支出表</w:t>
            </w:r>
            <w:r>
              <w:rPr>
                <w:rFonts w:hint="default" w:ascii="Dialog" w:hAnsi="Times New Roman"/>
                <w:sz w:val="32"/>
                <w:szCs w:val="24"/>
              </w:rPr>
              <w:t>-</w:t>
            </w:r>
            <w:r>
              <w:rPr>
                <w:rFonts w:hint="eastAsia" w:ascii="Dialog" w:hAnsi="Times New Roman"/>
                <w:sz w:val="32"/>
                <w:szCs w:val="24"/>
              </w:rPr>
              <w:t>人员经费（对个人和家庭的补助）（按部门预算经济分类）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12、一般公共预算基本支出表</w:t>
            </w:r>
            <w:r>
              <w:rPr>
                <w:rFonts w:hint="default" w:ascii="Dialog" w:hAnsi="Times New Roman"/>
                <w:sz w:val="32"/>
                <w:szCs w:val="24"/>
              </w:rPr>
              <w:t>-</w:t>
            </w:r>
            <w:r>
              <w:rPr>
                <w:rFonts w:hint="eastAsia" w:ascii="Dialog" w:hAnsi="Times New Roman"/>
                <w:sz w:val="32"/>
                <w:szCs w:val="24"/>
              </w:rPr>
              <w:t>公用经费（商品和服务支出）（按政府预算经济分类）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13、一般公共预算基本支出表</w:t>
            </w:r>
            <w:r>
              <w:rPr>
                <w:rFonts w:hint="default" w:ascii="Dialog" w:hAnsi="Times New Roman"/>
                <w:sz w:val="32"/>
                <w:szCs w:val="24"/>
              </w:rPr>
              <w:t>-</w:t>
            </w:r>
            <w:r>
              <w:rPr>
                <w:rFonts w:hint="eastAsia" w:ascii="Dialog" w:hAnsi="Times New Roman"/>
                <w:sz w:val="32"/>
                <w:szCs w:val="24"/>
              </w:rPr>
              <w:t>公用经费（商品和服务支出）（按部门预算经济分类）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14、一般公共预算“三公”经费支出表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15、政府性基金预算支出表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16、政府性基金预算支出分类汇总表（按政府预算经济分类）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17、政府性基金预算支出分类汇总表（按部门预算经济分类）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18、国有资本经营预算支出表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19、财政专户管理资金预算支出表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20、专项资金预算汇总表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21、项目支出绩效目标表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22、部门整体支出绩效目标表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23、一般公共预算基本支出表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color w:val="FF0000"/>
                <w:sz w:val="32"/>
                <w:szCs w:val="24"/>
              </w:rPr>
            </w:pPr>
            <w:r>
              <w:rPr>
                <w:rFonts w:hint="eastAsia" w:ascii="Dialog" w:hAnsi="Times New Roman"/>
                <w:color w:val="FF0000"/>
                <w:sz w:val="32"/>
                <w:szCs w:val="24"/>
              </w:rPr>
              <w:t>注：以上部门预算公开报表中，空表表示本部门无相关收支情况。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jc w:val="center"/>
              <w:rPr>
                <w:rFonts w:hint="default" w:ascii="Dialog" w:hAnsi="Times New Roman"/>
                <w:sz w:val="32"/>
                <w:szCs w:val="24"/>
              </w:rPr>
            </w:pPr>
            <w:r>
              <w:rPr>
                <w:rFonts w:hint="eastAsia" w:ascii="Dialog" w:hAnsi="Times New Roman"/>
                <w:sz w:val="32"/>
                <w:szCs w:val="24"/>
              </w:rPr>
              <w:t>第一部分  2023年部门预算说明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一、部门基本概况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（一）职能职责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负责全市科学技术进步的宏观管理和统筹协调。贯彻执行国家、省科技法律、法规和方针、政策；牵头拟订全市科技发展规划，确定科技发展的战略布局和优先发展领域；拟订相关政策，并监督实施；参与对经济社会发展有重大影响的跨部门、多学科的综合性项目的论证与决策。</w:t>
            </w:r>
          </w:p>
          <w:p>
            <w:pPr>
              <w:spacing w:beforeLines="0" w:afterLines="0" w:line="375" w:lineRule="exact"/>
              <w:ind w:left="20"/>
              <w:rPr>
                <w:rFonts w:hint="eastAsia" w:ascii="宋体" w:hAnsi="Times New Roman"/>
                <w:sz w:val="32"/>
                <w:szCs w:val="24"/>
              </w:rPr>
            </w:pPr>
            <w:r>
              <w:rPr>
                <w:rFonts w:hint="eastAsia" w:ascii="宋体" w:hAnsi="Times New Roman"/>
                <w:sz w:val="32"/>
                <w:szCs w:val="24"/>
              </w:rPr>
              <w:t>2.组织实施市科技重大专项工作。制定相关配套政策；组织科技重大专项实施中的方案论证、评审立项、跟踪管理与评估验收等；统筹申报和组织实施国家、省科技重大专项工作，协调市科技重大专项与国家、省科技重大专项的衔接与配套。</w:t>
            </w:r>
          </w:p>
          <w:p>
            <w:pPr>
              <w:spacing w:beforeLines="0" w:afterLines="0" w:line="375" w:lineRule="exact"/>
              <w:ind w:left="20"/>
              <w:rPr>
                <w:rFonts w:hint="eastAsia" w:ascii="宋体" w:hAnsi="Times New Roman"/>
                <w:sz w:val="32"/>
                <w:szCs w:val="24"/>
              </w:rPr>
            </w:pPr>
            <w:r>
              <w:rPr>
                <w:rFonts w:hint="eastAsia" w:ascii="宋体" w:hAnsi="Times New Roman"/>
                <w:sz w:val="32"/>
                <w:szCs w:val="24"/>
              </w:rPr>
              <w:t>3.负责组织实施市级科技计划工作。负责组织制定和实施基础研究计划、科技支撑计划、科技创新引导计划等各类市级科技计划；负责相关国家、省科技计划项目申报、推荐和管理；牵头组织全市经济社会发展重要领域的重大关键技术攻关。</w:t>
            </w:r>
          </w:p>
          <w:p>
            <w:pPr>
              <w:spacing w:beforeLines="0" w:afterLines="0" w:line="375" w:lineRule="exact"/>
              <w:ind w:left="20"/>
              <w:rPr>
                <w:rFonts w:hint="eastAsia" w:ascii="宋体" w:hAnsi="Times New Roman"/>
                <w:sz w:val="32"/>
                <w:szCs w:val="24"/>
              </w:rPr>
            </w:pPr>
            <w:r>
              <w:rPr>
                <w:rFonts w:hint="eastAsia" w:ascii="宋体" w:hAnsi="Times New Roman"/>
                <w:sz w:val="32"/>
                <w:szCs w:val="24"/>
              </w:rPr>
              <w:t>4.牵头组织全市农村和社会发展领域的科技进步工作。组织拟订科技促进农村和社会发展的规划和政策。</w:t>
            </w:r>
          </w:p>
          <w:p>
            <w:pPr>
              <w:spacing w:beforeLines="0" w:afterLines="0" w:line="375" w:lineRule="exact"/>
              <w:ind w:left="20"/>
              <w:rPr>
                <w:rFonts w:hint="eastAsia" w:ascii="宋体" w:hAnsi="Times New Roman"/>
                <w:sz w:val="32"/>
                <w:szCs w:val="24"/>
              </w:rPr>
            </w:pPr>
            <w:r>
              <w:rPr>
                <w:rFonts w:hint="eastAsia" w:ascii="宋体" w:hAnsi="Times New Roman"/>
                <w:sz w:val="32"/>
                <w:szCs w:val="24"/>
              </w:rPr>
              <w:t>5.牵头组织协调促进全市产学研结合工作。会同有关部门拟订促进产学研结合的相关政策；组织重大科技成果应用示范，加强科技成果转化和推广，推动企业技术创新能力建设；拟订促进技术市场、科技中介组织发展政策，负责全市技术市场体系建设和管理，推进科技服务体系发展。</w:t>
            </w:r>
          </w:p>
          <w:p>
            <w:pPr>
              <w:spacing w:beforeLines="0" w:afterLines="0" w:line="375" w:lineRule="exact"/>
              <w:ind w:left="20"/>
              <w:rPr>
                <w:rFonts w:hint="eastAsia" w:ascii="宋体" w:hAnsi="Times New Roman"/>
                <w:sz w:val="32"/>
                <w:szCs w:val="24"/>
              </w:rPr>
            </w:pPr>
            <w:r>
              <w:rPr>
                <w:rFonts w:hint="eastAsia" w:ascii="宋体" w:hAnsi="Times New Roman"/>
                <w:sz w:val="32"/>
                <w:szCs w:val="24"/>
              </w:rPr>
              <w:t>6.主管全市高新技术的研究开发、成果转化以及产业化工作。会同有关部门拟订高新技术发展及产业化的规划和政策，组织实施市高新技术产业化重大科技项目；归口管理和指导协调高新技术产业开发区等科技园区及特色产业化基地建设；组织认定高新技术企业、技术先进型服务企业和自主创新产品等相关工作；指导并推动高新技术企业创新发展；参与高新创业投资有关工作。</w:t>
            </w:r>
          </w:p>
          <w:p>
            <w:pPr>
              <w:spacing w:beforeLines="0" w:afterLines="0" w:line="375" w:lineRule="exact"/>
              <w:ind w:left="20"/>
              <w:rPr>
                <w:rFonts w:hint="eastAsia" w:ascii="宋体" w:hAnsi="Times New Roman"/>
                <w:sz w:val="32"/>
                <w:szCs w:val="24"/>
              </w:rPr>
            </w:pPr>
            <w:r>
              <w:rPr>
                <w:rFonts w:hint="eastAsia" w:ascii="宋体" w:hAnsi="Times New Roman"/>
                <w:sz w:val="32"/>
                <w:szCs w:val="24"/>
              </w:rPr>
              <w:t>7.会同有关部门提出全市科技体制改革的政策和措施建议，推进全市创新体系建设；审核相关科研机构的组建和调整。</w:t>
            </w:r>
          </w:p>
          <w:p>
            <w:pPr>
              <w:spacing w:beforeLines="0" w:afterLines="0" w:line="375" w:lineRule="exact"/>
              <w:ind w:left="20"/>
              <w:rPr>
                <w:rFonts w:hint="eastAsia" w:ascii="宋体" w:hAnsi="Times New Roman"/>
                <w:sz w:val="32"/>
                <w:szCs w:val="24"/>
              </w:rPr>
            </w:pPr>
            <w:r>
              <w:rPr>
                <w:rFonts w:hint="eastAsia" w:ascii="宋体" w:hAnsi="Times New Roman"/>
                <w:sz w:val="32"/>
                <w:szCs w:val="24"/>
              </w:rPr>
              <w:t>8.负责本部门及归口管理的市级科技经费预决算和经费使用的监督管理；会同有关部门制定多渠道增加科技投入的政策措施；组织拟定全市科研条件保障的规划和相关政策；负责制定并会同有关部门实施全市科技基础条件平台建设计划；推进科技基础条件平台共建共享；会同有关部门提出科技资源合理配置的政策建议。</w:t>
            </w:r>
          </w:p>
          <w:p>
            <w:pPr>
              <w:spacing w:beforeLines="0" w:afterLines="0" w:line="375" w:lineRule="exact"/>
              <w:ind w:left="20"/>
              <w:rPr>
                <w:rFonts w:hint="eastAsia" w:ascii="宋体" w:hAnsi="Times New Roman"/>
                <w:sz w:val="32"/>
                <w:szCs w:val="24"/>
              </w:rPr>
            </w:pPr>
            <w:r>
              <w:rPr>
                <w:rFonts w:hint="eastAsia" w:ascii="宋体" w:hAnsi="Times New Roman"/>
                <w:sz w:val="32"/>
                <w:szCs w:val="24"/>
              </w:rPr>
              <w:t>9.拟订全市国际与区域科技合作与交流的规划、政策和措施，负责组织实施国际与区域科技合作计划，承办与国外政府间以及国际组织间科技合作和交流事宜。</w:t>
            </w:r>
          </w:p>
          <w:p>
            <w:pPr>
              <w:spacing w:beforeLines="0" w:afterLines="0" w:line="375" w:lineRule="exact"/>
              <w:ind w:left="20"/>
              <w:rPr>
                <w:rFonts w:hint="eastAsia" w:ascii="宋体" w:hAnsi="Times New Roman"/>
                <w:sz w:val="32"/>
                <w:szCs w:val="24"/>
              </w:rPr>
            </w:pPr>
            <w:r>
              <w:rPr>
                <w:rFonts w:hint="eastAsia" w:ascii="宋体" w:hAnsi="Times New Roman"/>
                <w:sz w:val="32"/>
                <w:szCs w:val="24"/>
              </w:rPr>
              <w:t>10.归口管理全市引进国（境）外智力工作。</w:t>
            </w:r>
          </w:p>
          <w:p>
            <w:pPr>
              <w:spacing w:beforeLines="0" w:afterLines="0" w:line="375" w:lineRule="exact"/>
              <w:ind w:left="20"/>
              <w:rPr>
                <w:rFonts w:hint="eastAsia" w:ascii="宋体" w:hAnsi="Times New Roman"/>
                <w:sz w:val="32"/>
                <w:szCs w:val="24"/>
              </w:rPr>
            </w:pPr>
            <w:r>
              <w:rPr>
                <w:rFonts w:hint="eastAsia" w:ascii="宋体" w:hAnsi="Times New Roman"/>
                <w:sz w:val="32"/>
                <w:szCs w:val="24"/>
              </w:rPr>
              <w:t>11.负责全市科学普及工作，拟订全市科普工作规划和相关政策，组织实施科普计划，负责市级科普基地和示范基地认定，进行督促检查，推动科普工作发展。</w:t>
            </w:r>
          </w:p>
          <w:p>
            <w:pPr>
              <w:spacing w:beforeLines="0" w:afterLines="0" w:line="375" w:lineRule="exact"/>
              <w:ind w:left="20"/>
              <w:rPr>
                <w:rFonts w:hint="eastAsia" w:ascii="宋体" w:hAnsi="Times New Roman"/>
                <w:sz w:val="32"/>
                <w:szCs w:val="24"/>
              </w:rPr>
            </w:pPr>
            <w:r>
              <w:rPr>
                <w:rFonts w:hint="eastAsia" w:ascii="宋体" w:hAnsi="Times New Roman"/>
                <w:sz w:val="32"/>
                <w:szCs w:val="24"/>
              </w:rPr>
              <w:t>12.负责全市科技人才有关工作。会同有关部门拟订科技人才队伍建设规划，提出相关政策建议；承担全市科技人才队伍建设和科技创新团队建设有关工作。</w:t>
            </w:r>
          </w:p>
          <w:p>
            <w:pPr>
              <w:spacing w:beforeLines="0" w:afterLines="0" w:line="375" w:lineRule="exact"/>
              <w:ind w:left="20"/>
              <w:rPr>
                <w:rFonts w:hint="eastAsia" w:ascii="宋体" w:hAnsi="Times New Roman"/>
                <w:sz w:val="32"/>
                <w:szCs w:val="24"/>
              </w:rPr>
            </w:pPr>
            <w:r>
              <w:rPr>
                <w:rFonts w:hint="eastAsia" w:ascii="宋体" w:hAnsi="Times New Roman"/>
                <w:sz w:val="32"/>
                <w:szCs w:val="24"/>
              </w:rPr>
              <w:t>13.负责全市科技奖励、科技保密、科技评估、科技统计、科技信息管理等工作。</w:t>
            </w:r>
          </w:p>
          <w:p>
            <w:pPr>
              <w:spacing w:beforeLines="0" w:afterLines="0" w:line="375" w:lineRule="exact"/>
              <w:ind w:left="20"/>
              <w:rPr>
                <w:rFonts w:hint="eastAsia" w:ascii="宋体" w:hAnsi="Times New Roman"/>
                <w:sz w:val="32"/>
                <w:szCs w:val="24"/>
              </w:rPr>
            </w:pPr>
            <w:r>
              <w:rPr>
                <w:rFonts w:hint="eastAsia" w:ascii="宋体" w:hAnsi="Times New Roman"/>
                <w:sz w:val="32"/>
                <w:szCs w:val="24"/>
              </w:rPr>
              <w:t>14.承办市委、市人民政府交办其他事项。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（二）机构设置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局机关内设科室11个，即办公室、政策法规科、战略规划与资源配置科、基础研究科、高新技术发展及产业化科、农村科技科、社会发展科技科、成果转化与区域创新科、人事科(人才工作办公室) 、机关党委、机关纪委。</w:t>
            </w:r>
          </w:p>
          <w:p>
            <w:pPr>
              <w:spacing w:beforeLines="0" w:afterLines="0" w:line="375" w:lineRule="exact"/>
              <w:ind w:left="20"/>
              <w:rPr>
                <w:rFonts w:hint="eastAsia" w:ascii="宋体" w:hAnsi="Times New Roman"/>
                <w:sz w:val="32"/>
                <w:szCs w:val="24"/>
              </w:rPr>
            </w:pPr>
            <w:r>
              <w:rPr>
                <w:rFonts w:hint="eastAsia" w:ascii="宋体" w:hAnsi="Times New Roman"/>
                <w:sz w:val="32"/>
                <w:szCs w:val="24"/>
              </w:rPr>
              <w:t>下设直属单位1个，市科技事务中心。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二、部门预算构成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本部门预算为汇总预算，纳入编制范围的预算单位包括：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1、岳阳市科学技术局本级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2、岳阳市科技事务中心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三、部门收支总体情况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本部门2023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（一）收入预算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222"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包括一般公共预算、政府性基金、国有资本经营预算等财政拨款收入，以及经营收入、事业收入等单位资金。2023年度年本部门收入预算914.39万元，其中，一般公共预算拨款914.39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部门2023年收入较去年增加147.85万元，主要是因为2023年度人员增加</w:t>
            </w:r>
            <w:r>
              <w:rPr>
                <w:rFonts w:hint="eastAsia" w:eastAsia="仿宋_GB2312"/>
                <w:sz w:val="32"/>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（二）支出预算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2023年本部门支出预算914.39万元，其中，206科学技术支出757.27万元，208社会保障和就业支出51.83万元，210卫生健康支出55.21万元，221住房保障支出50.09万元，支出较去年增加147.85万元，主要是因为2023年度人员增加。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四、一般公共预算拨款支出预算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2023年一般公共预算拨款支出预算914.39万元，其中，206科学技术支出757.27万元，占82.82%；208社会保障和就业支出51.83万元，占5.67%；210卫生健康支出55.21万元，占6.04%；221住房保障支出50.09万元，占5.48%；具体安排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一）基本支出：2023年基本支出年初预算数为904.39万元（数据来源见表23），是指为保障单位机构正常运转、完成日常工作任务而发生的各项支出，包括用于基本工资、津贴补贴等人员经费以及办公费、印刷费、水电费、差旅费等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97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二）项目支出：2023年项目支出年初预算数为10.00万元（数据来源见表20），是指部门为完成特定行政工作任务或事业发展目标而发生的支出，包括有关业务工作经费、运行维护经费、其他事业发展资金等。其中：科技交流与合作专项支出5.00万元，主要用于科技交流与合作方面,科技条件与服务专项支出5.00万元，主要用于科技条件与服务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五、政府性基金预算支出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2023年度本部门无政府性基金安排的支出，所以公开的附件15-17（政府性基金预算）为空。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六、其他重要事项的情况说明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（一）机关运行经费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本部门2023年机关运行经费当年一般公共预算拨款126.61万元（数据来源见表12），比上一年增加15.04万元，增加18.51%。主要原因是2023年度人员增加。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（二）“三公”经费预算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本部门2023年“三公”经费预算数8.3万元（数据来源见表14），其中，公务接待费5.3万元，因公出国（境）费0.00万元，公务用车购置及运行费3.00万元（其中，公务用车购置费0.00万元，公务用车运行费3.00万元）。2023年三公经费预算较上年减少12万元，主要原因是厉行节约，公务接待费预算减少及未安排因公出国（境）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（三）一般性支出情况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7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本部门2023年会议费预算2.00万元（数据来源见表13会议费、培训费），拟召开1次会议，人数200人，内容为岳阳市科技创新大会；培训费预算0.20万元，拟开展1次培训，人数50人，内容为全社会研发投入指标培训会。2023年度本部门未计划举办节庆、晚会、论坛、赛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（四）政府采购情况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本部门2023年政府采购预算总额482.96万元，其中工程类0万元，货物类18.4万元，服务类464.56万元。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（五）国有资产占有使用及新增资产配置情况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210"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截至上年底，本部门共有车辆1辆，其中领导干部用车0辆，一般公务用车1辆，其他用车0辆。单位价值50万元以上通用设备0台，单位价值100万元以上专用设备0台。 </w:t>
            </w:r>
          </w:p>
          <w:p>
            <w:pPr>
              <w:spacing w:beforeLines="0" w:afterLines="0" w:line="375" w:lineRule="exact"/>
              <w:ind w:left="20" w:firstLine="320" w:firstLineChars="100"/>
              <w:rPr>
                <w:rFonts w:hint="eastAsia" w:ascii="宋体" w:hAnsi="Times New Roman"/>
                <w:sz w:val="32"/>
                <w:szCs w:val="24"/>
              </w:rPr>
            </w:pPr>
            <w:r>
              <w:rPr>
                <w:rFonts w:hint="eastAsia" w:ascii="宋体" w:hAnsi="Times New Roman"/>
                <w:sz w:val="32"/>
                <w:szCs w:val="24"/>
              </w:rPr>
              <w:t>2023年度本部门未计划处置或新增车辆、设备等。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（六）预算绩效目标说明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本部门所有支出实行绩效目标管理。纳入2023年部门整体支出绩效目标的金额为914.39万元，其中，基本支出904.39万元，项目支出10.00万元，详见文尾附表中部门预算公开表格的表21-22。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default" w:ascii="Dialog" w:hAnsi="Times New Roman"/>
                <w:sz w:val="32"/>
                <w:szCs w:val="24"/>
              </w:rPr>
            </w:pPr>
            <w:r>
              <w:rPr>
                <w:rFonts w:hint="eastAsia" w:ascii="Dialog" w:hAnsi="Times New Roman"/>
                <w:sz w:val="32"/>
                <w:szCs w:val="24"/>
              </w:rPr>
              <w:t xml:space="preserve">  七、名词解释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 xml:space="preserve">  2、“三公”经费：纳入财政预算管理的“三公“经费，是指用一般公共预算拨款安排的公务接待费、公务用车购置及运行维护费和因公出国（境）费。其中，公务接待费反映部门按规定开支的各类公务接待支出；公务用车购置及运行费反映部门公务用车车辆购置支出（含车辆购置税），以及燃料费、维修费、保险费等支出；因公出国（境）费反映部门公务出国（境）的国际旅费、国外城市间交通费、食宿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ascii="Times New Roman" w:eastAsia="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jc w:val="center"/>
              <w:rPr>
                <w:rFonts w:hint="default" w:ascii="Dialog" w:hAnsi="Times New Roman"/>
                <w:sz w:val="32"/>
                <w:szCs w:val="24"/>
              </w:rPr>
            </w:pPr>
            <w:r>
              <w:rPr>
                <w:rFonts w:hint="eastAsia" w:ascii="Dialog" w:hAnsi="Times New Roman"/>
                <w:sz w:val="32"/>
                <w:szCs w:val="24"/>
              </w:rPr>
              <w:t>第二部分  2023年部门预算公开表格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4、支出预算分类汇总表（按政府预算经济分类）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5、支出预算分类汇总表（按部门预算经济分类）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6、财政拨款收支总表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7、一般公共预算支出表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8、一般公共预算基本支出表-人员经费（工资福利支出）（按政府预算经济分类）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9、一般公共预算基本支出表-人员经费（工资福利支出）（按部门预算经济分类）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10、一般公共预算基本支出表-人员经费（对个人和家庭的补助）（按政府预算经济分类）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11、一般公共预算基本支出表-人员经费（对个人和家庭的补助）（按部门预算经济分类）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12、一般公共预算基本支出表-公用经费（商品和服务支出）（按政府预算经济分类）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13、一般公共预算基本支出表-公用经费（商品和服务支出）（按部门预算经济分类）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14、一般公共预算“三公”经费支出表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15、政府性基金预算支出表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16、政府性基金预算支出分类汇总表（按政府预算经济分类）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17、政府性基金预算支出分类汇总表（按部门预算经济分类）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18、国有资本经营预算支出表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19、财政专户管理资金预算支出表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20、专项资金预算汇总表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21、项目支出绩效目标表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22、部门整体支出绩效目标表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sz w:val="32"/>
                <w:szCs w:val="24"/>
              </w:rPr>
            </w:pPr>
            <w:r>
              <w:rPr>
                <w:rFonts w:hint="eastAsia" w:ascii="宋体" w:hAnsi="Times New Roman"/>
                <w:sz w:val="32"/>
                <w:szCs w:val="24"/>
              </w:rPr>
              <w:t>23、一般公共预算基本支出表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Times New Roman"/>
                <w:color w:val="FF0000"/>
                <w:sz w:val="32"/>
                <w:szCs w:val="24"/>
              </w:rPr>
            </w:pPr>
            <w:r>
              <w:rPr>
                <w:rFonts w:hint="eastAsia" w:ascii="宋体" w:hAnsi="Times New Roman"/>
                <w:b/>
                <w:color w:val="FF0000"/>
                <w:sz w:val="32"/>
                <w:szCs w:val="24"/>
              </w:rPr>
              <w:t>注：以上部门预算公开报表中，空表表示本部门无相关收支情况。</w:t>
            </w:r>
          </w:p>
        </w:tc>
      </w:tr>
    </w:tbl>
    <w:p>
      <w:pPr>
        <w:spacing w:beforeLines="0" w:afterLines="0"/>
        <w:rPr>
          <w:rFonts w:hint="default"/>
          <w:sz w:val="24"/>
          <w:szCs w:val="24"/>
        </w:rPr>
      </w:pPr>
    </w:p>
    <w:sectPr>
      <w:pgSz w:w="18708" w:h="15840"/>
      <w:pgMar w:top="388" w:right="1080" w:bottom="388" w:left="108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0" w:usb3="00000000" w:csb0="00040001" w:csb1="00000000"/>
  </w:font>
  <w:font w:name="Cambria">
    <w:altName w:val="华文仿宋"/>
    <w:panose1 w:val="02040503050406030204"/>
    <w:charset w:val="00"/>
    <w:family w:val="roman"/>
    <w:pitch w:val="default"/>
    <w:sig w:usb0="00000000" w:usb1="00000000" w:usb2="00000000" w:usb3="00000000" w:csb0="00040001" w:csb1="00000000"/>
  </w:font>
  <w:font w:name="微软雅黑">
    <w:altName w:val="黑体"/>
    <w:panose1 w:val="020B0503020204020204"/>
    <w:charset w:val="00"/>
    <w:family w:val="swiss"/>
    <w:pitch w:val="default"/>
    <w:sig w:usb0="00000000" w:usb1="00000000" w:usb2="00000000" w:usb3="00000000" w:csb0="00040001" w:csb1="00000000"/>
  </w:font>
  <w:font w:name="Dialog">
    <w:altName w:val="Nimbus Roman No9 L"/>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true"/>
  <w:drawingGridHorizontalOrigin w:val="1701"/>
  <w:drawingGridVerticalOrigin w:val="1984"/>
  <w:doNotShadeFormData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E3FFEC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eastAsia" w:ascii="Arial" w:hAnsi="Arial" w:eastAsia="宋体"/>
      <w:color w:val="000000"/>
      <w:sz w:val="24"/>
      <w:szCs w:val="24"/>
      <w:lang w:val="en-US" w:eastAsia="zh-CN"/>
    </w:rPr>
  </w:style>
  <w:style w:type="paragraph" w:styleId="3">
    <w:name w:val="heading 1"/>
    <w:basedOn w:val="1"/>
    <w:next w:val="1"/>
    <w:link w:val="14"/>
    <w:unhideWhenUsed/>
    <w:qFormat/>
    <w:uiPriority w:val="9"/>
    <w:pPr>
      <w:spacing w:beforeLines="0" w:afterLines="0"/>
      <w:outlineLvl w:val="0"/>
    </w:pPr>
    <w:rPr>
      <w:rFonts w:hint="eastAsia"/>
      <w:b/>
      <w:sz w:val="32"/>
      <w:szCs w:val="24"/>
    </w:rPr>
  </w:style>
  <w:style w:type="paragraph" w:styleId="4">
    <w:name w:val="heading 2"/>
    <w:basedOn w:val="1"/>
    <w:next w:val="1"/>
    <w:link w:val="11"/>
    <w:unhideWhenUsed/>
    <w:qFormat/>
    <w:uiPriority w:val="99"/>
    <w:pPr>
      <w:spacing w:beforeLines="0" w:afterLines="0"/>
      <w:outlineLvl w:val="1"/>
    </w:pPr>
    <w:rPr>
      <w:rFonts w:hint="eastAsia"/>
      <w:b/>
      <w:i/>
      <w:sz w:val="28"/>
      <w:szCs w:val="24"/>
    </w:rPr>
  </w:style>
  <w:style w:type="paragraph" w:styleId="5">
    <w:name w:val="heading 3"/>
    <w:basedOn w:val="1"/>
    <w:next w:val="1"/>
    <w:link w:val="12"/>
    <w:unhideWhenUsed/>
    <w:qFormat/>
    <w:uiPriority w:val="99"/>
    <w:pPr>
      <w:spacing w:beforeLines="0" w:afterLines="0"/>
      <w:outlineLvl w:val="2"/>
    </w:pPr>
    <w:rPr>
      <w:rFonts w:hint="eastAsia"/>
      <w:b/>
      <w:sz w:val="26"/>
      <w:szCs w:val="24"/>
    </w:rPr>
  </w:style>
  <w:style w:type="character" w:default="1" w:styleId="9">
    <w:name w:val="Default Paragraph Font"/>
    <w:unhideWhenUsed/>
    <w:uiPriority w:val="1"/>
    <w:rPr>
      <w:rFonts w:hint="default"/>
      <w:sz w:val="24"/>
      <w:szCs w:val="24"/>
    </w:rPr>
  </w:style>
  <w:style w:type="table" w:default="1" w:styleId="8">
    <w:name w:val="Normal Table"/>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beforeLines="0" w:after="200" w:afterLines="0" w:line="276" w:lineRule="auto"/>
    </w:pPr>
    <w:rPr>
      <w:rFonts w:hint="eastAsia"/>
      <w:sz w:val="24"/>
      <w:szCs w:val="24"/>
    </w:rPr>
  </w:style>
  <w:style w:type="paragraph" w:styleId="6">
    <w:name w:val="footer"/>
    <w:basedOn w:val="1"/>
    <w:link w:val="10"/>
    <w:unhideWhenUsed/>
    <w:uiPriority w:val="99"/>
    <w:pPr>
      <w:tabs>
        <w:tab w:val="center" w:pos="4153"/>
        <w:tab w:val="right" w:pos="8306"/>
      </w:tabs>
      <w:snapToGrid w:val="0"/>
      <w:spacing w:beforeLines="0" w:afterLines="0"/>
    </w:pPr>
    <w:rPr>
      <w:rFonts w:hint="eastAsia"/>
      <w:sz w:val="18"/>
      <w:szCs w:val="24"/>
    </w:rPr>
  </w:style>
  <w:style w:type="paragraph" w:styleId="7">
    <w:name w:val="header"/>
    <w:basedOn w:val="1"/>
    <w:link w:val="13"/>
    <w:unhideWhenUsed/>
    <w:uiPriority w:val="99"/>
    <w:pPr>
      <w:pBdr>
        <w:bottom w:val="single" w:color="auto" w:sz="6" w:space="1"/>
      </w:pBdr>
      <w:tabs>
        <w:tab w:val="center" w:pos="4153"/>
        <w:tab w:val="right" w:pos="8306"/>
      </w:tabs>
      <w:snapToGrid w:val="0"/>
      <w:spacing w:beforeLines="0" w:afterLines="0"/>
      <w:jc w:val="center"/>
    </w:pPr>
    <w:rPr>
      <w:rFonts w:hint="eastAsia"/>
      <w:sz w:val="18"/>
      <w:szCs w:val="24"/>
    </w:rPr>
  </w:style>
  <w:style w:type="character" w:customStyle="1" w:styleId="10">
    <w:name w:val="页脚 Char"/>
    <w:basedOn w:val="9"/>
    <w:link w:val="6"/>
    <w:unhideWhenUsed/>
    <w:locked/>
    <w:uiPriority w:val="99"/>
    <w:rPr>
      <w:rFonts w:hint="default" w:ascii="Arial" w:hAnsi="Times New Roman" w:eastAsia="宋体"/>
      <w:color w:val="000000"/>
      <w:sz w:val="18"/>
      <w:szCs w:val="24"/>
    </w:rPr>
  </w:style>
  <w:style w:type="character" w:customStyle="1" w:styleId="11">
    <w:name w:val="标题 2 Char"/>
    <w:basedOn w:val="9"/>
    <w:link w:val="4"/>
    <w:unhideWhenUsed/>
    <w:locked/>
    <w:uiPriority w:val="9"/>
    <w:rPr>
      <w:rFonts w:hint="eastAsia" w:ascii="Cambria" w:hAnsi="Cambria" w:eastAsia="宋体"/>
      <w:b/>
      <w:sz w:val="32"/>
      <w:szCs w:val="24"/>
    </w:rPr>
  </w:style>
  <w:style w:type="character" w:customStyle="1" w:styleId="12">
    <w:name w:val="标题 3 Char"/>
    <w:basedOn w:val="9"/>
    <w:link w:val="5"/>
    <w:unhideWhenUsed/>
    <w:locked/>
    <w:uiPriority w:val="9"/>
    <w:rPr>
      <w:rFonts w:hint="default" w:ascii="Times New Roman" w:hAnsi="Times New Roman" w:eastAsia="宋体"/>
      <w:b/>
      <w:sz w:val="32"/>
      <w:szCs w:val="24"/>
    </w:rPr>
  </w:style>
  <w:style w:type="character" w:customStyle="1" w:styleId="13">
    <w:name w:val="页眉 Char"/>
    <w:basedOn w:val="9"/>
    <w:link w:val="7"/>
    <w:unhideWhenUsed/>
    <w:locked/>
    <w:uiPriority w:val="99"/>
    <w:rPr>
      <w:rFonts w:hint="default" w:ascii="Arial" w:hAnsi="Times New Roman" w:eastAsia="宋体"/>
      <w:color w:val="000000"/>
      <w:sz w:val="18"/>
      <w:szCs w:val="24"/>
    </w:rPr>
  </w:style>
  <w:style w:type="character" w:customStyle="1" w:styleId="14">
    <w:name w:val="标题 1 Char"/>
    <w:basedOn w:val="9"/>
    <w:link w:val="3"/>
    <w:unhideWhenUsed/>
    <w:locked/>
    <w:uiPriority w:val="9"/>
    <w:rPr>
      <w:rFonts w:hint="default" w:ascii="Times New Roman" w:hAnsi="Times New Roman" w:eastAsia="宋体"/>
      <w:b/>
      <w:kern w:val="44"/>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2024-04-03T09:36:47Z</dcterms:created>
  <dc:creator>xjkp</dc:creator>
  <cp:lastModifiedBy>xjkp</cp:lastModifiedBy>
  <dcterms:modified xsi:type="dcterms:W3CDTF">2024-04-03T09:36:56Z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