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</w:p>
    <w:p>
      <w:pPr>
        <w:pStyle w:val="3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eastAsia="zh-CN"/>
        </w:rPr>
        <w:t>岳阳市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</w:rPr>
        <w:t>科技创新计划综合绩效评价专家评分表</w:t>
      </w:r>
      <w:bookmarkEnd w:id="0"/>
    </w:p>
    <w:tbl>
      <w:tblPr>
        <w:tblStyle w:val="5"/>
        <w:tblW w:w="9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7"/>
        <w:gridCol w:w="1808"/>
        <w:gridCol w:w="2057"/>
        <w:gridCol w:w="2756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重点专项名称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项目编号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项目名称</w:t>
            </w:r>
          </w:p>
        </w:tc>
        <w:tc>
          <w:tcPr>
            <w:tcW w:w="3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项目负责人</w:t>
            </w: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项目牵头单位</w:t>
            </w:r>
          </w:p>
        </w:tc>
        <w:tc>
          <w:tcPr>
            <w:tcW w:w="36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一级评价指标</w:t>
            </w: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二级评价指标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评价标准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得  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绩效目标完成评价（70分）</w:t>
            </w: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主要研究内容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（20分）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任务书约定主要研究内容完成率100%（20分），完成率80%以上（10-19分），完成率60%以上（5-9分）完成率不足60%（0分）。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成果水平与创新性（20分）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任务书技术指标全部完成（10分）；主要指标完成，个别非关键指标未完成（6-9分）；1项以上关键指标未完成，“成果水平与创新性”指标为0分。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成果产出技术水平与创新性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或同行评议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属国际先进水平（10分）；国内先进，接近国际水平（5-9分）；国内领先（1-4分）。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成果转移转化与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推广应用（15分）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设立专门部门安排人员组织成果转化，开展，研究成果的合作交流、转移转化和示范推广情况，开展技术交易合同（1-5分）。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专利、技术标准等知识产权已转化（8-10分），目前未转化，但有较好前景（5-7分），部分成果难以转化（1-4分）。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说明：成果难以转化的“成果转移转化与推广应用”指标为0分。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经济和社会效益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指标（15分）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任务书经济和社会效益指标完成率100%（15分），完成率80%以上（11-14分），完成率60%以上（7-10分）；完成率不足60%为0分。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经济和社会效益指标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为主要考核指标，且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不足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30%的，“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绩效目标完成评价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”为0分。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项目组织管理评价（10分）</w:t>
            </w: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牵头单位法人责任制落实（3分）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项目牵头单位法人责任落实到位，健全内控制度，严格执行变更事项审批程序，开展科研诚信教育等制度（1-3分）。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任务书约定内容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执行（3分）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技术路线、研究团队等变更履行内部审批程序（3分），未严格履行（1-2分）。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项目单位和课题间组织协同情况（2分）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项目负责人（首席专家）统筹组织，参与单位与课题间交流、研发协同密切（2分），偶尔有合作（1分），未见实质性开展研究合作（0分）。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项目主管部门管理情况（2分）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执行期内绩效评价、中期评估、专项审计、监督检查等存有问题整改到位的（2分），基本整改到位（1分）。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6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说明：1. 如擅自修改研究任务技术指标、考核指标，“项目组织管理评价”指标为0分；2. 执行期内绩效评价、中期评估、专项审计、监督检查等存有问题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未整改的，“项目组织管理评价”指标为0分。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lang w:eastAsia="zh-CN"/>
              </w:rPr>
              <w:t>资金管理与使用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</w:rPr>
              <w:t>评价（20分）</w:t>
            </w: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资金到位和拨付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情况（5分）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任务书签订且专项资金到位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后，拨付项目组课题单位时间1个月内（2分），3个月内（1分），3个月以上（0分）。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自筹经费到位率80%-100%（2-3分），不足80%“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资金到位和拨付情况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”指标为0分。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"/>
                <w:sz w:val="24"/>
                <w:szCs w:val="24"/>
              </w:rPr>
              <w:t>会计核算和资金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1"/>
                <w:sz w:val="24"/>
                <w:szCs w:val="24"/>
              </w:rPr>
              <w:t>使用情况（10分）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开支范围和标准与研究任务相符，支出合理（1-5分）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  <w:t>。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会计独立核算且规范，财务档案管理规范（1-5分）。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说明：如未独立核算“会计核算和资金使用情况”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为0分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  <w:t>。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预算执行与调整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情况（5分）</w:t>
            </w: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预算调整履行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内部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审批程序（1-2分），如未履行审批程序“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预算执行与调整情况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为0分。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经费预算执行率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80%以上（3），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0%以上（1-2），60%以下（0分）。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4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说明：如项目已组织财务核查，则根据财务核查分值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20%进行换算。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总   分</w:t>
            </w:r>
          </w:p>
        </w:tc>
        <w:tc>
          <w:tcPr>
            <w:tcW w:w="48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意见及建议：</w:t>
            </w:r>
          </w:p>
          <w:p/>
          <w:p>
            <w:pPr>
              <w:pStyle w:val="2"/>
            </w:pPr>
          </w:p>
          <w:p/>
          <w:p/>
          <w:p/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签  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3"/>
        <w:spacing w:line="60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sectPr>
          <w:footerReference r:id="rId3" w:type="default"/>
          <w:pgSz w:w="11906" w:h="16838"/>
          <w:pgMar w:top="1587" w:right="1474" w:bottom="1361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RlZjkzMTExMjY2NGI5MDBlODFkODgxZWY1ZWUifQ=="/>
  </w:docVars>
  <w:rsids>
    <w:rsidRoot w:val="05696619"/>
    <w:rsid w:val="056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2024-04-09T12:10:00Z</dcterms:created>
  <dc:creator>沈偲</dc:creator>
  <cp:lastModifiedBy>沈偲</cp:lastModifiedBy>
  <dcterms:modified xsi:type="dcterms:W3CDTF">2024-04-09T12:11:32Z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11DAAE05DE514383AC3C91786774F5CE_11</vt:lpwstr>
  </property>
</Properties>
</file>