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创艺简老宋" w:hAnsi="创艺简老宋" w:eastAsia="创艺简老宋" w:cs="创艺简老宋"/>
          <w:b/>
          <w:bCs w:val="0"/>
          <w:sz w:val="44"/>
          <w:szCs w:val="44"/>
          <w:lang w:val="en-US" w:eastAsia="zh-CN"/>
        </w:rPr>
      </w:pPr>
      <w:r>
        <w:rPr>
          <w:rFonts w:hint="eastAsia" w:ascii="创艺简老宋" w:hAnsi="创艺简老宋" w:eastAsia="创艺简老宋" w:cs="创艺简老宋"/>
          <w:b/>
          <w:bCs w:val="0"/>
          <w:sz w:val="44"/>
          <w:szCs w:val="44"/>
          <w:lang w:val="en-US" w:eastAsia="zh-CN"/>
        </w:rPr>
        <w:t>岳阳市交通运输系统</w:t>
      </w:r>
    </w:p>
    <w:p>
      <w:pPr>
        <w:spacing w:line="600" w:lineRule="exact"/>
        <w:jc w:val="center"/>
        <w:rPr>
          <w:rFonts w:hint="eastAsia" w:ascii="创艺简老宋" w:hAnsi="创艺简老宋" w:eastAsia="创艺简老宋" w:cs="创艺简老宋"/>
          <w:b/>
          <w:bCs w:val="0"/>
          <w:sz w:val="44"/>
          <w:szCs w:val="44"/>
        </w:rPr>
      </w:pPr>
      <w:bookmarkStart w:id="0" w:name="_Hlk40867368"/>
      <w:r>
        <w:rPr>
          <w:rFonts w:hint="eastAsia" w:ascii="创艺简老宋" w:hAnsi="创艺简老宋" w:eastAsia="创艺简老宋" w:cs="创艺简老宋"/>
          <w:b/>
          <w:bCs w:val="0"/>
          <w:sz w:val="44"/>
          <w:szCs w:val="44"/>
        </w:rPr>
        <w:t>20</w:t>
      </w:r>
      <w:r>
        <w:rPr>
          <w:rFonts w:hint="eastAsia" w:ascii="创艺简老宋" w:hAnsi="创艺简老宋" w:eastAsia="创艺简老宋" w:cs="创艺简老宋"/>
          <w:b/>
          <w:bCs w:val="0"/>
          <w:sz w:val="44"/>
          <w:szCs w:val="44"/>
          <w:lang w:val="en-US" w:eastAsia="zh-CN"/>
        </w:rPr>
        <w:t>21</w:t>
      </w:r>
      <w:r>
        <w:rPr>
          <w:rFonts w:hint="eastAsia" w:ascii="创艺简老宋" w:hAnsi="创艺简老宋" w:eastAsia="创艺简老宋" w:cs="创艺简老宋"/>
          <w:b/>
          <w:bCs w:val="0"/>
          <w:sz w:val="44"/>
          <w:szCs w:val="44"/>
        </w:rPr>
        <w:t>年度</w:t>
      </w:r>
      <w:bookmarkEnd w:id="0"/>
      <w:r>
        <w:rPr>
          <w:rFonts w:hint="eastAsia" w:ascii="创艺简老宋" w:hAnsi="创艺简老宋" w:eastAsia="创艺简老宋" w:cs="创艺简老宋"/>
          <w:b/>
          <w:bCs w:val="0"/>
          <w:sz w:val="44"/>
          <w:szCs w:val="44"/>
          <w:lang w:val="en-US" w:eastAsia="zh-CN"/>
        </w:rPr>
        <w:t>部门</w:t>
      </w:r>
      <w:r>
        <w:rPr>
          <w:rFonts w:hint="eastAsia" w:ascii="创艺简老宋" w:hAnsi="创艺简老宋" w:eastAsia="创艺简老宋" w:cs="创艺简老宋"/>
          <w:b/>
          <w:bCs w:val="0"/>
          <w:sz w:val="44"/>
          <w:szCs w:val="44"/>
        </w:rPr>
        <w:t xml:space="preserve">整体支出绩效自评报告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为强化财政支出绩效管理，促进财政资金使用的科学化、合理化和精细化，根据《岳阳市财政局关于印发2021岳阳市预算绩效管理工作方案的通知》（岳财预[2021]63号）文件精神要求，我系统对2021年度部门整体支出情况进行了绩效自评，现将有关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120" w:rightChars="0"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部门概况</w:t>
      </w:r>
    </w:p>
    <w:p>
      <w:pPr>
        <w:pStyle w:val="3"/>
        <w:numPr>
          <w:ilvl w:val="0"/>
          <w:numId w:val="2"/>
        </w:numPr>
        <w:ind w:left="790" w:leftChars="0" w:firstLine="0" w:firstLineChars="0"/>
        <w:rPr>
          <w:rFonts w:hint="eastAsia" w:ascii="楷体_GB2312" w:hAnsi="楷体_GB2312" w:eastAsia="楷体_GB2312" w:cs="楷体_GB2312"/>
          <w:b w:val="0"/>
          <w:bCs w:val="0"/>
          <w:color w:val="000000"/>
          <w:kern w:val="0"/>
          <w:sz w:val="32"/>
          <w:szCs w:val="32"/>
          <w:lang w:val="en-US" w:eastAsia="zh-CN"/>
        </w:rPr>
      </w:pPr>
      <w:r>
        <w:rPr>
          <w:rFonts w:hint="eastAsia" w:ascii="楷体_GB2312" w:hAnsi="楷体_GB2312" w:eastAsia="楷体_GB2312" w:cs="楷体_GB2312"/>
          <w:b w:val="0"/>
          <w:bCs w:val="0"/>
          <w:color w:val="000000"/>
          <w:kern w:val="0"/>
          <w:sz w:val="32"/>
          <w:szCs w:val="32"/>
          <w:lang w:val="en-US" w:eastAsia="zh-CN"/>
        </w:rPr>
        <w:t>部门基本情况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岳阳市交通运输局（以下简称“我局”）主要工作职责为：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（1）推进全市综合交通运输体系建设，统筹规划全市公路、水路、民航、地方铁路、管道运输以及邮政行业发展，优化交通运输资源配置，促进交通运输方式相互衔接融合。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组织拟订并监督实施全市公路、民航、地方铁路等行业政策标准；参与拟定物流业发展战略和规划，拟定有关政策并监督实施；协调中央、省垂直管理的铁路、高速公路和双重管的邮政等单位涉及地方的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组织制定全市道路、民航运输有关运营规范、管理制度并监督实施；负责交通行业诚信体系建设，维护市场经营秩序；负责权限内全市交通运输行政许可工作，参与制定交通行业运价和和收费标准，并组织实施；负责统筹协调推进区域和城乡交通协调发展，加快推进区域和城乡交通运输一体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（4）负责拟订全市铁路运输发展规划，组织制定专用铁路、铁路专用线、地方铁路(含城际铁路) 、合资铁路运输有关运营规范、管理制度并监督实施。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（5）指导权限内全市交通运输行业安全生产和应急管理工作；按规定组织协调全市重点物资和紧急客货运输，负责全市干线路网运行检测和协调；负责全市国防交通战备工作。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（6）负责提出全市交通固定资产投资规模和方向、市级财政性资金安排建议；市政府规定权限审批、核准全市交通固定资产投资项目。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（7）承担交通建设市场监管和绩效监督管理；负责全市交通建设工程造价控制和工程质量、安全生产的监督管理。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（8）负责对全市交通运输综合执法工作的领导、指导和监督管理。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（9）负责全市交通运输行业科技教育、环境保护、节能减排等工作；指导全市交通运输信息化建设，负责信息监测、分析和发布工作。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（10）负责交通运输预算资金的申请、拨付和监管，监督全市交通运输行业投融资政策的实施；指导交通运输行业开展对外交流合作和交通外经贸工作。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（11）承办市委、市人民政府交办的其他事项。</w:t>
      </w:r>
    </w:p>
    <w:p>
      <w:pPr>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（二）</w:t>
      </w:r>
      <w:r>
        <w:rPr>
          <w:rFonts w:hint="eastAsia" w:ascii="仿宋_GB2312" w:hAnsi="仿宋_GB2312" w:eastAsia="仿宋_GB2312" w:cs="仿宋_GB2312"/>
          <w:bCs/>
          <w:kern w:val="0"/>
          <w:sz w:val="32"/>
          <w:szCs w:val="32"/>
          <w:lang w:eastAsia="zh-CN"/>
        </w:rPr>
        <w:t>机构设置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（1）内设机构设置。岳阳市交通运输局机关内设机构包括：内设科室16个，所属事业单位3个。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内设科室是：办公室（信访科）、规划统计科（交通战备办公室）、基本建设科、运输管理科、公交管理科、物流管理科、安全监督科、法制科、行政审批科、公路管理科、审计科、人事科、财务科、机关党委、机关纪委、离退休人员管理服务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3个所属事业单位分别是：岳阳市交通建设工程造价管理站、岳阳市交通科技信息中心、岳阳市交通运输局机关后勤服务中心。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（2）所属单位构成。岳阳市交通运输局2021年部门决算公开单位构成包括：岳阳市交通运输局机关本级、岳阳市交通建设工程造价管理站、岳阳市交通科技信息中心、岳阳市交通运输局机关后勤服务中心。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val="0"/>
          <w:bCs w:val="0"/>
          <w:color w:val="000000"/>
          <w:kern w:val="0"/>
          <w:sz w:val="32"/>
          <w:szCs w:val="32"/>
          <w:lang w:val="en-US" w:eastAsia="zh-CN"/>
        </w:rPr>
        <w:t>（二）部门整体支出规模、使用方向和主要内容、涉及范围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我系统2021年整体支出规模为46790.04万元。主要用于如下几个方面：一是积极创建全国性综合交通枢纽城市，构建全市“县县通高速”，市域1小时、城区30分钟交通圈，加速项目建设，完成了全市综合交通运输体系“十四五”发展规划；二是强化了交通运输行业监管，提升了服务水平，办人民满意交通，推动了执法规范化，全市交通运输行业未发生较大及以上安全事故，落实疫情防控常态化措施；三是抓好了生态治理，加速和巩固节能减排和生态环境修复，抓好主城区在建交通项目扬尘治理，基本实现了岳阳港船舶污染物免费接收全覆盖；四是全面推进交通民生实事工程，改善了通行环境；五是行业治理能力全面提升，运输保障能力稳步提升；六是保障了机关正常运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二、部门整体支出管理及使用情况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3" w:firstLineChars="200"/>
        <w:jc w:val="left"/>
        <w:textAlignment w:val="auto"/>
        <w:rPr>
          <w:rFonts w:hint="eastAsia"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bCs/>
          <w:color w:val="000000"/>
          <w:kern w:val="0"/>
          <w:sz w:val="32"/>
          <w:szCs w:val="32"/>
          <w:lang w:val="en-US" w:eastAsia="zh-CN"/>
        </w:rPr>
        <w:t>（一）整体支出情况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2021年，我系统整体支出46790.04万元，其中，年初安排预算数</w:t>
      </w:r>
      <w:r>
        <w:rPr>
          <w:rFonts w:hint="eastAsia" w:asciiTheme="minorEastAsia" w:hAnsiTheme="minorEastAsia" w:eastAsiaTheme="minorEastAsia"/>
          <w:sz w:val="32"/>
          <w:szCs w:val="32"/>
          <w:lang w:val="en-US" w:eastAsia="zh-CN"/>
        </w:rPr>
        <w:t>17729.38</w:t>
      </w:r>
      <w:r>
        <w:rPr>
          <w:rFonts w:hint="eastAsia" w:ascii="仿宋_GB2312" w:hAnsi="仿宋_GB2312" w:eastAsia="仿宋_GB2312" w:cs="仿宋_GB2312"/>
          <w:color w:val="000000"/>
          <w:kern w:val="0"/>
          <w:sz w:val="32"/>
          <w:szCs w:val="32"/>
          <w:lang w:val="en-US" w:eastAsia="zh-CN"/>
        </w:rPr>
        <w:t>万元，年中追加预算28125.19万元，年初结转和结余935.47万元。人员经费19073.01万元，占40.76%，公用经费和项目经费27717.03万元，占59.24%。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3" w:firstLineChars="200"/>
        <w:jc w:val="left"/>
        <w:textAlignment w:val="auto"/>
        <w:rPr>
          <w:rFonts w:hint="eastAsia"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bCs/>
          <w:color w:val="000000"/>
          <w:kern w:val="0"/>
          <w:sz w:val="32"/>
          <w:szCs w:val="32"/>
          <w:lang w:val="en-US" w:eastAsia="zh-CN"/>
        </w:rPr>
        <w:t>（二）“三公经费”情况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2021年，我系统认真贯彻和执行中央八项规定</w:t>
      </w:r>
      <w:bookmarkStart w:id="1" w:name="_GoBack"/>
      <w:bookmarkEnd w:id="1"/>
      <w:r>
        <w:rPr>
          <w:rFonts w:hint="eastAsia" w:ascii="仿宋_GB2312" w:hAnsi="仿宋_GB2312" w:eastAsia="仿宋_GB2312" w:cs="仿宋_GB2312"/>
          <w:color w:val="000000"/>
          <w:kern w:val="0"/>
          <w:sz w:val="32"/>
          <w:szCs w:val="32"/>
          <w:lang w:val="en-US" w:eastAsia="zh-CN"/>
        </w:rPr>
        <w:t>精神、省委“九条规定”，做到勤俭节约，杜绝了铺张浪费，全年“三公”经费使用控制严格。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2021年，我系统“三公”经费支出共计210.32万元，比上年290.19万元减少79.87</w:t>
      </w:r>
      <w:r>
        <w:rPr>
          <w:rFonts w:hint="eastAsia" w:ascii="仿宋_GB2312" w:hAnsi="仿宋_GB2312" w:eastAsia="仿宋_GB2312" w:cs="仿宋_GB2312"/>
          <w:color w:val="000000"/>
          <w:kern w:val="0"/>
          <w:sz w:val="32"/>
          <w:szCs w:val="32"/>
          <w:highlight w:val="none"/>
          <w:u w:val="none"/>
          <w:lang w:val="en-US" w:eastAsia="zh-CN"/>
        </w:rPr>
        <w:t>万元，减少27.52%；</w:t>
      </w:r>
      <w:r>
        <w:rPr>
          <w:rFonts w:hint="eastAsia" w:ascii="仿宋_GB2312" w:hAnsi="仿宋_GB2312" w:eastAsia="仿宋_GB2312" w:cs="仿宋_GB2312"/>
          <w:color w:val="000000"/>
          <w:kern w:val="0"/>
          <w:sz w:val="32"/>
          <w:szCs w:val="32"/>
          <w:lang w:val="en-US" w:eastAsia="zh-CN"/>
        </w:rPr>
        <w:t>其中：全年公务用车购置及运行维护费支出172.22万元，比上年211.87万元</w:t>
      </w:r>
      <w:r>
        <w:rPr>
          <w:rFonts w:hint="eastAsia" w:ascii="仿宋_GB2312" w:hAnsi="仿宋_GB2312" w:eastAsia="仿宋_GB2312" w:cs="仿宋_GB2312"/>
          <w:color w:val="000000"/>
          <w:kern w:val="0"/>
          <w:sz w:val="32"/>
          <w:szCs w:val="32"/>
          <w:highlight w:val="none"/>
          <w:lang w:val="en-US" w:eastAsia="zh-CN"/>
        </w:rPr>
        <w:t>减少39.65万元，减少18.71%；</w:t>
      </w:r>
      <w:r>
        <w:rPr>
          <w:rFonts w:hint="eastAsia" w:ascii="仿宋_GB2312" w:hAnsi="仿宋_GB2312" w:eastAsia="仿宋_GB2312" w:cs="仿宋_GB2312"/>
          <w:color w:val="000000"/>
          <w:kern w:val="0"/>
          <w:sz w:val="32"/>
          <w:szCs w:val="32"/>
          <w:lang w:val="en-US" w:eastAsia="zh-CN"/>
        </w:rPr>
        <w:t>全年公务接待费支出38.1万元，比</w:t>
      </w:r>
      <w:r>
        <w:rPr>
          <w:rFonts w:hint="eastAsia" w:ascii="仿宋_GB2312" w:hAnsi="仿宋_GB2312" w:eastAsia="仿宋_GB2312" w:cs="仿宋_GB2312"/>
          <w:color w:val="000000"/>
          <w:kern w:val="0"/>
          <w:sz w:val="32"/>
          <w:szCs w:val="32"/>
          <w:highlight w:val="none"/>
          <w:lang w:val="en-US" w:eastAsia="zh-CN"/>
        </w:rPr>
        <w:t>上年</w:t>
      </w:r>
      <w:r>
        <w:rPr>
          <w:rFonts w:hint="eastAsia" w:ascii="仿宋_GB2312" w:hAnsi="仿宋_GB2312" w:eastAsia="仿宋_GB2312" w:cs="仿宋_GB2312"/>
          <w:color w:val="000000"/>
          <w:kern w:val="0"/>
          <w:sz w:val="32"/>
          <w:szCs w:val="32"/>
          <w:lang w:val="en-US" w:eastAsia="zh-CN"/>
        </w:rPr>
        <w:t>78.32万元</w:t>
      </w:r>
      <w:r>
        <w:rPr>
          <w:rFonts w:hint="eastAsia" w:ascii="仿宋_GB2312" w:hAnsi="仿宋_GB2312" w:eastAsia="仿宋_GB2312" w:cs="仿宋_GB2312"/>
          <w:color w:val="000000"/>
          <w:kern w:val="0"/>
          <w:sz w:val="32"/>
          <w:szCs w:val="32"/>
          <w:highlight w:val="none"/>
          <w:lang w:val="en-US" w:eastAsia="zh-CN"/>
        </w:rPr>
        <w:t>减少40.22万元，减少51.35%，</w:t>
      </w:r>
      <w:r>
        <w:rPr>
          <w:rFonts w:hint="eastAsia" w:ascii="仿宋_GB2312" w:hAnsi="仿宋_GB2312" w:eastAsia="仿宋_GB2312" w:cs="仿宋_GB2312"/>
          <w:color w:val="000000"/>
          <w:kern w:val="0"/>
          <w:sz w:val="32"/>
          <w:szCs w:val="32"/>
          <w:lang w:val="en-US" w:eastAsia="zh-CN"/>
        </w:rPr>
        <w:t>全年未发生公务出国(境)费用。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rPr>
          <w:rFonts w:hint="eastAsia"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bCs/>
          <w:color w:val="000000"/>
          <w:kern w:val="0"/>
          <w:sz w:val="32"/>
          <w:szCs w:val="32"/>
          <w:lang w:val="en-US" w:eastAsia="zh-CN"/>
        </w:rPr>
        <w:t xml:space="preserve">   （三）管理使用情况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2021年，我局财务管理、预算管理、资产管理、政府采购、内部控制、专项资金管理、政务公开等制度比较健全，资金使用合规，及时公开了局财务预决算、“三公”经费预决算、绩效评价报告，公开信息真实、准确、完整，主动</w:t>
      </w:r>
      <w:r>
        <w:rPr>
          <w:rFonts w:hint="eastAsia" w:ascii="仿宋_GB2312" w:hAnsi="仿宋_GB2312" w:eastAsia="仿宋_GB2312" w:cs="仿宋_GB2312"/>
          <w:color w:val="000000"/>
          <w:kern w:val="0"/>
          <w:sz w:val="32"/>
          <w:szCs w:val="32"/>
          <w:highlight w:val="none"/>
          <w:lang w:val="en-US" w:eastAsia="zh-CN"/>
        </w:rPr>
        <w:t>接受财政等部门的监督，没有滞留、截留、</w:t>
      </w:r>
      <w:r>
        <w:rPr>
          <w:rFonts w:hint="eastAsia" w:ascii="仿宋_GB2312" w:hAnsi="仿宋_GB2312" w:eastAsia="仿宋_GB2312" w:cs="仿宋_GB2312"/>
          <w:color w:val="000000"/>
          <w:kern w:val="0"/>
          <w:sz w:val="32"/>
          <w:szCs w:val="32"/>
          <w:lang w:val="en-US" w:eastAsia="zh-CN"/>
        </w:rPr>
        <w:t>挤占和挪用专项资金的现象。公用经费支出同比下降8.73%以上，“三公”经费同比下降27.52%，财政供养人员实际控制率100%，固定资产利用率100%，政府采购执行率100%，资产管理规范。各项指标均完成或超额完成任务。年末结转结余资金为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20" w:rightChars="0"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四、部门整体支出绩效情况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2021年，局党组以习近平新时代中国特色社会主义思想为指导，在市委、市政府的坚强领导和省交通运输厅的关心支持下，团结带领全系统干部职工，围绕创建全国性综合交通枢纽城市，加速项目建设，加强行业管理，完成了全年工作目标任务。全年完成交通固定资产投资132.7亿元，同比增长25.2%；完成公路客运量3100.1万人；公路旅客周转量1.85亿人公里，同比增长5.55%；公路货运量1.45亿吨，公路货物周转量112.85亿吨公里；水路货运量1.02亿吨，同比增长4.19%；水路货物周转量84.48亿吨公里，同比增长3.9%；港口货物吞吐量1.25亿吨，同比增长7.6%；集装箱吞吐量60万标箱，同比增长18%；邮政服务业务总量16.14亿元，同比增长20.1%；快递业务量9241.11万件，同比增长27.6%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ascii="宋体" w:hAnsi="宋体"/>
          <w:sz w:val="30"/>
          <w:szCs w:val="30"/>
        </w:rPr>
      </w:pPr>
      <w:r>
        <w:rPr>
          <w:rFonts w:hint="eastAsia" w:ascii="宋体" w:hAnsi="宋体"/>
          <w:b/>
          <w:sz w:val="30"/>
          <w:szCs w:val="30"/>
        </w:rPr>
        <w:t>交通规划全面启动。</w:t>
      </w:r>
      <w:r>
        <w:rPr>
          <w:rFonts w:hint="eastAsia" w:ascii="仿宋_GB2312" w:hAnsi="仿宋_GB2312" w:eastAsia="仿宋_GB2312" w:cs="仿宋_GB2312"/>
          <w:color w:val="000000"/>
          <w:kern w:val="0"/>
          <w:sz w:val="32"/>
          <w:szCs w:val="32"/>
          <w:lang w:val="en-US" w:eastAsia="zh-CN"/>
        </w:rPr>
        <w:t>2021年9月，全市综合交通运输体系“十四五”发展规划经市政府常务会议审议通过，包含1个总体规划、2个行业基础建设规划（公路、水路）和7个专项规划。</w:t>
      </w:r>
      <w:r>
        <w:rPr>
          <w:rFonts w:hint="eastAsia" w:ascii="仿宋_GB2312" w:hAnsi="仿宋_GB2312" w:eastAsia="仿宋_GB2312" w:cs="仿宋_GB2312"/>
          <w:color w:val="000000"/>
          <w:kern w:val="0"/>
          <w:sz w:val="32"/>
          <w:szCs w:val="32"/>
          <w:lang w:val="en" w:eastAsia="zh-CN"/>
        </w:rPr>
        <w:t>长江</w:t>
      </w:r>
      <w:r>
        <w:rPr>
          <w:rFonts w:hint="eastAsia" w:ascii="仿宋_GB2312" w:hAnsi="仿宋_GB2312" w:eastAsia="仿宋_GB2312" w:cs="仿宋_GB2312"/>
          <w:color w:val="000000"/>
          <w:kern w:val="0"/>
          <w:sz w:val="32"/>
          <w:szCs w:val="32"/>
          <w:lang w:val="en-US" w:eastAsia="zh-CN"/>
        </w:rPr>
        <w:t>沿线现代化港口群、G240君山至湖滨公路（经洞庭湖、南湖湖底隧道）</w:t>
      </w:r>
      <w:r>
        <w:rPr>
          <w:rFonts w:hint="eastAsia" w:ascii="仿宋_GB2312" w:hAnsi="仿宋_GB2312" w:eastAsia="仿宋_GB2312" w:cs="仿宋_GB2312"/>
          <w:color w:val="000000"/>
          <w:kern w:val="0"/>
          <w:sz w:val="32"/>
          <w:szCs w:val="32"/>
          <w:lang w:val="en" w:eastAsia="zh-CN"/>
        </w:rPr>
        <w:t>项目</w:t>
      </w:r>
      <w:r>
        <w:rPr>
          <w:rFonts w:hint="eastAsia" w:ascii="仿宋_GB2312" w:hAnsi="仿宋_GB2312" w:eastAsia="仿宋_GB2312" w:cs="仿宋_GB2312"/>
          <w:color w:val="000000"/>
          <w:kern w:val="0"/>
          <w:sz w:val="32"/>
          <w:szCs w:val="32"/>
          <w:lang w:val="en-US" w:eastAsia="zh-CN"/>
        </w:rPr>
        <w:t>入选岳阳市第八次党代会报告确定的“城市品质十大工程”。《岳阳市深化农村公路管理养护体制改革实施方案》印发施行。</w:t>
      </w:r>
    </w:p>
    <w:p>
      <w:pPr>
        <w:pStyle w:val="7"/>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02" w:firstLineChars="200"/>
        <w:rPr>
          <w:rFonts w:hint="eastAsia" w:ascii="仿宋_GB2312" w:hAnsi="仿宋_GB2312" w:eastAsia="仿宋_GB2312" w:cs="仿宋_GB2312"/>
          <w:color w:val="000000"/>
          <w:kern w:val="0"/>
          <w:sz w:val="32"/>
          <w:szCs w:val="32"/>
          <w:lang w:val="en-US" w:eastAsia="zh-CN" w:bidi="ar-SA"/>
        </w:rPr>
      </w:pPr>
      <w:r>
        <w:rPr>
          <w:b/>
          <w:kern w:val="2"/>
          <w:sz w:val="30"/>
          <w:szCs w:val="30"/>
        </w:rPr>
        <w:t>建设任务圆满完成</w:t>
      </w:r>
      <w:r>
        <w:rPr>
          <w:rFonts w:hint="default"/>
          <w:b/>
          <w:kern w:val="2"/>
          <w:sz w:val="30"/>
          <w:szCs w:val="30"/>
        </w:rPr>
        <w:t>。</w:t>
      </w:r>
      <w:r>
        <w:rPr>
          <w:rFonts w:hint="eastAsia" w:ascii="仿宋_GB2312" w:hAnsi="仿宋_GB2312" w:eastAsia="仿宋_GB2312" w:cs="仿宋_GB2312"/>
          <w:color w:val="000000"/>
          <w:kern w:val="0"/>
          <w:sz w:val="32"/>
          <w:szCs w:val="32"/>
          <w:lang w:val="en-US" w:eastAsia="zh-CN" w:bidi="ar-SA"/>
        </w:rPr>
        <w:t>全市交通项目建设“十四五”强势开局，实现了开门红。全年完成交通固定资产投资132.7亿元，为年度计划的132.7%，额度列全省第一。重点项目建设加快推进，平益高速公路全线进入路面施工阶段。汨杨公路、G353岳阳东站至三荷机场建成通车；北环线全线贯通，40公里城市环线完成闭合。云溪LNG水上加注站完工，南洋洲铁水集运码头、君山LNG水上加注站码头、华容煤炭铁水联运码头开工建设。城陵矶新港水公铁集装箱多式联运示范工程获评“国家多式联运示范工程”；胥家桥综合物流园一期PPP项目开工建设。全市完成民生实事农村公路提质改造395公里、安防工程1052公里、危桥改造107座，圆满完成年度目标。</w:t>
      </w:r>
    </w:p>
    <w:p>
      <w:pPr>
        <w:spacing w:line="560" w:lineRule="exact"/>
        <w:ind w:firstLine="602" w:firstLineChars="200"/>
        <w:rPr>
          <w:rFonts w:hint="eastAsia" w:ascii="仿宋_GB2312" w:hAnsi="仿宋_GB2312" w:eastAsia="仿宋_GB2312" w:cs="仿宋_GB2312"/>
          <w:color w:val="000000"/>
          <w:kern w:val="0"/>
          <w:sz w:val="32"/>
          <w:szCs w:val="32"/>
          <w:lang w:val="en-US" w:eastAsia="zh-CN" w:bidi="ar-SA"/>
        </w:rPr>
      </w:pPr>
      <w:r>
        <w:rPr>
          <w:rFonts w:hint="eastAsia" w:ascii="宋体" w:hAnsi="宋体"/>
          <w:b/>
          <w:sz w:val="30"/>
          <w:szCs w:val="30"/>
        </w:rPr>
        <w:t>行业管理扎实有效。</w:t>
      </w:r>
      <w:r>
        <w:rPr>
          <w:rFonts w:hint="eastAsia" w:ascii="仿宋_GB2312" w:hAnsi="仿宋_GB2312" w:eastAsia="仿宋_GB2312" w:cs="仿宋_GB2312"/>
          <w:color w:val="000000"/>
          <w:kern w:val="0"/>
          <w:sz w:val="32"/>
          <w:szCs w:val="32"/>
          <w:lang w:val="en-US" w:eastAsia="zh-CN" w:bidi="ar-SA"/>
        </w:rPr>
        <w:t>执行行政执法“三项制度”，推行重大执法决定、行政检查“两个清单”，推动了执法规范化。加强执法领域突出问题专项整治，整改问题28个。与相关单位联勤联动，共查处超限超载车辆3414台次、非法营运车辆346台（其中非法网约车147台）、违规道路运输企业13家、违规货物源头单位37家、非法改装改型车辆201台。市级治超信息平台建成投入使用。以公路养护为重点，强化路域环境专项整治，整改违章建筑、标牌62处，拆除违规限高限宽设施55处、检查卡点1个。开展船舶无线电设备专项整治，督促30艘船舶完成整改。全市采砂船舶数量实现零新增。安全生产监督持续发力，顽瘴痼疾治理、“隐患清零”和交通安全生产专项整治“三管齐下”，“两客一危”智能监管实现全覆盖，省下达的铁路安全环境整治任务全部完成，全市交通运输行业未发生较大及以上安全事故。在建交通项目工程造价、质量总体可控。落实疫情防控常态化措施，履行疫情防控交通组职责，新冠疫情未经交通运输途径传播。动员和组织全系统干部职工和从业人员接种新冠疫苗，做到应接尽接。</w:t>
      </w:r>
    </w:p>
    <w:p>
      <w:pPr>
        <w:spacing w:line="560" w:lineRule="exact"/>
        <w:ind w:firstLine="602" w:firstLineChars="200"/>
        <w:rPr>
          <w:rFonts w:hint="eastAsia" w:ascii="仿宋_GB2312" w:hAnsi="仿宋_GB2312" w:eastAsia="仿宋_GB2312" w:cs="仿宋_GB2312"/>
          <w:color w:val="000000"/>
          <w:kern w:val="0"/>
          <w:sz w:val="32"/>
          <w:szCs w:val="32"/>
          <w:lang w:val="en-US" w:eastAsia="zh-CN" w:bidi="ar-SA"/>
        </w:rPr>
      </w:pPr>
      <w:r>
        <w:rPr>
          <w:rFonts w:hint="eastAsia" w:ascii="宋体" w:hAnsi="宋体"/>
          <w:b/>
          <w:sz w:val="30"/>
          <w:szCs w:val="30"/>
        </w:rPr>
        <w:t>绿色交通方兴未艾。</w:t>
      </w:r>
      <w:r>
        <w:rPr>
          <w:rFonts w:hint="eastAsia" w:ascii="仿宋_GB2312" w:hAnsi="仿宋_GB2312" w:eastAsia="仿宋_GB2312" w:cs="仿宋_GB2312"/>
          <w:color w:val="000000"/>
          <w:kern w:val="0"/>
          <w:sz w:val="32"/>
          <w:szCs w:val="32"/>
          <w:lang w:val="en-US" w:eastAsia="zh-CN" w:bidi="ar-SA"/>
        </w:rPr>
        <w:t>抓好主城区在建交通项目扬尘治理，全面推广了公路建设施工现场水雾喷洒降尘作业。承办了2021年全省绿色出行宣传月暨公交出行宣传周活动，全市新能源公交车占比达98%，其中主城区达100%。整治岸线码头成效显著，拆除市域内洞庭湖、湘江沿线全部21个取缔类码头并复绿，批复26个码头的提质改造方案。基本实现了岳阳港船舶污染物免费接收全覆盖。全年接收船舶垃圾500.73吨、生活污水2.5万吨、油污水2517吨，分别占全省总量的66.5%、87.7%、81.4%。危险化学品洗舱站于6月建成投入运营。中心城区浮吊由75艘压减至40艘，其中25艘完成了岸电设施建设；13家航运企业的25艘运输船舶完成岸电系统受电设施改造。</w:t>
      </w:r>
    </w:p>
    <w:p>
      <w:pPr>
        <w:pStyle w:val="7"/>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02" w:firstLineChars="200"/>
        <w:rPr>
          <w:rFonts w:hint="eastAsia" w:ascii="仿宋_GB2312" w:hAnsi="仿宋_GB2312" w:eastAsia="仿宋_GB2312" w:cs="仿宋_GB2312"/>
          <w:kern w:val="2"/>
          <w:sz w:val="32"/>
          <w:szCs w:val="32"/>
        </w:rPr>
      </w:pPr>
      <w:r>
        <w:rPr>
          <w:b/>
          <w:kern w:val="2"/>
          <w:sz w:val="30"/>
          <w:szCs w:val="30"/>
        </w:rPr>
        <w:t>交通改革纵深推进。</w:t>
      </w:r>
      <w:r>
        <w:rPr>
          <w:rFonts w:hint="eastAsia" w:ascii="仿宋_GB2312" w:hAnsi="仿宋_GB2312" w:eastAsia="仿宋_GB2312" w:cs="仿宋_GB2312"/>
          <w:kern w:val="2"/>
          <w:sz w:val="32"/>
          <w:szCs w:val="32"/>
        </w:rPr>
        <w:t>按市委要求，深化大交通体制改革，市交通运输局与原市地方海事局合并，加挂市地方海事局牌子；深化事业单位改革，市道路运输服务中心、市水运事务中心挂牌运转，涉改事权接转到位，涉改人员到岗到位，市直交通运输系统“一局一队一站四中心”格局成形。综合执法改革基本完成，顺利承接全市高速公路路政执法事权，全市普通国省道（G107除外）路政执法事权下放到县市区，完成岳阳县、汨罗市、湘阴县地方海事处下放属地管理。协调属地党委、政府和市直相关单位，妥善处理涉改人员合理诉求，维护改革大局稳定。</w:t>
      </w:r>
    </w:p>
    <w:p>
      <w:pPr>
        <w:pStyle w:val="2"/>
        <w:spacing w:line="560" w:lineRule="exact"/>
        <w:ind w:firstLine="602" w:firstLineChars="200"/>
        <w:rPr>
          <w:rFonts w:hint="eastAsia" w:ascii="仿宋_GB2312" w:hAnsi="仿宋_GB2312" w:eastAsia="仿宋_GB2312" w:cs="仿宋_GB2312"/>
          <w:b/>
          <w:sz w:val="32"/>
          <w:szCs w:val="32"/>
        </w:rPr>
      </w:pPr>
      <w:r>
        <w:rPr>
          <w:rFonts w:hint="eastAsia" w:ascii="宋体" w:hAnsi="宋体"/>
          <w:b/>
          <w:sz w:val="30"/>
          <w:szCs w:val="30"/>
        </w:rPr>
        <w:t>党的建设不断加强。</w:t>
      </w:r>
      <w:r>
        <w:rPr>
          <w:rFonts w:hint="eastAsia" w:ascii="仿宋_GB2312" w:hAnsi="仿宋_GB2312" w:eastAsia="仿宋_GB2312" w:cs="仿宋_GB2312"/>
          <w:sz w:val="32"/>
          <w:szCs w:val="32"/>
        </w:rPr>
        <w:t>深入开展党史学习教育，认真组织学习习近平总书记在庆祝中国共产党成立100周年大会上的重要讲话、十九届六中全会精神，举办职工文艺汇演等系列活动，以伟大建党精神激发干部职工积极性，凝聚干事创业精气神，为交通运输工作提供了思想、组织和纪律保障。局党组围绕加强意识形态和党风廉政建设、提升改革创新和安全监管能力，组织了12次集体学习，召开了专题民主生活会，全面接受、积极配合市委第三巡察组的政治巡察，增强了政治领悟力、政治判断力和政治执行力。</w:t>
      </w:r>
    </w:p>
    <w:p>
      <w:pPr>
        <w:widowControl/>
        <w:spacing w:line="560" w:lineRule="exact"/>
        <w:ind w:firstLine="602" w:firstLineChars="200"/>
        <w:jc w:val="left"/>
        <w:rPr>
          <w:rFonts w:hint="eastAsia" w:ascii="仿宋_GB2312" w:hAnsi="仿宋_GB2312" w:eastAsia="仿宋_GB2312" w:cs="仿宋_GB2312"/>
          <w:b/>
          <w:sz w:val="32"/>
          <w:szCs w:val="32"/>
        </w:rPr>
      </w:pPr>
      <w:r>
        <w:rPr>
          <w:rFonts w:hint="eastAsia" w:ascii="宋体" w:hAnsi="宋体"/>
          <w:b/>
          <w:sz w:val="30"/>
          <w:szCs w:val="30"/>
        </w:rPr>
        <w:t>创先争优成果丰硕。</w:t>
      </w:r>
      <w:r>
        <w:rPr>
          <w:rFonts w:hint="eastAsia" w:ascii="仿宋_GB2312" w:hAnsi="仿宋_GB2312" w:eastAsia="仿宋_GB2312" w:cs="仿宋_GB2312"/>
          <w:b w:val="0"/>
          <w:bCs/>
          <w:sz w:val="32"/>
          <w:szCs w:val="32"/>
          <w:lang w:val="en-US" w:eastAsia="zh-CN"/>
        </w:rPr>
        <w:t>2021</w:t>
      </w:r>
      <w:r>
        <w:rPr>
          <w:rFonts w:hint="eastAsia" w:ascii="仿宋_GB2312" w:hAnsi="仿宋_GB2312" w:eastAsia="仿宋_GB2312" w:cs="仿宋_GB2312"/>
          <w:sz w:val="32"/>
          <w:szCs w:val="32"/>
        </w:rPr>
        <w:t>年，全市交通运输系统各单位讲实干、创业绩、争先进，多项工作受到国家、省、市表彰。汨罗市获评2020年度“四好农村路”、城乡交通运输一体化全国示范县，湘阴县、临湘市、云溪区、君山区获评城乡交通运输一体化全省示范县；被市委、市政府评为安全生产、信访工作优胜单位；推进西环线建设，受到市委通报表扬；G353岳阳东站至三荷机场项目建设、第二届湖南（岳阳）口岸经贸博览会筹备和接待、优化营商环境、全国文明城市复查、民生实事农村公路建设等受到市政府通报表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 xml:space="preserve">    五、</w:t>
      </w:r>
      <w:r>
        <w:rPr>
          <w:rFonts w:hint="eastAsia" w:ascii="黑体" w:hAnsi="黑体" w:eastAsia="黑体" w:cs="黑体"/>
          <w:b w:val="0"/>
          <w:bCs w:val="0"/>
          <w:color w:val="000000"/>
          <w:sz w:val="32"/>
          <w:szCs w:val="32"/>
        </w:rPr>
        <w:t>综合评价情况及评价结论</w:t>
      </w:r>
    </w:p>
    <w:p>
      <w:p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2021年，我系统各项年度数量指标、质量指标任务均完成或超额完成，预算执行情况较好。经综合评价，我系统整体支出绩效评价得分96分，评价等级为“优”。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20" w:rightChars="0"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b w:val="0"/>
          <w:bCs w:val="0"/>
          <w:color w:val="000000"/>
          <w:sz w:val="32"/>
          <w:szCs w:val="32"/>
          <w:lang w:val="en-US" w:eastAsia="zh-CN"/>
        </w:rPr>
        <w:t>六、存在的问题、</w:t>
      </w:r>
      <w:r>
        <w:rPr>
          <w:rFonts w:hint="eastAsia" w:ascii="黑体" w:hAnsi="黑体" w:eastAsia="黑体" w:cs="黑体"/>
          <w:color w:val="000000"/>
          <w:kern w:val="0"/>
          <w:sz w:val="32"/>
          <w:szCs w:val="32"/>
          <w:lang w:val="en-US" w:eastAsia="zh-CN"/>
        </w:rPr>
        <w:t>改进措施和有关建议</w:t>
      </w:r>
    </w:p>
    <w:p>
      <w:p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存在的问题：一是设立的绩效指标不够细化量化；二是由于上级要求过“紧日子”，导致资金紧张，难以保障正常运转和交通基础设施建设需要。</w:t>
      </w:r>
    </w:p>
    <w:p>
      <w:p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改进措施：我系统将逐步细化量化绩效评价指标体系，加强预算支出绩效评价，以绩效评价规范经费使用。</w:t>
      </w:r>
    </w:p>
    <w:p>
      <w:pPr>
        <w:spacing w:line="560" w:lineRule="exact"/>
        <w:ind w:firstLine="640" w:firstLineChars="200"/>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    建议：建议财政足额预算交通运输系统经费，为推进交通运输高质量发展，为“交通成为中国现代化的开路先锋”提供资金支持。</w:t>
      </w:r>
    </w:p>
    <w:p>
      <w:p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附件：部门整体支出绩效评价评分表</w:t>
      </w:r>
    </w:p>
    <w:p>
      <w:p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p>
    <w:p>
      <w:p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                               岳阳市交通运输局</w:t>
      </w:r>
    </w:p>
    <w:p>
      <w:p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                               2022年8月22日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r>
        <w:rPr>
          <w:rFonts w:hint="eastAsia" w:ascii="方正小标宋简体" w:eastAsia="方正小标宋简体"/>
          <w:b w:val="0"/>
          <w:bCs w:val="0"/>
          <w:sz w:val="24"/>
          <w:szCs w:val="24"/>
          <w:lang w:val="en-US" w:eastAsia="zh-CN"/>
        </w:rPr>
        <w:t>附件：</w:t>
      </w:r>
    </w:p>
    <w:p>
      <w:pPr>
        <w:keepNext w:val="0"/>
        <w:keepLines w:val="0"/>
        <w:pageBreakBefore w:val="0"/>
        <w:widowControl w:val="0"/>
        <w:kinsoku/>
        <w:wordWrap/>
        <w:overflowPunct/>
        <w:topLinePunct w:val="0"/>
        <w:autoSpaceDE/>
        <w:autoSpaceDN/>
        <w:bidi w:val="0"/>
        <w:adjustRightInd w:val="0"/>
        <w:snapToGrid w:val="0"/>
        <w:spacing w:before="160" w:beforeLines="50" w:line="440" w:lineRule="exact"/>
        <w:ind w:left="0" w:leftChars="0" w:right="0" w:rightChars="0" w:firstLine="0" w:firstLineChars="0"/>
        <w:jc w:val="center"/>
        <w:textAlignment w:val="auto"/>
        <w:outlineLvl w:val="9"/>
        <w:rPr>
          <w:rFonts w:hint="eastAsia" w:ascii="黑体" w:hAnsi="黑体" w:eastAsia="黑体" w:cs="黑体"/>
          <w:sz w:val="44"/>
          <w:szCs w:val="44"/>
        </w:rPr>
      </w:pPr>
      <w:r>
        <w:rPr>
          <w:rFonts w:hint="eastAsia" w:ascii="黑体" w:hAnsi="黑体" w:eastAsia="黑体" w:cs="黑体"/>
          <w:sz w:val="44"/>
          <w:szCs w:val="44"/>
        </w:rPr>
        <w:t>部门整体支出绩效评价评分表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23"/>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5</w:t>
            </w:r>
          </w:p>
        </w:tc>
        <w:tc>
          <w:tcPr>
            <w:tcW w:w="10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0</w:t>
            </w:r>
          </w:p>
        </w:tc>
        <w:tc>
          <w:tcPr>
            <w:tcW w:w="10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预算调整</w:t>
            </w:r>
            <w:r>
              <w:rPr>
                <w:rFonts w:hint="eastAsia" w:ascii="仿宋_GB2312" w:hAnsi="宋体" w:eastAsia="仿宋_GB2312" w:cs="宋体"/>
                <w:color w:val="000000"/>
                <w:kern w:val="0"/>
                <w:sz w:val="18"/>
                <w:szCs w:val="18"/>
                <w:lang w:val="en-US" w:eastAsia="zh-CN"/>
              </w:rPr>
              <w:t>率为89%</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3</w:t>
            </w:r>
          </w:p>
        </w:tc>
        <w:tc>
          <w:tcPr>
            <w:tcW w:w="10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2</w:t>
            </w:r>
          </w:p>
        </w:tc>
        <w:tc>
          <w:tcPr>
            <w:tcW w:w="10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制度合法合规但不完整</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3</w:t>
            </w:r>
          </w:p>
        </w:tc>
        <w:tc>
          <w:tcPr>
            <w:tcW w:w="10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p>
        </w:tc>
      </w:tr>
    </w:tbl>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57"/>
        <w:gridCol w:w="682"/>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57"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682"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57"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682"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5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default" w:ascii="仿宋_GB2312" w:hAnsi="宋体" w:eastAsia="仿宋_GB2312" w:cs="宋体"/>
                <w:kern w:val="0"/>
                <w:sz w:val="18"/>
                <w:szCs w:val="18"/>
                <w:highlight w:val="yellow"/>
                <w:lang w:val="en-US" w:eastAsia="zh-CN"/>
              </w:rPr>
            </w:pPr>
            <w:r>
              <w:rPr>
                <w:rFonts w:hint="eastAsia" w:ascii="仿宋_GB2312" w:hAnsi="宋体" w:eastAsia="仿宋_GB2312" w:cs="宋体"/>
                <w:kern w:val="0"/>
                <w:sz w:val="18"/>
                <w:szCs w:val="18"/>
                <w:highlight w:val="none"/>
                <w:lang w:val="en-US" w:eastAsia="zh-CN"/>
              </w:rPr>
              <w:t>按计划完成。</w:t>
            </w:r>
          </w:p>
        </w:tc>
        <w:tc>
          <w:tcPr>
            <w:tcW w:w="65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8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highlight w:val="yellow"/>
              </w:rPr>
            </w:pPr>
            <w:r>
              <w:rPr>
                <w:rFonts w:hint="eastAsia" w:ascii="仿宋_GB2312" w:hAnsi="宋体" w:eastAsia="仿宋_GB2312" w:cs="宋体"/>
                <w:kern w:val="0"/>
                <w:sz w:val="18"/>
                <w:szCs w:val="18"/>
                <w:highlight w:val="none"/>
                <w:lang w:val="en-US" w:eastAsia="zh-CN"/>
              </w:rPr>
              <w:t>按计划完成。</w:t>
            </w:r>
          </w:p>
        </w:tc>
        <w:tc>
          <w:tcPr>
            <w:tcW w:w="65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68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highlight w:val="yellow"/>
              </w:rPr>
            </w:pPr>
            <w:r>
              <w:rPr>
                <w:rFonts w:hint="eastAsia" w:ascii="仿宋_GB2312" w:hAnsi="宋体" w:eastAsia="仿宋_GB2312" w:cs="宋体"/>
                <w:kern w:val="0"/>
                <w:sz w:val="18"/>
                <w:szCs w:val="18"/>
                <w:highlight w:val="none"/>
                <w:lang w:val="en-US" w:eastAsia="zh-CN"/>
              </w:rPr>
              <w:t>按计划完成。</w:t>
            </w:r>
          </w:p>
        </w:tc>
        <w:tc>
          <w:tcPr>
            <w:tcW w:w="65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8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highlight w:val="yellow"/>
                <w:lang w:eastAsia="zh-CN"/>
              </w:rPr>
            </w:pPr>
            <w:r>
              <w:rPr>
                <w:rFonts w:hint="eastAsia" w:ascii="仿宋_GB2312" w:hAnsi="宋体" w:eastAsia="仿宋_GB2312" w:cs="宋体"/>
                <w:kern w:val="0"/>
                <w:sz w:val="18"/>
                <w:szCs w:val="18"/>
                <w:highlight w:val="none"/>
                <w:lang w:val="en-US" w:eastAsia="zh-CN"/>
              </w:rPr>
              <w:t>按计划完成。</w:t>
            </w:r>
          </w:p>
        </w:tc>
        <w:tc>
          <w:tcPr>
            <w:tcW w:w="65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68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default" w:ascii="仿宋_GB2312" w:hAnsi="宋体" w:eastAsia="仿宋_GB2312" w:cs="宋体"/>
                <w:kern w:val="0"/>
                <w:sz w:val="18"/>
                <w:szCs w:val="18"/>
                <w:highlight w:val="yellow"/>
                <w:lang w:val="en-US" w:eastAsia="zh-CN"/>
              </w:rPr>
            </w:pPr>
            <w:r>
              <w:rPr>
                <w:rFonts w:hint="eastAsia" w:ascii="仿宋_GB2312" w:hAnsi="宋体" w:eastAsia="仿宋_GB2312" w:cs="宋体"/>
                <w:kern w:val="0"/>
                <w:sz w:val="18"/>
                <w:szCs w:val="18"/>
                <w:highlight w:val="none"/>
                <w:lang w:val="en-US" w:eastAsia="zh-CN"/>
              </w:rPr>
              <w:t>按计划完成。</w:t>
            </w:r>
          </w:p>
        </w:tc>
        <w:tc>
          <w:tcPr>
            <w:tcW w:w="65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68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3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default" w:ascii="仿宋_GB2312" w:hAnsi="宋体" w:eastAsia="仿宋_GB2312" w:cs="宋体"/>
                <w:kern w:val="0"/>
                <w:sz w:val="18"/>
                <w:szCs w:val="18"/>
                <w:highlight w:val="yellow"/>
                <w:lang w:val="en-US" w:eastAsia="zh-CN"/>
              </w:rPr>
            </w:pPr>
            <w:r>
              <w:rPr>
                <w:rFonts w:hint="default" w:ascii="仿宋_GB2312" w:hAnsi="宋体" w:eastAsia="仿宋_GB2312" w:cs="宋体"/>
                <w:kern w:val="0"/>
                <w:sz w:val="18"/>
                <w:szCs w:val="18"/>
                <w:highlight w:val="none"/>
                <w:lang w:val="en-US" w:eastAsia="zh-CN"/>
              </w:rPr>
              <w:t>对经济发展带来的直接影响和间接影响。</w:t>
            </w:r>
          </w:p>
        </w:tc>
        <w:tc>
          <w:tcPr>
            <w:tcW w:w="65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w:t>
            </w:r>
          </w:p>
        </w:tc>
        <w:tc>
          <w:tcPr>
            <w:tcW w:w="68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default" w:ascii="仿宋_GB2312" w:hAnsi="宋体" w:eastAsia="仿宋_GB2312" w:cs="宋体"/>
                <w:kern w:val="0"/>
                <w:sz w:val="18"/>
                <w:szCs w:val="18"/>
                <w:highlight w:val="yellow"/>
                <w:lang w:val="en-US" w:eastAsia="zh-CN"/>
              </w:rPr>
            </w:pPr>
            <w:r>
              <w:rPr>
                <w:rFonts w:hint="default" w:ascii="仿宋_GB2312" w:hAnsi="宋体" w:eastAsia="仿宋_GB2312" w:cs="宋体"/>
                <w:kern w:val="0"/>
                <w:sz w:val="18"/>
                <w:szCs w:val="18"/>
                <w:highlight w:val="none"/>
                <w:lang w:val="en-US" w:eastAsia="zh-CN"/>
              </w:rPr>
              <w:t>对社会发展带来的直接影响和间接影响。</w:t>
            </w:r>
          </w:p>
        </w:tc>
        <w:tc>
          <w:tcPr>
            <w:tcW w:w="65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w:t>
            </w:r>
          </w:p>
        </w:tc>
        <w:tc>
          <w:tcPr>
            <w:tcW w:w="68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default" w:ascii="仿宋_GB2312" w:hAnsi="宋体" w:eastAsia="仿宋_GB2312" w:cs="宋体"/>
                <w:kern w:val="0"/>
                <w:sz w:val="18"/>
                <w:szCs w:val="18"/>
                <w:highlight w:val="yellow"/>
                <w:lang w:val="en-US" w:eastAsia="zh-CN"/>
              </w:rPr>
            </w:pPr>
            <w:r>
              <w:rPr>
                <w:rFonts w:hint="eastAsia" w:ascii="仿宋_GB2312" w:hAnsi="宋体" w:eastAsia="仿宋_GB2312" w:cs="宋体"/>
                <w:kern w:val="0"/>
                <w:sz w:val="18"/>
                <w:szCs w:val="18"/>
                <w:highlight w:val="none"/>
                <w:lang w:val="en-US" w:eastAsia="zh-CN"/>
              </w:rPr>
              <w:t>城市公交新能源车占有率大于75%.</w:t>
            </w:r>
          </w:p>
        </w:tc>
        <w:tc>
          <w:tcPr>
            <w:tcW w:w="65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w:t>
            </w:r>
          </w:p>
        </w:tc>
        <w:tc>
          <w:tcPr>
            <w:tcW w:w="68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5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8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5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68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
    <w:sectPr>
      <w:headerReference r:id="rId3" w:type="default"/>
      <w:footerReference r:id="rId4" w:type="default"/>
      <w:pgSz w:w="11906" w:h="16838"/>
      <w:pgMar w:top="2098" w:right="1304" w:bottom="1740" w:left="1531" w:header="851" w:footer="992" w:gutter="0"/>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创艺简老宋">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BF4267"/>
    <w:multiLevelType w:val="singleLevel"/>
    <w:tmpl w:val="3FBF4267"/>
    <w:lvl w:ilvl="0" w:tentative="0">
      <w:start w:val="1"/>
      <w:numFmt w:val="chineseCounting"/>
      <w:suff w:val="nothing"/>
      <w:lvlText w:val="（%1）"/>
      <w:lvlJc w:val="left"/>
      <w:pPr>
        <w:ind w:left="790" w:leftChars="0" w:firstLine="0" w:firstLineChars="0"/>
      </w:pPr>
      <w:rPr>
        <w:rFonts w:hint="eastAsia"/>
      </w:rPr>
    </w:lvl>
  </w:abstractNum>
  <w:abstractNum w:abstractNumId="1">
    <w:nsid w:val="78831306"/>
    <w:multiLevelType w:val="singleLevel"/>
    <w:tmpl w:val="7883130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2Njc2Mjg3MzYwZmViM2NlZWEyMTQyZWNkYTc5ODQifQ=="/>
  </w:docVars>
  <w:rsids>
    <w:rsidRoot w:val="1DE411CA"/>
    <w:rsid w:val="07462117"/>
    <w:rsid w:val="1DE411CA"/>
    <w:rsid w:val="1FE25412"/>
    <w:rsid w:val="352162CA"/>
    <w:rsid w:val="38450B50"/>
    <w:rsid w:val="486963B4"/>
    <w:rsid w:val="4FAC57B7"/>
    <w:rsid w:val="52606936"/>
    <w:rsid w:val="52CF5FC1"/>
    <w:rsid w:val="53196B65"/>
    <w:rsid w:val="62E12A11"/>
    <w:rsid w:val="65C53C6F"/>
    <w:rsid w:val="7E69612A"/>
    <w:rsid w:val="7EC1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Indent"/>
    <w:basedOn w:val="1"/>
    <w:qFormat/>
    <w:uiPriority w:val="0"/>
    <w:pPr>
      <w:spacing w:after="120"/>
      <w:ind w:left="420" w:leftChars="20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HTML Preformatted"/>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2022-10-13T06:28:00Z</dcterms:created>
  <dc:creator>熊大和熊二</dc:creator>
  <cp:lastModifiedBy>李兆丰</cp:lastModifiedBy>
  <cp:lastPrinted>2022-10-13T07:00:00Z</cp:lastPrinted>
  <dcterms:modified xsi:type="dcterms:W3CDTF">2024-06-21T03:22:13Z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52D1768C0F1E44D496DC02D116E549FB</vt:lpwstr>
  </property>
</Properties>
</file>