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sz w:val="2"/>
          <w:szCs w:val="24"/>
        </w:rPr>
      </w:pPr>
      <w:bookmarkStart w:id="0" w:name="_GoBack"/>
      <w:bookmarkEnd w:id="0"/>
    </w:p>
    <w:tbl>
      <w:tblPr>
        <w:tblStyle w:val="6"/>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1110" w:lineRule="exact"/>
              <w:ind w:left="20"/>
              <w:jc w:val="center"/>
              <w:rPr>
                <w:rFonts w:hint="eastAsia" w:ascii="微软雅黑" w:hAnsi="微软雅黑" w:eastAsia="微软雅黑"/>
                <w:b/>
                <w:sz w:val="84"/>
                <w:szCs w:val="24"/>
              </w:rPr>
            </w:pPr>
            <w:r>
              <w:rPr>
                <w:rFonts w:hint="eastAsia" w:ascii="微软雅黑" w:hAnsi="微软雅黑" w:eastAsia="微软雅黑"/>
                <w:b/>
                <w:sz w:val="84"/>
                <w:szCs w:val="24"/>
              </w:rPr>
              <w:t>岳阳市城市管理和综合执法局湖南城陵矶新港区分局2023年度</w:t>
            </w:r>
          </w:p>
          <w:p>
            <w:pPr>
              <w:spacing w:line="1110" w:lineRule="exact"/>
              <w:ind w:left="20"/>
              <w:jc w:val="center"/>
              <w:rPr>
                <w:rFonts w:hint="eastAsia" w:ascii="微软雅黑" w:hAnsi="微软雅黑" w:eastAsia="微软雅黑"/>
                <w:sz w:val="84"/>
                <w:szCs w:val="24"/>
              </w:rPr>
            </w:pPr>
            <w:r>
              <w:rPr>
                <w:rFonts w:hint="eastAsia" w:ascii="微软雅黑" w:hAnsi="微软雅黑" w:eastAsia="微软雅黑"/>
                <w:b/>
                <w:sz w:val="84"/>
                <w:szCs w:val="24"/>
              </w:rPr>
              <w:t>单位预算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525" w:lineRule="exact"/>
              <w:ind w:left="20"/>
              <w:jc w:val="center"/>
              <w:rPr>
                <w:rFonts w:hint="eastAsia" w:ascii="宋体" w:hAnsi="Dialog"/>
                <w:sz w:val="44"/>
                <w:szCs w:val="24"/>
              </w:rPr>
            </w:pPr>
            <w:r>
              <w:rPr>
                <w:rFonts w:hint="eastAsia" w:ascii="宋体" w:hAnsi="Dialog"/>
                <w:sz w:val="44"/>
                <w:szCs w:val="24"/>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第一部分  2023年单位预算说明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第二部分  2023年单位预算公开表格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1、收支总表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2、收入总表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3、支出总表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4、支出预算分类汇总表（按政府预算经济分类）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5、支出预算分类汇总表（按部门预算经济分类）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6、财政拨款收支总表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7、一般公共预算支出表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8、一般公共预算基本支出表-人员经费（工资福利支出）（按政府预算经济分类）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9、一般公共预算基本支出表-人员经费（工资福利支出）（按部门预算经济分类）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10、一般公共预算基本支出表-人员经费（对个人和家庭的补助）（按政府预算经济分类）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11、一般公共预算基本支出表-人员经费（对个人和家庭的补助）（按部门预算经济分类）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12、一般公共预算基本支出表-公用经费（商品和服务支出）（按政府预算经济分类）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13、一般公共预算基本支出表-公用经费（商品和服务支出）（按部门预算经济分类）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14、一般公共预算“三公”经费支出表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15、政府性基金预算支出表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16、政府性基金预算支出分类汇总表（按政府预算经济分类）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17、政府性基金预算支出分类汇总表（按部门预算经济分类）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18、国有资本经营预算支出表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19、财政专户管理资金预算支出表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20、专项资金预算汇总表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21、项目支出绩效目标表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22、单位整体支出绩效目标表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23、一般公共预算基本支出表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color w:val="FF0000"/>
                <w:sz w:val="32"/>
                <w:szCs w:val="24"/>
              </w:rPr>
            </w:pPr>
            <w:r>
              <w:rPr>
                <w:rFonts w:hint="eastAsia" w:ascii="宋体" w:hAnsi="Dialog"/>
                <w:color w:val="auto"/>
                <w:sz w:val="32"/>
                <w:szCs w:val="24"/>
              </w:rPr>
              <w:t>注：以上单位预算公开报表中，空表表示本单位无相关收支情况。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jc w:val="center"/>
              <w:rPr>
                <w:rFonts w:hint="eastAsia" w:ascii="宋体" w:hAnsi="Dialog"/>
                <w:sz w:val="32"/>
                <w:szCs w:val="24"/>
              </w:rPr>
            </w:pPr>
            <w:r>
              <w:rPr>
                <w:rFonts w:hint="eastAsia" w:ascii="宋体" w:hAnsi="Dialog"/>
                <w:sz w:val="32"/>
                <w:szCs w:val="24"/>
              </w:rPr>
              <w:t>第一部分  2023年单位预算说明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一、单位基本概况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widowControl/>
              <w:adjustRightInd/>
              <w:spacing w:line="600" w:lineRule="exact"/>
              <w:ind w:firstLine="640" w:firstLineChars="200"/>
              <w:rPr>
                <w:rFonts w:hint="eastAsia" w:ascii="宋体" w:hAnsi="宋体"/>
                <w:sz w:val="32"/>
                <w:szCs w:val="24"/>
                <w:lang w:val="zh-CN" w:eastAsia="zh-CN"/>
              </w:rPr>
            </w:pPr>
            <w:r>
              <w:rPr>
                <w:rFonts w:hint="eastAsia" w:ascii="宋体" w:hAnsi="宋体"/>
                <w:sz w:val="32"/>
                <w:szCs w:val="24"/>
                <w:lang w:val="zh-CN" w:eastAsia="zh-CN"/>
              </w:rPr>
              <w:t>岳阳市城市管理和综合执法局湖南城陵矶新港区分局承担城陵矶新港区辖区内市容环境卫生、园林绿化、城管执法、市政公共设施维护、路灯亮化、渣土运输（道路破占道）、户外广告、城镇燃气、停车管理等职能。</w:t>
            </w:r>
          </w:p>
          <w:p>
            <w:pPr>
              <w:spacing w:line="375" w:lineRule="exact"/>
              <w:ind w:left="20"/>
              <w:rPr>
                <w:rFonts w:hint="eastAsia" w:ascii="宋体" w:hAnsi="宋体"/>
                <w:sz w:val="3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widowControl/>
              <w:adjustRightInd/>
              <w:spacing w:line="600" w:lineRule="exact"/>
              <w:ind w:firstLine="640" w:firstLineChars="200"/>
              <w:rPr>
                <w:rFonts w:hint="eastAsia" w:ascii="宋体" w:hAnsi="宋体"/>
                <w:sz w:val="32"/>
                <w:szCs w:val="24"/>
                <w:lang w:val="zh-CN" w:eastAsia="zh-CN"/>
              </w:rPr>
            </w:pPr>
            <w:r>
              <w:rPr>
                <w:rFonts w:hint="eastAsia" w:ascii="宋体" w:hAnsi="宋体"/>
                <w:sz w:val="32"/>
                <w:szCs w:val="24"/>
                <w:lang w:val="zh-CN" w:eastAsia="zh-CN"/>
              </w:rPr>
              <w:t>我单位为公益一类事业单位，核定人员编制2</w:t>
            </w:r>
            <w:r>
              <w:rPr>
                <w:rFonts w:hint="eastAsia" w:ascii="宋体" w:hAnsi="宋体"/>
                <w:sz w:val="32"/>
                <w:szCs w:val="24"/>
                <w:lang w:val="en-US" w:eastAsia="zh-CN"/>
              </w:rPr>
              <w:t>2</w:t>
            </w:r>
            <w:r>
              <w:rPr>
                <w:rFonts w:hint="eastAsia" w:ascii="宋体" w:hAnsi="宋体"/>
                <w:sz w:val="32"/>
                <w:szCs w:val="24"/>
                <w:lang w:val="zh-CN" w:eastAsia="zh-CN"/>
              </w:rPr>
              <w:t>人，实有2</w:t>
            </w:r>
            <w:r>
              <w:rPr>
                <w:rFonts w:hint="eastAsia" w:ascii="宋体" w:hAnsi="宋体"/>
                <w:sz w:val="32"/>
                <w:szCs w:val="24"/>
                <w:lang w:val="en-US" w:eastAsia="zh-CN"/>
              </w:rPr>
              <w:t>2</w:t>
            </w:r>
            <w:r>
              <w:rPr>
                <w:rFonts w:hint="eastAsia" w:ascii="宋体" w:hAnsi="宋体"/>
                <w:sz w:val="32"/>
                <w:szCs w:val="24"/>
                <w:lang w:val="zh-CN" w:eastAsia="zh-CN"/>
              </w:rPr>
              <w:t>人，内设科室分别是综合股、财务股、行政审批股、维护考评股、执法一中队、执法二中队、执法三中队。</w:t>
            </w:r>
          </w:p>
          <w:p>
            <w:pPr>
              <w:spacing w:line="375" w:lineRule="exact"/>
              <w:ind w:left="20"/>
              <w:rPr>
                <w:rFonts w:hint="eastAsia" w:ascii="宋体" w:hAnsi="宋体"/>
                <w:sz w:val="3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二、单位预算单位构成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本单位预算仅含本级预算。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三、单位收支总体情况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本单位2023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（一）收入预算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22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包括一般公共预算、政府性基金、国有资本经营预算等财政拨款收入，以及经营收入、事业收入等单位资金。2023年度年本单位收入预算320.71万元，其中，一般公共预算拨款320.71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2023年收入较去年增加</w:t>
            </w:r>
            <w:r>
              <w:rPr>
                <w:rFonts w:hint="eastAsia" w:ascii="宋体" w:hAnsi="宋体"/>
                <w:sz w:val="32"/>
                <w:szCs w:val="24"/>
                <w:lang w:val="en-US" w:eastAsia="zh-CN"/>
              </w:rPr>
              <w:t>37.56</w:t>
            </w:r>
            <w:r>
              <w:rPr>
                <w:rFonts w:hint="eastAsia" w:ascii="宋体" w:hAnsi="宋体"/>
                <w:sz w:val="32"/>
                <w:szCs w:val="24"/>
                <w:lang w:eastAsia="zh-CN"/>
              </w:rPr>
              <w:t>万元，主要是</w:t>
            </w:r>
            <w:r>
              <w:rPr>
                <w:rFonts w:hint="eastAsia" w:ascii="宋体" w:hAnsi="宋体"/>
                <w:sz w:val="32"/>
                <w:szCs w:val="24"/>
                <w:lang w:val="en-US" w:eastAsia="zh-CN"/>
              </w:rPr>
              <w:t>因为人员经费的正常增长，增加了社会保障和就业支出、卫生健康支出和住房保障支出。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w:t>
            </w:r>
            <w:r>
              <w:rPr>
                <w:rFonts w:hint="eastAsia" w:ascii="宋体" w:hAnsi="Dialog"/>
                <w:color w:val="FF0000"/>
                <w:sz w:val="32"/>
                <w:szCs w:val="24"/>
              </w:rPr>
              <w:t xml:space="preserve"> </w:t>
            </w:r>
            <w:r>
              <w:rPr>
                <w:rFonts w:hint="eastAsia" w:ascii="宋体" w:hAnsi="Dialog"/>
                <w:color w:val="auto"/>
                <w:sz w:val="32"/>
                <w:szCs w:val="24"/>
              </w:rPr>
              <w:t>（二）支出预算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2023年本单位支出预算320.71万元，其中，208社会保障和就业支出24.32万元，210卫生健康支出12.40万元，212城乡社区支出260.47万元，221住房保障支出23.51万元，支出较去年增加</w:t>
            </w:r>
            <w:r>
              <w:rPr>
                <w:rFonts w:hint="eastAsia" w:ascii="宋体" w:hAnsi="宋体"/>
                <w:sz w:val="32"/>
                <w:szCs w:val="24"/>
                <w:lang w:val="en-US" w:eastAsia="zh-CN"/>
              </w:rPr>
              <w:t>37.56</w:t>
            </w:r>
            <w:r>
              <w:rPr>
                <w:rFonts w:hint="eastAsia" w:ascii="宋体" w:hAnsi="宋体"/>
                <w:sz w:val="32"/>
                <w:szCs w:val="24"/>
                <w:lang w:eastAsia="zh-CN"/>
              </w:rPr>
              <w:t>万元，主要是</w:t>
            </w:r>
            <w:r>
              <w:rPr>
                <w:rFonts w:hint="eastAsia" w:ascii="宋体" w:hAnsi="宋体"/>
                <w:sz w:val="32"/>
                <w:szCs w:val="24"/>
                <w:lang w:val="en-US" w:eastAsia="zh-CN"/>
              </w:rPr>
              <w:t>因为人员经费的正常增长，增加了社会保障和就业支出、卫生健康支出和住房保障支出。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四、一般公共预算拨款支出预算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2023年一般公共预算拨款支出预算320.71万元，其中，208社会保障和就业支出24.32万元，占7.58%；210卫生健康支出12.40万元，占3.87%；212城乡社区支出260.47万元，占81.22%；221住房保障支出23.51万元，占7.33%；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一）基本支出：2023年基本支出年初预算数为305.71万元（数据来源见表23），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二）项目支出：2023年项目支出年初预算数为15.00万元（数据来源见表20），是指单位为完成特定行政工作任务或事业发展目标而发生的支出，包括有关业务工作经费、运行维护经费、其他事业发展资金等。其中：城管事务管理经费专项支出15.00万元，主要用于</w:t>
            </w:r>
            <w:r>
              <w:rPr>
                <w:rFonts w:hint="eastAsia" w:ascii="宋体" w:hAnsi="宋体"/>
                <w:sz w:val="32"/>
                <w:szCs w:val="24"/>
                <w:lang w:eastAsia="zh-CN"/>
              </w:rPr>
              <w:t>城陵矶新港区城市事务管理</w:t>
            </w:r>
            <w:r>
              <w:rPr>
                <w:rFonts w:hint="eastAsia" w:ascii="宋体" w:hAnsi="宋体"/>
                <w:sz w:val="32"/>
                <w:szCs w:val="24"/>
              </w:rPr>
              <w:t>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五、政府性基金预算支出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2023年度本单位无政府性基金安排的支出，所以公开的附件15-17（政府性基金预算）为空。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六、其他重要事项的情况说明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lang w:eastAsia="zh-CN"/>
              </w:rPr>
            </w:pPr>
            <w:r>
              <w:rPr>
                <w:rFonts w:hint="eastAsia" w:ascii="宋体" w:hAnsi="宋体"/>
                <w:sz w:val="32"/>
                <w:szCs w:val="24"/>
              </w:rPr>
              <w:t xml:space="preserve">  本单位2023年机关运行经费当年一般公共预算拨款31.08万元（数据来源见表12），比上一年增加</w:t>
            </w:r>
            <w:r>
              <w:rPr>
                <w:rFonts w:hint="eastAsia" w:ascii="宋体" w:hAnsi="宋体"/>
                <w:sz w:val="32"/>
                <w:szCs w:val="24"/>
                <w:lang w:val="en-US" w:eastAsia="zh-CN"/>
              </w:rPr>
              <w:t>11.08</w:t>
            </w:r>
            <w:r>
              <w:rPr>
                <w:rFonts w:hint="eastAsia" w:ascii="宋体" w:hAnsi="宋体"/>
                <w:sz w:val="32"/>
                <w:szCs w:val="24"/>
              </w:rPr>
              <w:t>万元，增加</w:t>
            </w:r>
            <w:r>
              <w:rPr>
                <w:rFonts w:hint="eastAsia" w:ascii="宋体" w:hAnsi="宋体"/>
                <w:sz w:val="32"/>
                <w:szCs w:val="24"/>
                <w:lang w:val="en-US" w:eastAsia="zh-CN"/>
              </w:rPr>
              <w:t>55.40</w:t>
            </w:r>
            <w:r>
              <w:rPr>
                <w:rFonts w:hint="eastAsia" w:ascii="宋体" w:hAnsi="宋体"/>
                <w:sz w:val="32"/>
                <w:szCs w:val="24"/>
              </w:rPr>
              <w:t>%。主要原因</w:t>
            </w:r>
            <w:r>
              <w:rPr>
                <w:rFonts w:hint="eastAsia" w:ascii="宋体" w:hAnsi="宋体"/>
                <w:sz w:val="32"/>
                <w:szCs w:val="24"/>
                <w:lang w:eastAsia="zh-CN"/>
              </w:rPr>
              <w:t>是统计方式调整，原按其他运转类经费核算的工会补助经费归入公用经费。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本单位2023年“三公”经费预算数1.00万元（数据来源见表14），其中，公务接待费1.00万元，因公出国（境）费0.00万元，公务用车购置及运行费0.00万元（其中，公务用车购置费0.00万元，公务用车运行费0.00万元）。2023年三公经费预算较上年增加</w:t>
            </w:r>
            <w:r>
              <w:rPr>
                <w:rFonts w:hint="eastAsia" w:ascii="宋体" w:hAnsi="宋体"/>
                <w:sz w:val="32"/>
                <w:szCs w:val="24"/>
                <w:lang w:val="en-US" w:eastAsia="zh-CN"/>
              </w:rPr>
              <w:t>1</w:t>
            </w:r>
            <w:r>
              <w:rPr>
                <w:rFonts w:hint="eastAsia" w:ascii="宋体" w:hAnsi="宋体"/>
                <w:sz w:val="32"/>
                <w:szCs w:val="24"/>
              </w:rPr>
              <w:t>万元</w:t>
            </w:r>
            <w:r>
              <w:rPr>
                <w:rFonts w:hint="eastAsia" w:ascii="宋体" w:hAnsi="宋体"/>
                <w:sz w:val="32"/>
                <w:szCs w:val="24"/>
                <w:lang w:eastAsia="zh-CN"/>
              </w:rPr>
              <w:t>，</w:t>
            </w:r>
            <w:r>
              <w:rPr>
                <w:rFonts w:hint="eastAsia" w:ascii="宋体" w:hAnsi="宋体"/>
                <w:sz w:val="32"/>
                <w:szCs w:val="24"/>
              </w:rPr>
              <w:t>主要原因是</w:t>
            </w:r>
            <w:r>
              <w:rPr>
                <w:rFonts w:hint="eastAsia" w:ascii="宋体" w:hAnsi="宋体"/>
                <w:sz w:val="32"/>
                <w:szCs w:val="24"/>
                <w:lang w:eastAsia="zh-CN"/>
              </w:rPr>
              <w:t>根据工作实际情况，</w:t>
            </w:r>
            <w:r>
              <w:rPr>
                <w:rFonts w:hint="eastAsia" w:ascii="宋体" w:hAnsi="宋体"/>
                <w:sz w:val="32"/>
                <w:szCs w:val="24"/>
                <w:lang w:val="en-US" w:eastAsia="zh-CN"/>
              </w:rPr>
              <w:t>2023年安排了其他市县同行业单位城市管理交流学习公务接待</w:t>
            </w:r>
            <w:r>
              <w:rPr>
                <w:rFonts w:hint="eastAsia" w:ascii="宋体" w:hAnsi="宋体"/>
                <w:sz w:val="32"/>
                <w:szCs w:val="24"/>
                <w:lang w:eastAsia="zh-CN"/>
              </w:rPr>
              <w:t>相关预算</w:t>
            </w:r>
            <w:r>
              <w:rPr>
                <w:rFonts w:hint="eastAsia" w:ascii="仿宋" w:hAnsi="仿宋" w:eastAsia="仿宋"/>
                <w:sz w:val="32"/>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本单位2023年会议费预算0.00万元（数据来源见表13会议费、培训费），拟召开</w:t>
            </w:r>
            <w:r>
              <w:rPr>
                <w:rFonts w:hint="eastAsia" w:ascii="宋体" w:hAnsi="宋体"/>
                <w:sz w:val="32"/>
                <w:szCs w:val="24"/>
                <w:lang w:val="en-US" w:eastAsia="zh-CN"/>
              </w:rPr>
              <w:t>0</w:t>
            </w:r>
            <w:r>
              <w:rPr>
                <w:rFonts w:hint="eastAsia" w:ascii="宋体" w:hAnsi="宋体"/>
                <w:sz w:val="32"/>
                <w:szCs w:val="24"/>
              </w:rPr>
              <w:t>次会议，人数</w:t>
            </w:r>
            <w:r>
              <w:rPr>
                <w:rFonts w:hint="eastAsia" w:ascii="宋体" w:hAnsi="宋体"/>
                <w:sz w:val="32"/>
                <w:szCs w:val="24"/>
                <w:lang w:val="en-US" w:eastAsia="zh-CN"/>
              </w:rPr>
              <w:t>0</w:t>
            </w:r>
            <w:r>
              <w:rPr>
                <w:rFonts w:hint="eastAsia" w:ascii="宋体" w:hAnsi="宋体"/>
                <w:sz w:val="32"/>
                <w:szCs w:val="24"/>
              </w:rPr>
              <w:t>人；培训费预算2.00万元，拟开展</w:t>
            </w:r>
            <w:r>
              <w:rPr>
                <w:rFonts w:hint="eastAsia" w:ascii="宋体" w:hAnsi="宋体"/>
                <w:sz w:val="32"/>
                <w:szCs w:val="24"/>
                <w:lang w:val="en-US" w:eastAsia="zh-CN"/>
              </w:rPr>
              <w:t>1</w:t>
            </w:r>
            <w:r>
              <w:rPr>
                <w:rFonts w:hint="eastAsia" w:ascii="宋体" w:hAnsi="宋体"/>
                <w:sz w:val="32"/>
                <w:szCs w:val="24"/>
              </w:rPr>
              <w:t>次培训，人数</w:t>
            </w:r>
            <w:r>
              <w:rPr>
                <w:rFonts w:hint="eastAsia" w:ascii="宋体" w:hAnsi="宋体"/>
                <w:sz w:val="32"/>
                <w:szCs w:val="24"/>
                <w:lang w:val="en-US" w:eastAsia="zh-CN"/>
              </w:rPr>
              <w:t>22</w:t>
            </w:r>
            <w:r>
              <w:rPr>
                <w:rFonts w:hint="eastAsia" w:ascii="宋体" w:hAnsi="宋体"/>
                <w:sz w:val="32"/>
                <w:szCs w:val="24"/>
              </w:rPr>
              <w:t>人，内容为</w:t>
            </w:r>
            <w:r>
              <w:rPr>
                <w:rFonts w:hint="eastAsia" w:ascii="宋体" w:hAnsi="宋体"/>
                <w:color w:val="auto"/>
                <w:sz w:val="32"/>
                <w:szCs w:val="24"/>
                <w:lang w:eastAsia="zh-CN"/>
              </w:rPr>
              <w:t>行政执法专项培训</w:t>
            </w:r>
            <w:r>
              <w:rPr>
                <w:rFonts w:hint="eastAsia" w:ascii="宋体" w:hAnsi="宋体"/>
                <w:sz w:val="32"/>
                <w:szCs w:val="24"/>
              </w:rPr>
              <w:t>；计划举办节庆、晚会、论坛、赛事活动</w:t>
            </w:r>
            <w:r>
              <w:rPr>
                <w:rFonts w:hint="eastAsia" w:ascii="宋体" w:hAnsi="宋体"/>
                <w:sz w:val="32"/>
                <w:szCs w:val="24"/>
                <w:lang w:val="en-US" w:eastAsia="zh-CN"/>
              </w:rPr>
              <w:t>0</w:t>
            </w:r>
            <w:r>
              <w:rPr>
                <w:rFonts w:hint="eastAsia" w:ascii="宋体" w:hAnsi="宋体"/>
                <w:sz w:val="32"/>
                <w:szCs w:val="24"/>
              </w:rPr>
              <w:t>万元。2023年度本单位未计划安排会议，未计划举办节庆、晚会、论坛、赛事活动。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本单位2023年政府采购预算总额</w:t>
            </w:r>
            <w:r>
              <w:rPr>
                <w:rFonts w:hint="eastAsia" w:ascii="宋体" w:hAnsi="宋体"/>
                <w:sz w:val="32"/>
                <w:szCs w:val="24"/>
                <w:lang w:val="en-US" w:eastAsia="zh-CN"/>
              </w:rPr>
              <w:t>20.00</w:t>
            </w:r>
            <w:r>
              <w:rPr>
                <w:rFonts w:hint="eastAsia" w:ascii="宋体" w:hAnsi="宋体"/>
                <w:sz w:val="32"/>
                <w:szCs w:val="24"/>
              </w:rPr>
              <w:t>万元，其中工程类</w:t>
            </w:r>
            <w:r>
              <w:rPr>
                <w:rFonts w:hint="eastAsia" w:ascii="宋体" w:hAnsi="宋体"/>
                <w:sz w:val="32"/>
                <w:szCs w:val="24"/>
                <w:lang w:val="en-US" w:eastAsia="zh-CN"/>
              </w:rPr>
              <w:t>0.00</w:t>
            </w:r>
            <w:r>
              <w:rPr>
                <w:rFonts w:hint="eastAsia" w:ascii="宋体" w:hAnsi="宋体"/>
                <w:sz w:val="32"/>
                <w:szCs w:val="24"/>
              </w:rPr>
              <w:t>万元，货物类</w:t>
            </w:r>
            <w:r>
              <w:rPr>
                <w:rFonts w:hint="eastAsia" w:ascii="宋体" w:hAnsi="宋体"/>
                <w:sz w:val="32"/>
                <w:szCs w:val="24"/>
                <w:lang w:val="en-US" w:eastAsia="zh-CN"/>
              </w:rPr>
              <w:t>7.00</w:t>
            </w:r>
            <w:r>
              <w:rPr>
                <w:rFonts w:hint="eastAsia" w:ascii="宋体" w:hAnsi="宋体"/>
                <w:sz w:val="32"/>
                <w:szCs w:val="24"/>
              </w:rPr>
              <w:t>万元，服务类</w:t>
            </w:r>
            <w:r>
              <w:rPr>
                <w:rFonts w:hint="eastAsia" w:ascii="宋体" w:hAnsi="宋体"/>
                <w:sz w:val="32"/>
                <w:szCs w:val="24"/>
                <w:lang w:val="en-US" w:eastAsia="zh-CN"/>
              </w:rPr>
              <w:t>13.00</w:t>
            </w:r>
            <w:r>
              <w:rPr>
                <w:rFonts w:hint="eastAsia" w:ascii="宋体" w:hAnsi="宋体"/>
                <w:sz w:val="32"/>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21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截至上年底，本单位共有车辆</w:t>
            </w:r>
            <w:r>
              <w:rPr>
                <w:rFonts w:hint="eastAsia" w:ascii="宋体" w:hAnsi="宋体"/>
                <w:sz w:val="32"/>
                <w:szCs w:val="24"/>
                <w:lang w:val="en-US" w:eastAsia="zh-CN"/>
              </w:rPr>
              <w:t>2</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2</w:t>
            </w:r>
            <w:r>
              <w:rPr>
                <w:rFonts w:hint="eastAsia" w:ascii="宋体" w:hAnsi="宋体"/>
                <w:sz w:val="32"/>
                <w:szCs w:val="24"/>
              </w:rPr>
              <w:t>辆。单位价值50万元以上通用设备</w:t>
            </w:r>
            <w:r>
              <w:rPr>
                <w:rFonts w:hint="eastAsia" w:ascii="宋体" w:hAnsi="宋体"/>
                <w:sz w:val="32"/>
                <w:szCs w:val="24"/>
                <w:lang w:val="en-US" w:eastAsia="zh-CN"/>
              </w:rPr>
              <w:t>0</w:t>
            </w:r>
            <w:r>
              <w:rPr>
                <w:rFonts w:hint="eastAsia" w:ascii="宋体" w:hAnsi="宋体"/>
                <w:sz w:val="32"/>
                <w:szCs w:val="24"/>
              </w:rPr>
              <w:t>台，单位价值100万元以上专用设备</w:t>
            </w:r>
            <w:r>
              <w:rPr>
                <w:rFonts w:hint="eastAsia" w:ascii="宋体" w:hAnsi="宋体"/>
                <w:sz w:val="32"/>
                <w:szCs w:val="24"/>
                <w:lang w:val="en-US" w:eastAsia="zh-CN"/>
              </w:rPr>
              <w:t>0</w:t>
            </w:r>
            <w:r>
              <w:rPr>
                <w:rFonts w:hint="eastAsia" w:ascii="宋体" w:hAnsi="宋体"/>
                <w:sz w:val="32"/>
                <w:szCs w:val="24"/>
              </w:rPr>
              <w:t>台。</w:t>
            </w:r>
            <w:r>
              <w:rPr>
                <w:rFonts w:hint="eastAsia" w:ascii="宋体" w:hAnsi="宋体"/>
                <w:sz w:val="32"/>
                <w:szCs w:val="24"/>
                <w:lang w:eastAsia="zh-CN"/>
              </w:rPr>
              <w:t>车辆运行相关经费由城陵矶新港区相关管理单位预算列支。</w:t>
            </w:r>
            <w:r>
              <w:rPr>
                <w:rFonts w:hint="eastAsia" w:ascii="宋体" w:hAnsi="宋体"/>
                <w:sz w:val="32"/>
                <w:szCs w:val="24"/>
              </w:rPr>
              <w:t xml:space="preserve"> </w:t>
            </w:r>
          </w:p>
          <w:p>
            <w:pPr>
              <w:spacing w:line="375" w:lineRule="exact"/>
              <w:ind w:left="20"/>
              <w:rPr>
                <w:rFonts w:hint="eastAsia" w:ascii="宋体" w:hAnsi="宋体"/>
                <w:sz w:val="32"/>
                <w:szCs w:val="24"/>
              </w:rPr>
            </w:pPr>
            <w:r>
              <w:rPr>
                <w:rFonts w:hint="eastAsia" w:ascii="宋体" w:hAnsi="宋体"/>
                <w:sz w:val="32"/>
                <w:szCs w:val="24"/>
              </w:rPr>
              <w:t xml:space="preserve">  2023年拟报废处置车辆</w:t>
            </w:r>
            <w:r>
              <w:rPr>
                <w:rFonts w:hint="eastAsia" w:ascii="宋体" w:hAnsi="宋体"/>
                <w:sz w:val="32"/>
                <w:szCs w:val="24"/>
                <w:lang w:val="en-US" w:eastAsia="zh-CN"/>
              </w:rPr>
              <w:t>0</w:t>
            </w:r>
            <w:r>
              <w:rPr>
                <w:rFonts w:hint="eastAsia" w:ascii="宋体" w:hAnsi="宋体"/>
                <w:sz w:val="32"/>
                <w:szCs w:val="24"/>
              </w:rPr>
              <w:t>辆，其中：报废处置领导干部用车</w:t>
            </w:r>
            <w:r>
              <w:rPr>
                <w:rFonts w:hint="eastAsia" w:ascii="宋体" w:hAnsi="宋体"/>
                <w:sz w:val="32"/>
                <w:szCs w:val="24"/>
                <w:lang w:val="en-US" w:eastAsia="zh-CN"/>
              </w:rPr>
              <w:t>0</w:t>
            </w:r>
            <w:r>
              <w:rPr>
                <w:rFonts w:hint="eastAsia" w:ascii="宋体" w:hAnsi="宋体"/>
                <w:sz w:val="32"/>
                <w:szCs w:val="24"/>
              </w:rPr>
              <w:t>辆，报废处置一般公务用车</w:t>
            </w:r>
            <w:r>
              <w:rPr>
                <w:rFonts w:hint="eastAsia" w:ascii="宋体" w:hAnsi="宋体"/>
                <w:sz w:val="32"/>
                <w:szCs w:val="24"/>
                <w:lang w:val="en-US" w:eastAsia="zh-CN"/>
              </w:rPr>
              <w:t>0</w:t>
            </w:r>
            <w:r>
              <w:rPr>
                <w:rFonts w:hint="eastAsia" w:ascii="宋体" w:hAnsi="宋体"/>
                <w:sz w:val="32"/>
                <w:szCs w:val="24"/>
              </w:rPr>
              <w:t>辆，报废处置其他用车</w:t>
            </w:r>
            <w:r>
              <w:rPr>
                <w:rFonts w:hint="eastAsia" w:ascii="宋体" w:hAnsi="宋体"/>
                <w:sz w:val="32"/>
                <w:szCs w:val="24"/>
                <w:lang w:val="en-US" w:eastAsia="zh-CN"/>
              </w:rPr>
              <w:t>0</w:t>
            </w:r>
            <w:r>
              <w:rPr>
                <w:rFonts w:hint="eastAsia" w:ascii="宋体" w:hAnsi="宋体"/>
                <w:sz w:val="32"/>
                <w:szCs w:val="24"/>
              </w:rPr>
              <w:t>辆，报废处置单位价值50万元以上通用设备</w:t>
            </w:r>
            <w:r>
              <w:rPr>
                <w:rFonts w:hint="eastAsia" w:ascii="宋体" w:hAnsi="宋体"/>
                <w:sz w:val="32"/>
                <w:szCs w:val="24"/>
                <w:lang w:val="en-US" w:eastAsia="zh-CN"/>
              </w:rPr>
              <w:t>0</w:t>
            </w:r>
            <w:r>
              <w:rPr>
                <w:rFonts w:hint="eastAsia" w:ascii="宋体" w:hAnsi="宋体"/>
                <w:sz w:val="32"/>
                <w:szCs w:val="24"/>
              </w:rPr>
              <w:t>台，报废处置单位价值100万元以上通用设备</w:t>
            </w:r>
            <w:r>
              <w:rPr>
                <w:rFonts w:hint="eastAsia" w:ascii="宋体" w:hAnsi="宋体"/>
                <w:sz w:val="32"/>
                <w:szCs w:val="24"/>
                <w:lang w:val="en-US" w:eastAsia="zh-CN"/>
              </w:rPr>
              <w:t>0</w:t>
            </w:r>
            <w:r>
              <w:rPr>
                <w:rFonts w:hint="eastAsia" w:ascii="宋体" w:hAnsi="宋体"/>
                <w:sz w:val="32"/>
                <w:szCs w:val="24"/>
              </w:rPr>
              <w:t>台。拟新增配置车辆</w:t>
            </w:r>
            <w:r>
              <w:rPr>
                <w:rFonts w:hint="eastAsia" w:ascii="宋体" w:hAnsi="宋体"/>
                <w:sz w:val="32"/>
                <w:szCs w:val="24"/>
                <w:lang w:val="en-US" w:eastAsia="zh-CN"/>
              </w:rPr>
              <w:t>0</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0</w:t>
            </w:r>
            <w:r>
              <w:rPr>
                <w:rFonts w:hint="eastAsia" w:ascii="宋体" w:hAnsi="宋体"/>
                <w:sz w:val="32"/>
                <w:szCs w:val="24"/>
              </w:rPr>
              <w:t>辆</w:t>
            </w:r>
            <w:r>
              <w:rPr>
                <w:rFonts w:hint="eastAsia" w:ascii="宋体" w:hAnsi="宋体"/>
                <w:sz w:val="32"/>
                <w:szCs w:val="24"/>
                <w:lang w:val="en-US" w:eastAsia="zh-CN"/>
              </w:rPr>
              <w:t>0</w:t>
            </w:r>
            <w:r>
              <w:rPr>
                <w:rFonts w:hint="eastAsia" w:ascii="宋体" w:hAnsi="宋体"/>
                <w:sz w:val="32"/>
                <w:szCs w:val="24"/>
              </w:rPr>
              <w:t>。</w:t>
            </w:r>
          </w:p>
          <w:p>
            <w:pPr>
              <w:spacing w:line="375" w:lineRule="exact"/>
              <w:ind w:left="20"/>
              <w:rPr>
                <w:rFonts w:hint="eastAsia" w:ascii="宋体" w:hAnsi="宋体"/>
                <w:sz w:val="32"/>
                <w:szCs w:val="24"/>
              </w:rPr>
            </w:pPr>
            <w:r>
              <w:rPr>
                <w:rFonts w:hint="eastAsia" w:ascii="宋体" w:hAnsi="宋体"/>
                <w:sz w:val="32"/>
                <w:szCs w:val="24"/>
              </w:rPr>
              <w:t xml:space="preserve">  2023年拟新增配备领导干部用车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0</w:t>
            </w:r>
            <w:r>
              <w:rPr>
                <w:rFonts w:hint="eastAsia" w:ascii="宋体" w:hAnsi="宋体"/>
                <w:sz w:val="32"/>
                <w:szCs w:val="24"/>
              </w:rPr>
              <w:t>辆，新增配备单位价值50万元以上通用设备</w:t>
            </w:r>
            <w:r>
              <w:rPr>
                <w:rFonts w:hint="eastAsia" w:ascii="宋体" w:hAnsi="宋体"/>
                <w:sz w:val="32"/>
                <w:szCs w:val="24"/>
                <w:lang w:val="en-US" w:eastAsia="zh-CN"/>
              </w:rPr>
              <w:t>0</w:t>
            </w:r>
            <w:r>
              <w:rPr>
                <w:rFonts w:hint="eastAsia" w:ascii="宋体" w:hAnsi="宋体"/>
                <w:sz w:val="32"/>
                <w:szCs w:val="24"/>
              </w:rPr>
              <w:t>台，单位价值100万元以上专用设备</w:t>
            </w:r>
            <w:r>
              <w:rPr>
                <w:rFonts w:hint="eastAsia" w:ascii="宋体" w:hAnsi="宋体"/>
                <w:sz w:val="32"/>
                <w:szCs w:val="24"/>
                <w:lang w:val="en-US" w:eastAsia="zh-CN"/>
              </w:rPr>
              <w:t>0</w:t>
            </w:r>
            <w:r>
              <w:rPr>
                <w:rFonts w:hint="eastAsia" w:ascii="宋体" w:hAnsi="宋体"/>
                <w:sz w:val="32"/>
                <w:szCs w:val="24"/>
              </w:rPr>
              <w:t>台。2023年度本单位未计划处置或新增车辆、设备等。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本单位所有支出实行绩效目标管理。纳入2023年单位整体支出绩效目标的金额为320.71万元，其中，基本支出305.71万元，项目支出15.00万元，详见文尾附表中单位预算公开表格的表21-22。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Dialog"/>
                <w:sz w:val="32"/>
                <w:szCs w:val="24"/>
              </w:rPr>
            </w:pPr>
            <w:r>
              <w:rPr>
                <w:rFonts w:hint="eastAsia" w:ascii="宋体" w:hAnsi="Dialog"/>
                <w:sz w:val="32"/>
                <w:szCs w:val="24"/>
              </w:rPr>
              <w:t xml:space="preserve">  七、名词解释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jc w:val="center"/>
              <w:rPr>
                <w:rFonts w:hint="eastAsia" w:ascii="宋体" w:hAnsi="Dialog"/>
                <w:sz w:val="32"/>
                <w:szCs w:val="24"/>
              </w:rPr>
            </w:pPr>
            <w:r>
              <w:rPr>
                <w:rFonts w:hint="eastAsia" w:ascii="宋体" w:hAnsi="Dialog"/>
                <w:sz w:val="32"/>
                <w:szCs w:val="24"/>
              </w:rPr>
              <w:t>第二部分  2023年单位预算公开表格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1、收支总表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2、收入总表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3、支出总表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4、支出预算分类汇总表（按政府预算经济分类）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5、支出预算分类汇总表（按部门预算经济分类）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6、财政拨款收支总表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7、一般公共预算支出表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8、一般公共预算基本支出表-人员经费（工资福利支出）（按政府预算经济分类）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9、一般公共预算基本支出表-人员经费（工资福利支出）（按部门预算经济分类）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10、一般公共预算基本支出表-人员经费（对个人和家庭的补助）（按政府预算经济分类）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11、一般公共预算基本支出表-人员经费（对个人和家庭的补助）（按部门预算经济分类）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12、一般公共预算基本支出表-公用经费（商品和服务支出）（按政府预算经济分类）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13、一般公共预算基本支出表-公用经费（商品和服务支出）（按部门预算经济分类）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14、一般公共预算“三公”经费支出表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15、政府性基金预算支出表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16、政府性基金预算支出分类汇总表（按政府预算经济分类）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17、政府性基金预算支出分类汇总表（按部门预算经济分类）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18、国有资本经营预算支出表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19、财政专户管理资金预算支出表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20、专项资金预算汇总表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21、项目支出绩效目标表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22、单位整体支出绩效目标表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sz w:val="32"/>
                <w:szCs w:val="24"/>
              </w:rPr>
            </w:pPr>
            <w:r>
              <w:rPr>
                <w:rFonts w:hint="eastAsia" w:ascii="宋体" w:hAnsi="宋体"/>
                <w:sz w:val="32"/>
                <w:szCs w:val="24"/>
              </w:rPr>
              <w:t>23、一般公共预算基本支出表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宋体"/>
                <w:color w:val="auto"/>
                <w:sz w:val="32"/>
                <w:szCs w:val="24"/>
              </w:rPr>
            </w:pPr>
            <w:r>
              <w:rPr>
                <w:rFonts w:hint="eastAsia" w:ascii="宋体" w:hAnsi="宋体"/>
                <w:b/>
                <w:color w:val="auto"/>
                <w:sz w:val="32"/>
                <w:szCs w:val="24"/>
              </w:rPr>
              <w:t>注：以上单位预算公开报表中，空表表示本单位无相关收支情况。</w:t>
            </w:r>
          </w:p>
        </w:tc>
      </w:tr>
    </w:tbl>
    <w:p>
      <w:pPr>
        <w:rPr>
          <w:rFonts w:hint="default"/>
          <w:sz w:val="24"/>
          <w:szCs w:val="24"/>
        </w:rPr>
      </w:pPr>
    </w:p>
    <w:sectPr>
      <w:pgSz w:w="18708" w:h="15840"/>
      <w:pgMar w:top="388" w:right="1080" w:bottom="388" w:left="10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roman"/>
    <w:pitch w:val="default"/>
    <w:sig w:usb0="E0002EFF" w:usb1="C000785B" w:usb2="00000009" w:usb3="00000000" w:csb0="400001FF" w:csb1="FFFF0000"/>
  </w:font>
  <w:font w:name="微软雅黑">
    <w:panose1 w:val="020B0503020204020204"/>
    <w:charset w:val="86"/>
    <w:family w:val="roman"/>
    <w:pitch w:val="default"/>
    <w:sig w:usb0="80000287" w:usb1="2ACF3C50" w:usb2="00000016" w:usb3="00000000" w:csb0="0004001F" w:csb1="00000000"/>
  </w:font>
  <w:font w:name="Dialog">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NTc5M2JmYTg0OTNlOTk3YjE3MTc0N2JlYjhiODAifQ=="/>
  </w:docVars>
  <w:rsids>
    <w:rsidRoot w:val="00172A27"/>
    <w:rsid w:val="7A2127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unhideWhenUsed/>
    <w:uiPriority w:val="99"/>
    <w:pPr>
      <w:widowControl w:val="0"/>
      <w:autoSpaceDE w:val="0"/>
      <w:autoSpaceDN w:val="0"/>
      <w:adjustRightInd w:val="0"/>
    </w:pPr>
    <w:rPr>
      <w:rFonts w:hint="default" w:ascii="Arial" w:hAnsi="Arial" w:eastAsia="宋体"/>
      <w:color w:val="000000"/>
      <w:sz w:val="24"/>
      <w:szCs w:val="24"/>
    </w:rPr>
  </w:style>
  <w:style w:type="paragraph" w:styleId="3">
    <w:name w:val="heading 1"/>
    <w:unhideWhenUsed/>
    <w:uiPriority w:val="99"/>
    <w:pPr>
      <w:widowControl w:val="0"/>
      <w:autoSpaceDE w:val="0"/>
      <w:autoSpaceDN w:val="0"/>
      <w:adjustRightInd w:val="0"/>
    </w:pPr>
    <w:rPr>
      <w:rFonts w:hint="default" w:ascii="Arial" w:hAnsi="Arial" w:eastAsia="宋体"/>
      <w:b/>
      <w:color w:val="000000"/>
      <w:sz w:val="32"/>
      <w:szCs w:val="24"/>
    </w:rPr>
  </w:style>
  <w:style w:type="paragraph" w:styleId="4">
    <w:name w:val="heading 2"/>
    <w:unhideWhenUsed/>
    <w:uiPriority w:val="99"/>
    <w:pPr>
      <w:widowControl w:val="0"/>
      <w:autoSpaceDE w:val="0"/>
      <w:autoSpaceDN w:val="0"/>
      <w:adjustRightInd w:val="0"/>
    </w:pPr>
    <w:rPr>
      <w:rFonts w:hint="default" w:ascii="Arial" w:hAnsi="Arial" w:eastAsia="宋体"/>
      <w:b/>
      <w:i/>
      <w:color w:val="000000"/>
      <w:sz w:val="28"/>
      <w:szCs w:val="24"/>
    </w:rPr>
  </w:style>
  <w:style w:type="paragraph" w:styleId="5">
    <w:name w:val="heading 3"/>
    <w:unhideWhenUsed/>
    <w:uiPriority w:val="99"/>
    <w:pPr>
      <w:widowControl w:val="0"/>
      <w:autoSpaceDE w:val="0"/>
      <w:autoSpaceDN w:val="0"/>
      <w:adjustRightInd w:val="0"/>
    </w:pPr>
    <w:rPr>
      <w:rFonts w:hint="default" w:ascii="Arial" w:hAnsi="Arial" w:eastAsia="宋体"/>
      <w:b/>
      <w:color w:val="000000"/>
      <w:sz w:val="26"/>
      <w:szCs w:val="24"/>
    </w:rPr>
  </w:style>
  <w:style w:type="character" w:default="1" w:styleId="7">
    <w:name w:val="Default Paragraph Font"/>
    <w:unhideWhenUsed/>
    <w:uiPriority w:val="99"/>
    <w:rPr>
      <w:rFonts w:hint="default"/>
      <w:sz w:val="24"/>
      <w:szCs w:val="24"/>
    </w:rPr>
  </w:style>
  <w:style w:type="table" w:default="1" w:styleId="6">
    <w:name w:val="Normal Table"/>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after="200" w:line="276" w:lineRule="auto"/>
    </w:pPr>
    <w:rPr>
      <w:rFonts w:hint="default"/>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Office_11.8.6.11825_F1E327BC-269C-435d-A152-05C5408002CA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2024-07-22T06:50:40Z</dcterms:created>
  <dc:creator>AOC</dc:creator>
  <cp:lastModifiedBy>王木木</cp:lastModifiedBy>
  <dcterms:modified xsi:type="dcterms:W3CDTF">2024-07-22T06:51:41Z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4DFFCF4E3F024B43B2E90D9FA398AA06</vt:lpwstr>
  </property>
</Properties>
</file>