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96"/>
          <w:szCs w:val="96"/>
          <w:vertAlign w:val="subscript"/>
        </w:rPr>
      </w:pPr>
    </w:p>
    <w:p>
      <w:pPr>
        <w:pStyle w:val="13"/>
        <w:jc w:val="center"/>
        <w:rPr>
          <w:sz w:val="56"/>
          <w:szCs w:val="56"/>
        </w:rPr>
      </w:pPr>
    </w:p>
    <w:p>
      <w:pPr>
        <w:pStyle w:val="13"/>
        <w:ind w:firstLine="2868" w:firstLineChars="4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2</w:t>
      </w:r>
      <w:r>
        <w:rPr>
          <w:rFonts w:hint="eastAsia" w:ascii="方正小标宋_GBK" w:hAnsi="方正小标宋_GBK" w:eastAsia="方正小标宋_GBK" w:cs="方正小标宋_GBK"/>
          <w:sz w:val="72"/>
          <w:szCs w:val="72"/>
        </w:rPr>
        <w:t>年度</w:t>
      </w:r>
    </w:p>
    <w:p>
      <w:pPr>
        <w:pStyle w:val="13"/>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岳阳市城市照明管理中心</w:t>
      </w: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pPr>
        <w:pStyle w:val="13"/>
        <w:spacing w:line="500" w:lineRule="exact"/>
        <w:jc w:val="both"/>
        <w:rPr>
          <w:rFonts w:hint="eastAsia"/>
          <w:b/>
          <w:sz w:val="36"/>
          <w:szCs w:val="28"/>
        </w:rPr>
      </w:pPr>
    </w:p>
    <w:p>
      <w:pPr>
        <w:pStyle w:val="13"/>
        <w:spacing w:line="500" w:lineRule="exact"/>
        <w:jc w:val="both"/>
        <w:rPr>
          <w:rFonts w:hint="eastAsia"/>
          <w:b/>
          <w:sz w:val="36"/>
          <w:szCs w:val="28"/>
        </w:rPr>
      </w:pPr>
    </w:p>
    <w:p>
      <w:pPr>
        <w:pStyle w:val="13"/>
        <w:spacing w:line="500" w:lineRule="exact"/>
        <w:ind w:firstLine="4284" w:firstLineChars="1200"/>
        <w:jc w:val="both"/>
        <w:rPr>
          <w:rFonts w:hint="eastAsia"/>
          <w:b/>
          <w:sz w:val="36"/>
          <w:szCs w:val="28"/>
        </w:rPr>
      </w:pPr>
    </w:p>
    <w:p>
      <w:pPr>
        <w:pStyle w:val="13"/>
        <w:spacing w:line="500" w:lineRule="exact"/>
        <w:ind w:firstLine="4284" w:firstLineChars="1200"/>
        <w:jc w:val="both"/>
        <w:rPr>
          <w:rFonts w:hint="eastAsia"/>
          <w:b/>
          <w:sz w:val="36"/>
          <w:szCs w:val="28"/>
        </w:rPr>
      </w:pPr>
    </w:p>
    <w:p>
      <w:pPr>
        <w:pStyle w:val="13"/>
        <w:spacing w:line="500" w:lineRule="exact"/>
        <w:ind w:firstLine="4284" w:firstLineChars="1200"/>
        <w:jc w:val="both"/>
        <w:rPr>
          <w:rFonts w:hint="eastAsia"/>
          <w:b/>
          <w:sz w:val="36"/>
          <w:szCs w:val="28"/>
        </w:rPr>
      </w:pPr>
    </w:p>
    <w:p>
      <w:pPr>
        <w:pStyle w:val="13"/>
        <w:spacing w:line="500" w:lineRule="exact"/>
        <w:ind w:firstLine="4284" w:firstLineChars="1200"/>
        <w:jc w:val="both"/>
        <w:rPr>
          <w:rFonts w:hint="eastAsia"/>
          <w:b/>
          <w:sz w:val="36"/>
          <w:szCs w:val="28"/>
        </w:rPr>
      </w:pPr>
    </w:p>
    <w:p>
      <w:pPr>
        <w:pStyle w:val="13"/>
        <w:spacing w:line="500" w:lineRule="exact"/>
        <w:ind w:firstLine="4284" w:firstLineChars="1200"/>
        <w:jc w:val="both"/>
        <w:rPr>
          <w:rFonts w:hint="eastAsia"/>
          <w:b/>
          <w:sz w:val="36"/>
          <w:szCs w:val="28"/>
        </w:rPr>
      </w:pPr>
    </w:p>
    <w:p>
      <w:pPr>
        <w:pStyle w:val="13"/>
        <w:spacing w:line="500" w:lineRule="exact"/>
        <w:ind w:firstLine="4284" w:firstLineChars="1200"/>
        <w:jc w:val="both"/>
        <w:rPr>
          <w:rFonts w:hint="eastAsia"/>
          <w:b/>
          <w:sz w:val="36"/>
          <w:szCs w:val="28"/>
        </w:rPr>
      </w:pPr>
    </w:p>
    <w:p>
      <w:pPr>
        <w:pStyle w:val="13"/>
        <w:spacing w:line="500" w:lineRule="exact"/>
        <w:ind w:firstLine="4284" w:firstLineChars="1200"/>
        <w:jc w:val="both"/>
        <w:rPr>
          <w:rFonts w:hint="eastAsia"/>
          <w:b/>
          <w:sz w:val="36"/>
          <w:szCs w:val="28"/>
        </w:rPr>
      </w:pPr>
    </w:p>
    <w:p>
      <w:pPr>
        <w:pStyle w:val="13"/>
        <w:spacing w:line="500" w:lineRule="exact"/>
        <w:ind w:firstLine="4284" w:firstLineChars="1200"/>
        <w:jc w:val="both"/>
        <w:rPr>
          <w:rFonts w:hint="eastAsia"/>
          <w:b/>
          <w:sz w:val="36"/>
          <w:szCs w:val="28"/>
        </w:rPr>
      </w:pPr>
    </w:p>
    <w:p>
      <w:pPr>
        <w:pStyle w:val="13"/>
        <w:spacing w:line="500" w:lineRule="exact"/>
        <w:ind w:firstLine="4284" w:firstLineChars="1200"/>
        <w:jc w:val="both"/>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岳阳市城市照明管理中心</w:t>
      </w:r>
      <w:r>
        <w:rPr>
          <w:rFonts w:hint="eastAsia" w:ascii="黑体" w:hAnsi="黑体" w:eastAsia="黑体" w:cs="黑体"/>
          <w:b w:val="0"/>
          <w:bCs/>
          <w:sz w:val="28"/>
          <w:szCs w:val="28"/>
        </w:rPr>
        <w:t>概况</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693"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keepNext w:val="0"/>
        <w:keepLines w:val="0"/>
        <w:pageBreakBefore w:val="0"/>
        <w:widowControl w:val="0"/>
        <w:kinsoku/>
        <w:wordWrap/>
        <w:overflowPunct/>
        <w:topLinePunct w:val="0"/>
        <w:bidi w:val="0"/>
        <w:snapToGrid/>
        <w:spacing w:line="480" w:lineRule="exact"/>
        <w:ind w:firstLine="693"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693"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93"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pStyle w:val="13"/>
        <w:keepNext w:val="0"/>
        <w:keepLines w:val="0"/>
        <w:pageBreakBefore w:val="0"/>
        <w:widowControl w:val="0"/>
        <w:kinsoku/>
        <w:wordWrap/>
        <w:overflowPunct/>
        <w:topLinePunct w:val="0"/>
        <w:bidi w:val="0"/>
        <w:snapToGrid/>
        <w:spacing w:line="480" w:lineRule="exact"/>
        <w:ind w:firstLine="693"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pPr>
        <w:pStyle w:val="13"/>
        <w:keepNext w:val="0"/>
        <w:keepLines w:val="0"/>
        <w:pageBreakBefore w:val="0"/>
        <w:widowControl w:val="0"/>
        <w:kinsoku/>
        <w:wordWrap/>
        <w:overflowPunct/>
        <w:topLinePunct w:val="0"/>
        <w:bidi w:val="0"/>
        <w:snapToGrid/>
        <w:spacing w:line="480" w:lineRule="exact"/>
        <w:ind w:firstLine="693"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十四、</w:t>
      </w:r>
      <w:r>
        <w:rPr>
          <w:rFonts w:hint="eastAsia" w:ascii="仿宋_GB2312" w:hAnsi="仿宋_GB2312" w:eastAsia="仿宋_GB2312" w:cs="仿宋_GB2312"/>
          <w:sz w:val="28"/>
          <w:szCs w:val="28"/>
        </w:rPr>
        <w:t>关于预算绩效情况的说明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autoSpaceDE w:val="0"/>
        <w:autoSpaceDN w:val="0"/>
        <w:adjustRightInd w:val="0"/>
        <w:spacing w:line="520" w:lineRule="exact"/>
        <w:jc w:val="left"/>
        <w:rPr>
          <w:rFonts w:hint="eastAsia" w:ascii="黑体"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第五部分附件</w:t>
      </w:r>
    </w:p>
    <w:p>
      <w:pPr>
        <w:autoSpaceDE w:val="0"/>
        <w:autoSpaceDN w:val="0"/>
        <w:adjustRightInd w:val="0"/>
        <w:ind w:firstLine="640"/>
        <w:rPr>
          <w:rFonts w:hint="eastAsia" w:ascii="黑体" w:hAnsi="Times New Roman" w:eastAsia="黑体"/>
          <w:sz w:val="32"/>
          <w:szCs w:val="24"/>
          <w:highlight w:val="white"/>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ind w:firstLine="2868" w:firstLineChars="4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pPr>
        <w:pStyle w:val="13"/>
        <w:ind w:firstLine="717" w:firstLineChars="100"/>
        <w:jc w:val="both"/>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岳阳市城市照明管理中心</w:t>
      </w:r>
    </w:p>
    <w:p>
      <w:pPr>
        <w:pStyle w:val="13"/>
        <w:ind w:firstLine="3585"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概况</w:t>
      </w: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ind w:leftChars="0" w:firstLine="634" w:firstLineChars="200"/>
        <w:jc w:val="left"/>
        <w:rPr>
          <w:rFonts w:hint="eastAsia" w:ascii="黑体" w:hAnsi="黑体" w:eastAsia="黑体" w:cs="黑体"/>
          <w:b w:val="0"/>
          <w:bCs w:val="0"/>
          <w:sz w:val="32"/>
          <w:szCs w:val="32"/>
          <w:lang w:eastAsia="zh-CN"/>
        </w:rPr>
      </w:pPr>
    </w:p>
    <w:p>
      <w:pPr>
        <w:pStyle w:val="14"/>
        <w:numPr>
          <w:ilvl w:val="0"/>
          <w:numId w:val="0"/>
        </w:num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pPr>
        <w:pStyle w:val="14"/>
        <w:numPr>
          <w:ilvl w:val="0"/>
          <w:numId w:val="0"/>
        </w:numPr>
        <w:ind w:firstLine="317" w:firstLineChars="1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pageBreakBefore w:val="0"/>
        <w:widowControl/>
        <w:numPr>
          <w:ilvl w:val="0"/>
          <w:numId w:val="1"/>
        </w:numPr>
        <w:kinsoku/>
        <w:wordWrap/>
        <w:overflowPunct/>
        <w:topLinePunct w:val="0"/>
        <w:bidi w:val="0"/>
        <w:adjustRightInd/>
        <w:snapToGrid/>
        <w:spacing w:line="600" w:lineRule="exact"/>
        <w:ind w:firstLine="63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岳阳市城市照明管理中心</w:t>
      </w:r>
      <w:r>
        <w:rPr>
          <w:rFonts w:hint="eastAsia" w:ascii="仿宋_GB2312" w:hAnsi="仿宋_GB2312" w:eastAsia="仿宋_GB2312" w:cs="仿宋_GB2312"/>
          <w:sz w:val="32"/>
          <w:szCs w:val="32"/>
        </w:rPr>
        <w:t>承担城市道路照明及景观亮化设施设备的日常维护管理工作</w:t>
      </w:r>
    </w:p>
    <w:p>
      <w:pPr>
        <w:keepNext w:val="0"/>
        <w:keepLines w:val="0"/>
        <w:pageBreakBefore w:val="0"/>
        <w:widowControl/>
        <w:numPr>
          <w:ilvl w:val="0"/>
          <w:numId w:val="1"/>
        </w:numPr>
        <w:kinsoku/>
        <w:wordWrap/>
        <w:overflowPunct/>
        <w:topLinePunct w:val="0"/>
        <w:bidi w:val="0"/>
        <w:adjustRightInd/>
        <w:snapToGrid/>
        <w:spacing w:line="600" w:lineRule="exact"/>
        <w:ind w:firstLine="63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承担城市道路照明及景观亮化工程的建设工作</w:t>
      </w:r>
      <w:r>
        <w:rPr>
          <w:rFonts w:hint="eastAsia" w:ascii="仿宋_GB2312" w:hAnsi="仿宋_GB2312" w:eastAsia="仿宋_GB2312" w:cs="仿宋_GB2312"/>
          <w:kern w:val="0"/>
          <w:sz w:val="32"/>
          <w:szCs w:val="32"/>
          <w:lang w:eastAsia="zh-CN"/>
        </w:rPr>
        <w:t>；</w:t>
      </w:r>
    </w:p>
    <w:p>
      <w:pPr>
        <w:keepNext w:val="0"/>
        <w:keepLines w:val="0"/>
        <w:pageBreakBefore w:val="0"/>
        <w:widowControl/>
        <w:numPr>
          <w:ilvl w:val="0"/>
          <w:numId w:val="1"/>
        </w:numPr>
        <w:kinsoku/>
        <w:wordWrap/>
        <w:overflowPunct/>
        <w:topLinePunct w:val="0"/>
        <w:bidi w:val="0"/>
        <w:adjustRightInd/>
        <w:snapToGrid/>
        <w:spacing w:line="600" w:lineRule="exact"/>
        <w:ind w:firstLine="63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承担社会产权单位（个人）景观亮化建设工程的技术服务工作</w:t>
      </w:r>
      <w:r>
        <w:rPr>
          <w:rFonts w:hint="eastAsia" w:ascii="仿宋_GB2312" w:hAnsi="仿宋_GB2312" w:eastAsia="仿宋_GB2312" w:cs="仿宋_GB2312"/>
          <w:sz w:val="32"/>
          <w:szCs w:val="32"/>
          <w:lang w:eastAsia="zh-CN"/>
        </w:rPr>
        <w:t>。</w:t>
      </w:r>
    </w:p>
    <w:p>
      <w:pPr>
        <w:widowControl/>
        <w:spacing w:line="600" w:lineRule="exact"/>
        <w:ind w:firstLine="634"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bidi w:val="0"/>
        <w:adjustRightInd/>
        <w:snapToGrid/>
        <w:spacing w:line="600" w:lineRule="exact"/>
        <w:ind w:firstLine="634" w:firstLineChars="200"/>
        <w:textAlignment w:val="auto"/>
        <w:rPr>
          <w:rFonts w:hint="eastAsia" w:ascii="仿宋" w:hAnsi="仿宋" w:eastAsia="仿宋"/>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w:t>
      </w:r>
      <w:r>
        <w:rPr>
          <w:rFonts w:hint="eastAsia" w:ascii="仿宋_GB2312" w:hAnsi="仿宋_GB2312" w:eastAsia="仿宋_GB2312" w:cs="仿宋_GB2312"/>
          <w:sz w:val="32"/>
          <w:szCs w:val="32"/>
        </w:rPr>
        <w:t>岳阳市城市照明管理中心</w:t>
      </w:r>
      <w:r>
        <w:rPr>
          <w:rFonts w:hint="eastAsia" w:ascii="仿宋_GB2312" w:hAnsi="仿宋_GB2312" w:eastAsia="仿宋_GB2312" w:cs="仿宋_GB2312"/>
          <w:sz w:val="32"/>
          <w:szCs w:val="32"/>
          <w:lang w:eastAsia="zh-CN"/>
        </w:rPr>
        <w:t>在职在编人数</w:t>
      </w:r>
      <w:r>
        <w:rPr>
          <w:rFonts w:hint="eastAsia" w:ascii="仿宋_GB2312" w:hAnsi="仿宋_GB2312" w:eastAsia="仿宋_GB2312" w:cs="仿宋_GB2312"/>
          <w:sz w:val="32"/>
          <w:szCs w:val="32"/>
          <w:lang w:val="en-US" w:eastAsia="zh-CN"/>
        </w:rPr>
        <w:t>56人，设</w:t>
      </w:r>
      <w:r>
        <w:rPr>
          <w:rFonts w:hint="eastAsia" w:ascii="仿宋_GB2312" w:hAnsi="仿宋_GB2312" w:eastAsia="仿宋_GB2312" w:cs="仿宋_GB2312"/>
          <w:sz w:val="32"/>
          <w:szCs w:val="32"/>
        </w:rPr>
        <w:t>6个内设机构</w:t>
      </w:r>
      <w:r>
        <w:rPr>
          <w:rFonts w:hint="eastAsia" w:ascii="仿宋_GB2312" w:hAnsi="仿宋_GB2312" w:eastAsia="仿宋_GB2312" w:cs="仿宋_GB2312"/>
          <w:sz w:val="32"/>
          <w:szCs w:val="32"/>
          <w:lang w:eastAsia="zh-CN"/>
        </w:rPr>
        <w:t>：综合部、财务内审部、生产管理部、亮化管理部、技术服务部、信息考</w:t>
      </w:r>
      <w:r>
        <w:rPr>
          <w:rFonts w:hint="eastAsia" w:ascii="仿宋" w:hAnsi="仿宋" w:eastAsia="仿宋"/>
          <w:sz w:val="32"/>
          <w:szCs w:val="32"/>
          <w:lang w:eastAsia="zh-CN"/>
        </w:rPr>
        <w:t>评部，</w:t>
      </w:r>
      <w:r>
        <w:rPr>
          <w:rFonts w:hint="eastAsia" w:ascii="仿宋" w:hAnsi="仿宋" w:eastAsia="仿宋" w:cs="仿宋"/>
          <w:color w:val="000000"/>
          <w:sz w:val="32"/>
          <w:szCs w:val="24"/>
          <w:highlight w:val="white"/>
          <w:lang w:val="zh-CN"/>
        </w:rPr>
        <w:t>无下属机构。</w:t>
      </w:r>
    </w:p>
    <w:p>
      <w:pPr>
        <w:widowControl/>
        <w:numPr>
          <w:ilvl w:val="0"/>
          <w:numId w:val="0"/>
        </w:numPr>
        <w:spacing w:line="600" w:lineRule="exact"/>
        <w:ind w:firstLine="634" w:firstLineChars="200"/>
        <w:rPr>
          <w:rFonts w:hint="eastAsia" w:ascii="仿宋" w:hAnsi="仿宋" w:eastAsia="仿宋" w:cs="仿宋"/>
          <w:bCs/>
          <w:i/>
          <w:iCs/>
          <w:color w:val="000000"/>
          <w:kern w:val="0"/>
          <w:sz w:val="32"/>
          <w:szCs w:val="32"/>
        </w:rPr>
      </w:pPr>
      <w:r>
        <w:rPr>
          <w:rFonts w:hint="eastAsia" w:ascii="Times New Roman" w:hAnsi="Times New Roman" w:eastAsia="仿宋_GB2312" w:cs="仿宋_GB2312"/>
          <w:bCs/>
          <w:kern w:val="0"/>
          <w:sz w:val="32"/>
          <w:szCs w:val="32"/>
        </w:rPr>
        <w:t>（二）决算单位构成</w:t>
      </w:r>
      <w:r>
        <w:rPr>
          <w:rFonts w:hint="eastAsia" w:ascii="仿宋" w:hAnsi="仿宋" w:eastAsia="仿宋" w:cs="仿宋"/>
          <w:i w:val="0"/>
          <w:iCs w:val="0"/>
          <w:color w:val="000000"/>
          <w:sz w:val="32"/>
          <w:szCs w:val="32"/>
          <w:highlight w:val="white"/>
          <w:lang w:eastAsia="zh-CN"/>
        </w:rPr>
        <w:t>本单位无独立核算的下属单位，</w:t>
      </w:r>
      <w:r>
        <w:rPr>
          <w:rFonts w:hint="eastAsia" w:ascii="仿宋" w:hAnsi="仿宋" w:eastAsia="仿宋" w:cs="仿宋"/>
          <w:i w:val="0"/>
          <w:iCs w:val="0"/>
          <w:color w:val="000000"/>
          <w:sz w:val="32"/>
          <w:szCs w:val="32"/>
          <w:highlight w:val="white"/>
          <w:lang w:val="en-US" w:eastAsia="zh-CN"/>
        </w:rPr>
        <w:t>2022年度部门决算汇总公开单位仅包括岳阳市城市照明管理中心单位本级</w:t>
      </w:r>
      <w:r>
        <w:rPr>
          <w:rFonts w:hint="eastAsia" w:ascii="仿宋" w:hAnsi="仿宋" w:eastAsia="仿宋" w:cs="仿宋"/>
          <w:i w:val="0"/>
          <w:iCs w:val="0"/>
          <w:color w:val="000000"/>
          <w:sz w:val="32"/>
          <w:szCs w:val="32"/>
          <w:highlight w:val="white"/>
        </w:rPr>
        <w:t>）</w:t>
      </w:r>
      <w:r>
        <w:rPr>
          <w:rFonts w:hint="eastAsia" w:ascii="仿宋" w:hAnsi="仿宋" w:eastAsia="仿宋" w:cs="仿宋"/>
          <w:i/>
          <w:iCs/>
          <w:color w:val="000000"/>
          <w:sz w:val="32"/>
          <w:szCs w:val="32"/>
          <w:highlight w:val="white"/>
        </w:rPr>
        <w:t>。</w:t>
      </w:r>
    </w:p>
    <w:p>
      <w:pPr>
        <w:widowControl/>
        <w:spacing w:line="600" w:lineRule="exact"/>
        <w:ind w:firstLine="634" w:firstLineChars="200"/>
        <w:rPr>
          <w:rFonts w:hint="eastAsia" w:ascii="Times New Roman" w:hAnsi="Times New Roman" w:eastAsia="仿宋_GB2312" w:cs="仿宋_GB2312"/>
          <w:bCs/>
          <w:kern w:val="0"/>
          <w:sz w:val="32"/>
          <w:szCs w:val="32"/>
          <w:lang w:eastAsia="zh-CN"/>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ind w:firstLine="2511" w:firstLineChars="3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ind w:firstLine="2511" w:firstLineChars="3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rFonts w:hint="eastAsia" w:eastAsia="宋体"/>
          <w:sz w:val="72"/>
          <w:szCs w:val="72"/>
          <w:lang w:eastAsia="zh-CN"/>
        </w:rPr>
      </w:pPr>
      <w:r>
        <w:rPr>
          <w:rFonts w:hint="eastAsia"/>
          <w:sz w:val="72"/>
          <w:szCs w:val="72"/>
          <w:lang w:eastAsia="zh-CN"/>
        </w:rPr>
        <w:t>（见附件）</w:t>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ind w:firstLine="2868" w:firstLineChars="400"/>
        <w:jc w:val="both"/>
        <w:rPr>
          <w:rFonts w:hint="eastAsia" w:ascii="方正小标宋_GBK" w:hAnsi="方正小标宋_GBK" w:eastAsia="方正小标宋_GBK" w:cs="方正小标宋_GBK"/>
          <w:sz w:val="72"/>
          <w:szCs w:val="72"/>
        </w:rPr>
      </w:pPr>
    </w:p>
    <w:p>
      <w:pPr>
        <w:pStyle w:val="13"/>
        <w:ind w:firstLine="2868" w:firstLineChars="4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both"/>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w:t>
      </w:r>
    </w:p>
    <w:p>
      <w:pPr>
        <w:pStyle w:val="13"/>
        <w:ind w:firstLine="3485" w:firstLineChars="500"/>
        <w:jc w:val="both"/>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说明</w:t>
      </w: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黑体" w:hAnsi="黑体" w:eastAsia="黑体" w:cs="黑体"/>
          <w:b w:val="0"/>
          <w:bCs/>
          <w:sz w:val="32"/>
          <w:szCs w:val="32"/>
        </w:rPr>
      </w:pPr>
    </w:p>
    <w:p>
      <w:pPr>
        <w:pStyle w:val="13"/>
        <w:ind w:firstLine="634" w:firstLineChars="200"/>
        <w:jc w:val="both"/>
        <w:rPr>
          <w:rFonts w:hint="eastAsia" w:ascii="仿宋_GB2312" w:hAnsi="仿宋_GB2312" w:eastAsia="仿宋_GB2312" w:cs="仿宋_GB2312"/>
          <w:sz w:val="32"/>
          <w:szCs w:val="32"/>
        </w:rPr>
      </w:pPr>
    </w:p>
    <w:p>
      <w:pPr>
        <w:pStyle w:val="13"/>
        <w:ind w:firstLine="634" w:firstLineChars="200"/>
        <w:jc w:val="both"/>
        <w:rPr>
          <w:rFonts w:hint="eastAsia" w:ascii="黑体" w:hAnsi="黑体" w:eastAsia="黑体" w:cs="黑体"/>
          <w:b w:val="0"/>
          <w:bCs/>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Times New Roman" w:hAnsi="Times New Roman" w:eastAsia="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ind w:firstLine="634"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ind w:firstLine="634"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4811.71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601.6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落实过紧日子要求，压减财政经费支出。</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ind w:firstLine="634"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4811.71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4588.66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95.36</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223.04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4.64%.</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4811.71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1426.15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（其他收入</w:t>
      </w:r>
      <w:r>
        <w:rPr>
          <w:rFonts w:hint="eastAsia" w:ascii="Times New Roman" w:hAnsi="Times New Roman" w:eastAsia="仿宋_GB2312"/>
          <w:sz w:val="32"/>
          <w:szCs w:val="32"/>
          <w:lang w:val="en-US" w:eastAsia="zh-CN"/>
        </w:rPr>
        <w:t>223.04万元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29.64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3385.56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70.36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0%。</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4588.66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427.85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8.53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落实过紧日子要求，压减财政经费支出。</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3"/>
        <w:keepNext w:val="0"/>
        <w:keepLines w:val="0"/>
        <w:pageBreakBefore w:val="0"/>
        <w:widowControl w:val="0"/>
        <w:kinsoku/>
        <w:wordWrap/>
        <w:overflowPunct/>
        <w:topLinePunct w:val="0"/>
        <w:bidi w:val="0"/>
        <w:snapToGrid/>
        <w:spacing w:line="600" w:lineRule="exact"/>
        <w:ind w:firstLine="793"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4588.66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95.36</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427.85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8.53</w:t>
      </w:r>
      <w:r>
        <w:rPr>
          <w:rFonts w:hint="eastAsia" w:ascii="Times New Roman" w:hAnsi="Times New Roman" w:eastAsia="仿宋_GB2312"/>
          <w:sz w:val="32"/>
          <w:szCs w:val="32"/>
        </w:rPr>
        <w:t>%，主要是因为因为</w:t>
      </w:r>
      <w:r>
        <w:rPr>
          <w:rFonts w:hint="eastAsia" w:ascii="Times New Roman" w:hAnsi="Times New Roman" w:eastAsia="仿宋_GB2312"/>
          <w:sz w:val="32"/>
          <w:szCs w:val="32"/>
          <w:lang w:eastAsia="zh-CN"/>
        </w:rPr>
        <w:t>落实过紧日子要求，压减财政经费支出。</w:t>
      </w:r>
    </w:p>
    <w:p>
      <w:pPr>
        <w:pStyle w:val="13"/>
        <w:keepNext w:val="0"/>
        <w:keepLines w:val="0"/>
        <w:pageBreakBefore w:val="0"/>
        <w:widowControl w:val="0"/>
        <w:kinsoku/>
        <w:wordWrap/>
        <w:overflowPunct/>
        <w:topLinePunct w:val="0"/>
        <w:bidi w:val="0"/>
        <w:snapToGrid/>
        <w:spacing w:line="600" w:lineRule="exact"/>
        <w:ind w:firstLine="476"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3"/>
        <w:ind w:firstLine="634" w:firstLineChars="200"/>
        <w:rPr>
          <w:rFonts w:hint="eastAsia" w:ascii="楷体" w:hAnsi="楷体" w:eastAsia="楷体" w:cs="楷体"/>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4588.66</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4588.66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317"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3"/>
        <w:keepNext w:val="0"/>
        <w:keepLines w:val="0"/>
        <w:pageBreakBefore w:val="0"/>
        <w:widowControl w:val="0"/>
        <w:kinsoku/>
        <w:wordWrap/>
        <w:overflowPunct/>
        <w:topLinePunct w:val="0"/>
        <w:bidi w:val="0"/>
        <w:snapToGrid/>
        <w:spacing w:line="600" w:lineRule="exact"/>
        <w:ind w:firstLine="793"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4588.66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4588.66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3"/>
        <w:keepNext w:val="0"/>
        <w:keepLines w:val="0"/>
        <w:pageBreakBefore w:val="0"/>
        <w:widowControl w:val="0"/>
        <w:numPr>
          <w:ilvl w:val="0"/>
          <w:numId w:val="2"/>
        </w:numPr>
        <w:kinsoku/>
        <w:wordWrap/>
        <w:overflowPunct/>
        <w:topLinePunct w:val="0"/>
        <w:bidi w:val="0"/>
        <w:snapToGrid/>
        <w:spacing w:line="600" w:lineRule="exact"/>
        <w:ind w:firstLine="793"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城乡社区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城乡社区管理事务</w:t>
      </w:r>
      <w:r>
        <w:rPr>
          <w:rFonts w:hint="eastAsia" w:ascii="Times New Roman" w:hAnsi="Times New Roman" w:eastAsia="仿宋_GB2312"/>
          <w:sz w:val="32"/>
          <w:szCs w:val="32"/>
        </w:rPr>
        <w:t>（款）其他城乡社区管理事务支出（项）。年初预算为</w:t>
      </w:r>
      <w:r>
        <w:rPr>
          <w:rFonts w:hint="eastAsia" w:ascii="Times New Roman" w:hAnsi="Times New Roman" w:eastAsia="仿宋_GB2312"/>
          <w:sz w:val="32"/>
          <w:szCs w:val="32"/>
          <w:lang w:val="en-US" w:eastAsia="zh-CN"/>
        </w:rPr>
        <w:t>38.30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38.30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。决算数等于年初预算数，我单位严格按照年初预算数执行决算。</w:t>
      </w:r>
    </w:p>
    <w:p>
      <w:pPr>
        <w:pStyle w:val="13"/>
        <w:keepNext w:val="0"/>
        <w:keepLines w:val="0"/>
        <w:pageBreakBefore w:val="0"/>
        <w:widowControl w:val="0"/>
        <w:numPr>
          <w:ilvl w:val="0"/>
          <w:numId w:val="0"/>
        </w:numPr>
        <w:kinsoku/>
        <w:wordWrap/>
        <w:overflowPunct/>
        <w:topLinePunct w:val="0"/>
        <w:bidi w:val="0"/>
        <w:snapToGrid/>
        <w:spacing w:line="600" w:lineRule="exact"/>
        <w:ind w:firstLine="634"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城乡社区</w:t>
      </w:r>
      <w:r>
        <w:rPr>
          <w:rFonts w:hint="eastAsia" w:ascii="Times New Roman" w:hAnsi="Times New Roman" w:eastAsia="仿宋_GB2312"/>
          <w:sz w:val="32"/>
          <w:szCs w:val="32"/>
        </w:rPr>
        <w:t>（类）城乡社区规划与管理（款）城乡社区规划与管理（项）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4506.45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4506.45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。决算数等于年初预算数，我单位严格按照年初预算数执行决算。</w:t>
      </w:r>
    </w:p>
    <w:p>
      <w:pPr>
        <w:pStyle w:val="13"/>
        <w:keepNext w:val="0"/>
        <w:keepLines w:val="0"/>
        <w:pageBreakBefore w:val="0"/>
        <w:widowControl w:val="0"/>
        <w:numPr>
          <w:ilvl w:val="0"/>
          <w:numId w:val="3"/>
        </w:numPr>
        <w:kinsoku/>
        <w:wordWrap/>
        <w:overflowPunct/>
        <w:topLinePunct w:val="0"/>
        <w:bidi w:val="0"/>
        <w:snapToGrid/>
        <w:spacing w:line="600" w:lineRule="exact"/>
        <w:ind w:firstLine="793"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城乡社区（类）其他城乡社区支出（款）其他城乡社区支出（项）</w:t>
      </w:r>
    </w:p>
    <w:p>
      <w:pPr>
        <w:pStyle w:val="13"/>
        <w:keepNext w:val="0"/>
        <w:keepLines w:val="0"/>
        <w:pageBreakBefore w:val="0"/>
        <w:widowControl w:val="0"/>
        <w:kinsoku/>
        <w:wordWrap/>
        <w:overflowPunct/>
        <w:topLinePunct w:val="0"/>
        <w:bidi w:val="0"/>
        <w:snapToGrid/>
        <w:spacing w:line="600" w:lineRule="exact"/>
        <w:ind w:firstLine="793"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43.92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。决算数等于年初预算数，我单位严格按照年初预算数执行决算。</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951"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1203.1</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宋体" w:hAnsi="Times New Roman" w:eastAsia="宋体"/>
          <w:kern w:val="0"/>
          <w:sz w:val="32"/>
          <w:szCs w:val="24"/>
          <w:highlight w:val="white"/>
          <w:lang w:val="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627.86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52.19</w:t>
      </w:r>
      <w:r>
        <w:rPr>
          <w:rFonts w:hint="eastAsia" w:ascii="Times New Roman" w:hAnsi="Times New Roman" w:eastAsia="仿宋_GB2312"/>
          <w:sz w:val="32"/>
          <w:szCs w:val="32"/>
        </w:rPr>
        <w:t>%,</w:t>
      </w:r>
      <w:r>
        <w:rPr>
          <w:rFonts w:hint="eastAsia" w:ascii="宋体" w:hAnsi="Times New Roman" w:eastAsia="宋体"/>
          <w:kern w:val="0"/>
          <w:sz w:val="32"/>
          <w:szCs w:val="24"/>
          <w:highlight w:val="white"/>
        </w:rPr>
        <w:t>主要包括基本工资、津贴补贴、</w:t>
      </w:r>
      <w:r>
        <w:rPr>
          <w:rFonts w:hint="eastAsia" w:ascii="宋体" w:hAnsi="Times New Roman" w:eastAsia="宋体"/>
          <w:kern w:val="0"/>
          <w:sz w:val="32"/>
          <w:szCs w:val="24"/>
          <w:highlight w:val="white"/>
          <w:lang w:val="zh-CN"/>
        </w:rPr>
        <w:t>奖金、伙食补助费、绩效工资、</w:t>
      </w:r>
      <w:r>
        <w:rPr>
          <w:rFonts w:hint="eastAsia" w:ascii="宋体" w:hAnsi="Times New Roman" w:eastAsia="宋体"/>
          <w:kern w:val="0"/>
          <w:sz w:val="30"/>
          <w:szCs w:val="30"/>
          <w:highlight w:val="white"/>
          <w:lang w:val="zh-CN"/>
        </w:rPr>
        <w:t>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Times New Roman" w:eastAsia="宋体"/>
          <w:kern w:val="0"/>
          <w:sz w:val="32"/>
          <w:szCs w:val="24"/>
          <w:highlight w:val="white"/>
          <w:lang w:val="zh-CN"/>
        </w:rPr>
        <w:t>；</w:t>
      </w:r>
    </w:p>
    <w:p>
      <w:pPr>
        <w:autoSpaceDE w:val="0"/>
        <w:autoSpaceDN w:val="0"/>
        <w:adjustRightInd w:val="0"/>
        <w:spacing w:beforeLines="0" w:afterLines="0"/>
        <w:ind w:firstLine="643"/>
        <w:jc w:val="left"/>
        <w:rPr>
          <w:rFonts w:hint="eastAsia" w:ascii="宋体" w:hAnsi="Times New Roman"/>
          <w:kern w:val="0"/>
          <w:sz w:val="30"/>
          <w:szCs w:val="30"/>
          <w:highlight w:val="white"/>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575.24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47.81</w:t>
      </w:r>
      <w:r>
        <w:rPr>
          <w:rFonts w:hint="eastAsia" w:ascii="Times New Roman" w:hAnsi="Times New Roman" w:eastAsia="仿宋_GB2312"/>
          <w:sz w:val="32"/>
          <w:szCs w:val="32"/>
        </w:rPr>
        <w:t>%，</w:t>
      </w:r>
      <w:r>
        <w:rPr>
          <w:rFonts w:hint="eastAsia" w:ascii="宋体" w:hAnsi="Times New Roman" w:eastAsia="宋体"/>
          <w:kern w:val="0"/>
          <w:sz w:val="30"/>
          <w:szCs w:val="30"/>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r>
        <w:rPr>
          <w:rFonts w:hint="eastAsia" w:ascii="宋体" w:hAnsi="Times New Roman"/>
          <w:kern w:val="0"/>
          <w:sz w:val="30"/>
          <w:szCs w:val="30"/>
          <w:highlight w:val="white"/>
          <w:lang w:eastAsia="zh-CN"/>
        </w:rPr>
        <w:t>。</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pPr>
        <w:pStyle w:val="13"/>
        <w:ind w:firstLine="317" w:firstLineChars="100"/>
        <w:rPr>
          <w:rFonts w:hint="eastAsia" w:ascii="仿宋" w:hAnsi="仿宋" w:eastAsia="仿宋" w:cs="仿宋"/>
          <w:b w:val="0"/>
          <w:bCs w:val="0"/>
          <w:color w:val="000000"/>
          <w:sz w:val="32"/>
          <w:szCs w:val="32"/>
        </w:rPr>
      </w:pPr>
      <w:r>
        <w:rPr>
          <w:rFonts w:hint="eastAsia" w:ascii="Times New Roman" w:hAnsi="Times New Roman" w:eastAsia="仿宋_GB2312"/>
          <w:sz w:val="32"/>
          <w:szCs w:val="32"/>
        </w:rPr>
        <w:t xml:space="preserve"> </w:t>
      </w:r>
      <w:r>
        <w:rPr>
          <w:rFonts w:hint="eastAsia" w:ascii="仿宋" w:hAnsi="仿宋" w:eastAsia="仿宋" w:cs="仿宋"/>
          <w:b w:val="0"/>
          <w:bCs w:val="0"/>
          <w:i w:val="0"/>
          <w:iCs/>
          <w:color w:val="000000"/>
          <w:kern w:val="0"/>
          <w:sz w:val="32"/>
          <w:szCs w:val="32"/>
          <w:lang w:val="en-US" w:eastAsia="zh-CN" w:bidi="ar-SA"/>
        </w:rPr>
        <w:t xml:space="preserve"> 2022年度政府性基金预算财政拨款收入0万元；年初结转和结余0万元；支出0万元，其中基本支出0万元，项目支出0万元；年末结转和结余0万元。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sz w:val="32"/>
          <w:szCs w:val="32"/>
          <w:lang w:eastAsia="zh-CN"/>
        </w:rPr>
        <w:t>八</w:t>
      </w:r>
      <w:r>
        <w:rPr>
          <w:rFonts w:hint="eastAsia" w:ascii="Times New Roman" w:hAnsi="Times New Roman" w:eastAsia="仿宋_GB2312"/>
          <w:b/>
          <w:sz w:val="32"/>
          <w:szCs w:val="32"/>
        </w:rPr>
        <w:t>、国有资本经营预算财政拨款支出决算</w:t>
      </w:r>
      <w:r>
        <w:rPr>
          <w:rFonts w:hint="eastAsia" w:ascii="Times New Roman" w:hAnsi="Times New Roman" w:eastAsia="仿宋_GB2312"/>
          <w:b/>
          <w:sz w:val="32"/>
          <w:szCs w:val="32"/>
          <w:lang w:eastAsia="zh-CN"/>
        </w:rPr>
        <w:t>情况</w:t>
      </w:r>
    </w:p>
    <w:p>
      <w:pPr>
        <w:pStyle w:val="13"/>
        <w:keepNext w:val="0"/>
        <w:keepLines w:val="0"/>
        <w:pageBreakBefore w:val="0"/>
        <w:widowControl w:val="0"/>
        <w:numPr>
          <w:ilvl w:val="0"/>
          <w:numId w:val="0"/>
        </w:numPr>
        <w:kinsoku/>
        <w:wordWrap/>
        <w:overflowPunct/>
        <w:topLinePunct w:val="0"/>
        <w:bidi w:val="0"/>
        <w:snapToGrid/>
        <w:spacing w:line="600" w:lineRule="exact"/>
        <w:ind w:firstLine="634" w:firstLineChars="200"/>
        <w:textAlignment w:val="auto"/>
        <w:rPr>
          <w:rFonts w:hint="eastAsia" w:ascii="仿宋" w:hAnsi="仿宋" w:eastAsia="仿宋" w:cs="仿宋"/>
          <w:i/>
          <w:iCs w:val="0"/>
          <w:color w:val="000000"/>
          <w:sz w:val="32"/>
          <w:szCs w:val="32"/>
          <w:lang w:val="en-US" w:eastAsia="zh-CN"/>
        </w:rPr>
      </w:pPr>
      <w:r>
        <w:rPr>
          <w:rFonts w:hint="eastAsia" w:ascii="仿宋" w:hAnsi="仿宋" w:eastAsia="仿宋" w:cs="仿宋"/>
          <w:i w:val="0"/>
          <w:iCs/>
          <w:color w:val="000000"/>
          <w:sz w:val="32"/>
          <w:szCs w:val="32"/>
          <w:lang w:eastAsia="zh-CN"/>
        </w:rPr>
        <w:t>202</w:t>
      </w:r>
      <w:r>
        <w:rPr>
          <w:rFonts w:hint="eastAsia" w:ascii="仿宋" w:hAnsi="仿宋" w:eastAsia="仿宋" w:cs="仿宋"/>
          <w:i w:val="0"/>
          <w:iCs/>
          <w:color w:val="000000"/>
          <w:sz w:val="32"/>
          <w:szCs w:val="32"/>
          <w:lang w:val="en-US" w:eastAsia="zh-CN"/>
        </w:rPr>
        <w:t>2</w:t>
      </w:r>
      <w:r>
        <w:rPr>
          <w:rFonts w:hint="eastAsia" w:ascii="仿宋" w:hAnsi="仿宋" w:eastAsia="仿宋" w:cs="仿宋"/>
          <w:i w:val="0"/>
          <w:iCs/>
          <w:color w:val="000000"/>
          <w:sz w:val="32"/>
          <w:szCs w:val="32"/>
          <w:lang w:eastAsia="zh-CN"/>
        </w:rPr>
        <w:t>年度国有资本经营预算财政拨款收入</w:t>
      </w:r>
      <w:r>
        <w:rPr>
          <w:rFonts w:hint="eastAsia" w:ascii="仿宋" w:hAnsi="仿宋" w:eastAsia="仿宋" w:cs="仿宋"/>
          <w:i w:val="0"/>
          <w:iCs/>
          <w:color w:val="000000"/>
          <w:sz w:val="32"/>
          <w:szCs w:val="32"/>
          <w:lang w:val="en-US" w:eastAsia="zh-CN"/>
        </w:rPr>
        <w:t>0万元；年初结转和结余0万；</w:t>
      </w:r>
      <w:r>
        <w:rPr>
          <w:rFonts w:hint="eastAsia" w:ascii="仿宋" w:hAnsi="仿宋" w:eastAsia="仿宋" w:cs="仿宋"/>
          <w:i w:val="0"/>
          <w:iCs/>
          <w:color w:val="000000"/>
          <w:sz w:val="32"/>
          <w:szCs w:val="32"/>
          <w:lang w:eastAsia="zh-CN"/>
        </w:rPr>
        <w:t>支出</w:t>
      </w:r>
      <w:r>
        <w:rPr>
          <w:rFonts w:hint="eastAsia" w:ascii="仿宋" w:hAnsi="仿宋" w:eastAsia="仿宋" w:cs="仿宋"/>
          <w:i w:val="0"/>
          <w:iCs/>
          <w:color w:val="000000"/>
          <w:sz w:val="32"/>
          <w:szCs w:val="32"/>
          <w:lang w:val="en-US" w:eastAsia="zh-CN"/>
        </w:rPr>
        <w:t>0</w:t>
      </w:r>
      <w:r>
        <w:rPr>
          <w:rFonts w:hint="eastAsia" w:ascii="仿宋" w:hAnsi="仿宋" w:eastAsia="仿宋" w:cs="仿宋"/>
          <w:i w:val="0"/>
          <w:iCs/>
          <w:color w:val="000000"/>
          <w:sz w:val="32"/>
          <w:szCs w:val="32"/>
          <w:lang w:eastAsia="zh-CN"/>
        </w:rPr>
        <w:t>万元，其中：基本支出</w:t>
      </w:r>
      <w:r>
        <w:rPr>
          <w:rFonts w:hint="eastAsia" w:ascii="仿宋" w:hAnsi="仿宋" w:eastAsia="仿宋" w:cs="仿宋"/>
          <w:i w:val="0"/>
          <w:iCs/>
          <w:color w:val="000000"/>
          <w:sz w:val="32"/>
          <w:szCs w:val="32"/>
          <w:lang w:val="en-US" w:eastAsia="zh-CN"/>
        </w:rPr>
        <w:t>0</w:t>
      </w:r>
      <w:r>
        <w:rPr>
          <w:rFonts w:hint="eastAsia" w:ascii="仿宋" w:hAnsi="仿宋" w:eastAsia="仿宋" w:cs="仿宋"/>
          <w:i w:val="0"/>
          <w:iCs/>
          <w:color w:val="000000"/>
          <w:sz w:val="32"/>
          <w:szCs w:val="32"/>
          <w:lang w:eastAsia="zh-CN"/>
        </w:rPr>
        <w:t>万元，项目支出</w:t>
      </w:r>
      <w:r>
        <w:rPr>
          <w:rFonts w:hint="eastAsia" w:ascii="仿宋" w:hAnsi="仿宋" w:eastAsia="仿宋" w:cs="仿宋"/>
          <w:i w:val="0"/>
          <w:iCs/>
          <w:color w:val="000000"/>
          <w:sz w:val="32"/>
          <w:szCs w:val="32"/>
          <w:lang w:val="en-US" w:eastAsia="zh-CN"/>
        </w:rPr>
        <w:t>0</w:t>
      </w:r>
      <w:r>
        <w:rPr>
          <w:rFonts w:hint="eastAsia" w:ascii="仿宋" w:hAnsi="仿宋" w:eastAsia="仿宋" w:cs="仿宋"/>
          <w:i w:val="0"/>
          <w:iCs/>
          <w:color w:val="000000"/>
          <w:sz w:val="32"/>
          <w:szCs w:val="32"/>
          <w:lang w:eastAsia="zh-CN"/>
        </w:rPr>
        <w:t>万元；年末结转和结余</w:t>
      </w:r>
      <w:r>
        <w:rPr>
          <w:rFonts w:hint="eastAsia" w:ascii="仿宋" w:hAnsi="仿宋" w:eastAsia="仿宋" w:cs="仿宋"/>
          <w:i w:val="0"/>
          <w:iCs/>
          <w:color w:val="000000"/>
          <w:sz w:val="32"/>
          <w:szCs w:val="32"/>
          <w:lang w:val="en-US" w:eastAsia="zh-CN"/>
        </w:rPr>
        <w:t>0万元。</w:t>
      </w:r>
    </w:p>
    <w:p>
      <w:pPr>
        <w:pStyle w:val="13"/>
        <w:keepNext w:val="0"/>
        <w:keepLines w:val="0"/>
        <w:pageBreakBefore w:val="0"/>
        <w:widowControl w:val="0"/>
        <w:numPr>
          <w:ilvl w:val="0"/>
          <w:numId w:val="0"/>
        </w:numPr>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highlight w:val="none"/>
        </w:rPr>
      </w:pPr>
      <w:r>
        <w:rPr>
          <w:rFonts w:hint="eastAsia" w:hAnsi="黑体" w:cs="黑体"/>
          <w:b w:val="0"/>
          <w:bCs/>
          <w:sz w:val="32"/>
          <w:szCs w:val="32"/>
          <w:highlight w:val="none"/>
          <w:lang w:eastAsia="zh-CN"/>
        </w:rPr>
        <w:t>九、</w:t>
      </w:r>
      <w:r>
        <w:rPr>
          <w:rFonts w:hint="eastAsia" w:ascii="黑体" w:hAnsi="黑体" w:eastAsia="黑体" w:cs="黑体"/>
          <w:b w:val="0"/>
          <w:bCs/>
          <w:sz w:val="32"/>
          <w:szCs w:val="32"/>
          <w:highlight w:val="none"/>
        </w:rPr>
        <w:t>财政拨款三公经费支出决算情况说明</w:t>
      </w:r>
    </w:p>
    <w:p>
      <w:pPr>
        <w:pStyle w:val="13"/>
        <w:keepNext w:val="0"/>
        <w:keepLines w:val="0"/>
        <w:pageBreakBefore w:val="0"/>
        <w:widowControl w:val="0"/>
        <w:numPr>
          <w:ilvl w:val="0"/>
          <w:numId w:val="0"/>
        </w:numPr>
        <w:kinsoku/>
        <w:wordWrap/>
        <w:overflowPunct/>
        <w:topLinePunct w:val="0"/>
        <w:bidi w:val="0"/>
        <w:snapToGrid/>
        <w:spacing w:line="600" w:lineRule="exact"/>
        <w:ind w:firstLine="634"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autoSpaceDE w:val="0"/>
        <w:autoSpaceDN w:val="0"/>
        <w:adjustRightInd w:val="0"/>
        <w:spacing w:beforeLines="0" w:afterLines="0"/>
        <w:ind w:firstLine="640"/>
        <w:rPr>
          <w:rFonts w:hint="eastAsia" w:ascii="仿宋" w:hAnsi="仿宋" w:eastAsia="仿宋" w:cs="仿宋"/>
          <w:sz w:val="32"/>
          <w:szCs w:val="24"/>
          <w:highlight w:val="white"/>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color w:val="000000"/>
          <w:sz w:val="32"/>
          <w:szCs w:val="24"/>
          <w:highlight w:val="white"/>
          <w:lang w:val="zh-CN"/>
        </w:rPr>
        <w:t>主要原因是认真贯彻落实中央“八项规定”精神和厉行节约要求，从严控制“三公”经费开支</w:t>
      </w:r>
      <w:bookmarkStart w:id="0" w:name="_GoBack"/>
      <w:bookmarkEnd w:id="0"/>
      <w:r>
        <w:rPr>
          <w:rFonts w:hint="eastAsia" w:ascii="仿宋" w:hAnsi="仿宋" w:eastAsia="仿宋" w:cs="仿宋"/>
          <w:color w:val="000000"/>
          <w:sz w:val="32"/>
          <w:szCs w:val="24"/>
          <w:highlight w:val="white"/>
          <w:lang w:val="zh-CN"/>
        </w:rPr>
        <w:t>。</w:t>
      </w:r>
    </w:p>
    <w:p>
      <w:pPr>
        <w:numPr>
          <w:ilvl w:val="0"/>
          <w:numId w:val="0"/>
        </w:numPr>
        <w:autoSpaceDE w:val="0"/>
        <w:autoSpaceDN w:val="0"/>
        <w:adjustRightInd w:val="0"/>
        <w:ind w:firstLine="634" w:firstLineChars="200"/>
        <w:rPr>
          <w:rFonts w:hint="eastAsia" w:ascii="仿宋" w:hAnsi="仿宋" w:eastAsia="仿宋" w:cs="仿宋"/>
          <w:color w:val="000000"/>
          <w:sz w:val="32"/>
          <w:szCs w:val="32"/>
          <w:highlight w:val="white"/>
        </w:rPr>
      </w:pPr>
      <w:r>
        <w:rPr>
          <w:rFonts w:hint="eastAsia" w:ascii="仿宋" w:hAnsi="仿宋" w:eastAsia="仿宋" w:cs="仿宋"/>
          <w:sz w:val="32"/>
          <w:szCs w:val="32"/>
          <w:highlight w:val="white"/>
        </w:rPr>
        <w:t>因公出国（境）费支出预算</w:t>
      </w:r>
      <w:r>
        <w:rPr>
          <w:rFonts w:hint="eastAsia" w:ascii="仿宋" w:hAnsi="仿宋" w:eastAsia="仿宋" w:cs="仿宋"/>
          <w:sz w:val="32"/>
          <w:szCs w:val="32"/>
          <w:highlight w:val="white"/>
          <w:lang w:val="en-US" w:eastAsia="zh-CN"/>
        </w:rPr>
        <w:t>数</w:t>
      </w:r>
      <w:r>
        <w:rPr>
          <w:rFonts w:hint="eastAsia" w:ascii="仿宋" w:hAnsi="仿宋" w:eastAsia="仿宋" w:cs="仿宋"/>
          <w:sz w:val="32"/>
          <w:szCs w:val="32"/>
          <w:highlight w:val="white"/>
        </w:rPr>
        <w:t>为0</w:t>
      </w:r>
      <w:r>
        <w:rPr>
          <w:rFonts w:hint="eastAsia" w:ascii="仿宋" w:hAnsi="仿宋" w:eastAsia="仿宋" w:cs="仿宋"/>
          <w:sz w:val="32"/>
          <w:szCs w:val="32"/>
          <w:highlight w:val="white"/>
          <w:lang w:val="en-US" w:eastAsia="zh-CN"/>
        </w:rPr>
        <w:t>万元</w:t>
      </w:r>
      <w:r>
        <w:rPr>
          <w:rFonts w:hint="eastAsia" w:ascii="仿宋" w:hAnsi="仿宋" w:eastAsia="仿宋" w:cs="仿宋"/>
          <w:sz w:val="32"/>
          <w:szCs w:val="32"/>
          <w:highlight w:val="white"/>
        </w:rPr>
        <w:t>，决算</w:t>
      </w:r>
      <w:r>
        <w:rPr>
          <w:rFonts w:hint="eastAsia" w:ascii="仿宋" w:hAnsi="仿宋" w:eastAsia="仿宋" w:cs="仿宋"/>
          <w:sz w:val="32"/>
          <w:szCs w:val="32"/>
          <w:highlight w:val="white"/>
          <w:lang w:val="en-US" w:eastAsia="zh-CN"/>
        </w:rPr>
        <w:t>数</w:t>
      </w:r>
      <w:r>
        <w:rPr>
          <w:rFonts w:hint="eastAsia" w:ascii="仿宋" w:hAnsi="仿宋" w:eastAsia="仿宋" w:cs="仿宋"/>
          <w:sz w:val="32"/>
          <w:szCs w:val="32"/>
          <w:highlight w:val="white"/>
        </w:rPr>
        <w:t>为0</w:t>
      </w:r>
      <w:r>
        <w:rPr>
          <w:rFonts w:hint="eastAsia" w:ascii="仿宋" w:hAnsi="仿宋" w:eastAsia="仿宋" w:cs="仿宋"/>
          <w:sz w:val="32"/>
          <w:szCs w:val="32"/>
          <w:highlight w:val="white"/>
          <w:lang w:val="en-US" w:eastAsia="zh-CN"/>
        </w:rPr>
        <w:t>万元</w:t>
      </w:r>
      <w:r>
        <w:rPr>
          <w:rFonts w:hint="eastAsia" w:ascii="仿宋" w:hAnsi="仿宋" w:eastAsia="仿宋" w:cs="仿宋"/>
          <w:sz w:val="32"/>
          <w:szCs w:val="32"/>
          <w:highlight w:val="white"/>
        </w:rPr>
        <w:t>，</w:t>
      </w:r>
      <w:r>
        <w:rPr>
          <w:rFonts w:hint="eastAsia" w:ascii="仿宋_GB2312" w:hAnsi="仿宋_GB2312" w:eastAsia="仿宋_GB2312" w:cs="仿宋_GB2312"/>
          <w:b w:val="0"/>
          <w:bCs/>
          <w:color w:val="000000"/>
          <w:sz w:val="32"/>
          <w:szCs w:val="32"/>
          <w:lang w:eastAsia="zh-CN"/>
        </w:rPr>
        <w:t>决算数等于预算数，主要原因是我单位严格按预算执行决算；与上年一致，无增减变动，主要原因是未安排因公出国（境）活动。</w:t>
      </w:r>
    </w:p>
    <w:p>
      <w:pPr>
        <w:numPr>
          <w:ilvl w:val="0"/>
          <w:numId w:val="0"/>
        </w:numPr>
        <w:autoSpaceDE w:val="0"/>
        <w:autoSpaceDN w:val="0"/>
        <w:adjustRightInd w:val="0"/>
        <w:ind w:firstLine="634" w:firstLineChars="200"/>
        <w:rPr>
          <w:rFonts w:hint="eastAsia" w:ascii="仿宋" w:hAnsi="仿宋" w:eastAsia="仿宋" w:cs="仿宋"/>
          <w:color w:val="000000"/>
          <w:sz w:val="32"/>
          <w:szCs w:val="24"/>
          <w:highlight w:val="white"/>
        </w:rPr>
      </w:pPr>
      <w:r>
        <w:rPr>
          <w:rFonts w:hint="eastAsia" w:ascii="仿宋" w:hAnsi="仿宋" w:eastAsia="仿宋" w:cs="仿宋"/>
          <w:color w:val="000000"/>
          <w:sz w:val="32"/>
          <w:szCs w:val="24"/>
          <w:highlight w:val="white"/>
          <w:lang w:val="zh-CN"/>
        </w:rPr>
        <w:t>公务接待费支出预算</w:t>
      </w:r>
      <w:r>
        <w:rPr>
          <w:rFonts w:hint="eastAsia" w:ascii="仿宋" w:hAnsi="仿宋" w:eastAsia="仿宋" w:cs="仿宋"/>
          <w:color w:val="000000"/>
          <w:sz w:val="32"/>
          <w:szCs w:val="24"/>
          <w:highlight w:val="white"/>
          <w:lang w:val="en-US" w:eastAsia="zh-CN"/>
        </w:rPr>
        <w:t>数</w:t>
      </w:r>
      <w:r>
        <w:rPr>
          <w:rFonts w:hint="eastAsia" w:ascii="仿宋" w:hAnsi="仿宋" w:eastAsia="仿宋" w:cs="仿宋"/>
          <w:color w:val="000000"/>
          <w:sz w:val="32"/>
          <w:szCs w:val="24"/>
          <w:highlight w:val="white"/>
          <w:lang w:val="zh-CN"/>
        </w:rPr>
        <w:t>为</w:t>
      </w:r>
      <w:r>
        <w:rPr>
          <w:rFonts w:hint="eastAsia" w:ascii="仿宋" w:hAnsi="仿宋" w:eastAsia="仿宋" w:cs="仿宋"/>
          <w:color w:val="000000"/>
          <w:sz w:val="32"/>
          <w:szCs w:val="24"/>
          <w:highlight w:val="white"/>
          <w:lang w:val="en-US" w:eastAsia="zh-CN"/>
        </w:rPr>
        <w:t>0</w:t>
      </w:r>
      <w:r>
        <w:rPr>
          <w:rFonts w:hint="eastAsia" w:ascii="仿宋" w:hAnsi="仿宋" w:eastAsia="仿宋" w:cs="仿宋"/>
          <w:color w:val="000000"/>
          <w:sz w:val="32"/>
          <w:szCs w:val="24"/>
          <w:highlight w:val="white"/>
          <w:lang w:val="zh-CN"/>
        </w:rPr>
        <w:t>万元，支出决算为0万元。决算数小于预算数的主要原因是从严控制“三公”经费开支，全年实际支出比预算有所节约。</w:t>
      </w:r>
      <w:r>
        <w:rPr>
          <w:rFonts w:hint="eastAsia" w:ascii="仿宋" w:hAnsi="仿宋" w:eastAsia="仿宋" w:cs="仿宋"/>
          <w:color w:val="000000"/>
          <w:sz w:val="32"/>
          <w:szCs w:val="24"/>
          <w:highlight w:val="white"/>
        </w:rPr>
        <w:t>与上年相比减少</w:t>
      </w:r>
      <w:r>
        <w:rPr>
          <w:rFonts w:hint="eastAsia" w:ascii="仿宋" w:hAnsi="仿宋" w:eastAsia="仿宋" w:cs="仿宋"/>
          <w:color w:val="000000"/>
          <w:sz w:val="32"/>
          <w:szCs w:val="24"/>
          <w:highlight w:val="white"/>
          <w:lang w:val="en-US" w:eastAsia="zh-CN"/>
        </w:rPr>
        <w:t>0.15</w:t>
      </w:r>
      <w:r>
        <w:rPr>
          <w:rFonts w:hint="eastAsia" w:ascii="仿宋" w:hAnsi="仿宋" w:eastAsia="仿宋" w:cs="仿宋"/>
          <w:color w:val="000000"/>
          <w:sz w:val="32"/>
          <w:szCs w:val="24"/>
          <w:highlight w:val="white"/>
        </w:rPr>
        <w:t>万元，下降</w:t>
      </w:r>
      <w:r>
        <w:rPr>
          <w:rFonts w:hint="eastAsia" w:ascii="仿宋" w:hAnsi="仿宋" w:eastAsia="仿宋" w:cs="仿宋"/>
          <w:color w:val="000000"/>
          <w:sz w:val="32"/>
          <w:szCs w:val="24"/>
          <w:highlight w:val="white"/>
          <w:lang w:val="en-US" w:eastAsia="zh-CN"/>
        </w:rPr>
        <w:t>5</w:t>
      </w:r>
      <w:r>
        <w:rPr>
          <w:rFonts w:hint="eastAsia" w:ascii="仿宋" w:hAnsi="仿宋" w:eastAsia="仿宋" w:cs="仿宋"/>
          <w:color w:val="000000"/>
          <w:sz w:val="32"/>
          <w:szCs w:val="24"/>
          <w:highlight w:val="white"/>
        </w:rPr>
        <w:t>%,减少主要原因是认真贯彻落实中央“八项规定”精神和厉行节约要求，从严控制“三公”经费开支。</w:t>
      </w:r>
    </w:p>
    <w:p>
      <w:pPr>
        <w:pStyle w:val="13"/>
        <w:keepNext w:val="0"/>
        <w:keepLines w:val="0"/>
        <w:pageBreakBefore w:val="0"/>
        <w:widowControl w:val="0"/>
        <w:numPr>
          <w:ilvl w:val="0"/>
          <w:numId w:val="0"/>
        </w:numPr>
        <w:kinsoku/>
        <w:wordWrap/>
        <w:overflowPunct/>
        <w:topLinePunct w:val="0"/>
        <w:bidi w:val="0"/>
        <w:snapToGrid/>
        <w:spacing w:line="600" w:lineRule="exact"/>
        <w:ind w:firstLine="634" w:firstLineChars="200"/>
        <w:textAlignment w:val="auto"/>
        <w:rPr>
          <w:rFonts w:hint="eastAsia"/>
        </w:rPr>
      </w:pPr>
      <w:r>
        <w:rPr>
          <w:rFonts w:hint="eastAsia" w:ascii="仿宋_GB2312" w:hAnsi="仿宋_GB2312" w:eastAsia="仿宋_GB2312" w:cs="仿宋_GB2312"/>
          <w:b w:val="0"/>
          <w:bCs/>
          <w:color w:val="000000"/>
          <w:sz w:val="32"/>
          <w:szCs w:val="32"/>
          <w:lang w:eastAsia="zh-CN"/>
        </w:rPr>
        <w:t xml:space="preserve">公务用车购置费支出预算为0万元，支出决算为0万元，决算数等于预算数，主要原因是我单位严格按预算执行决算；与上年一致，无增减变动，主要原因是两年均未购置公务用车。  </w:t>
      </w:r>
    </w:p>
    <w:p>
      <w:pPr>
        <w:pStyle w:val="13"/>
        <w:keepNext w:val="0"/>
        <w:keepLines w:val="0"/>
        <w:pageBreakBefore w:val="0"/>
        <w:widowControl w:val="0"/>
        <w:numPr>
          <w:ilvl w:val="0"/>
          <w:numId w:val="0"/>
        </w:numPr>
        <w:kinsoku/>
        <w:wordWrap/>
        <w:overflowPunct/>
        <w:topLinePunct w:val="0"/>
        <w:bidi w:val="0"/>
        <w:snapToGrid/>
        <w:spacing w:line="600" w:lineRule="exact"/>
        <w:ind w:firstLine="634"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 xml:space="preserve">公务用车运行维护费支出预算为0万元，支出决算为0万元，决算数等于预算数，主要原因是我单位严格按预算执行决算；与上年一致，无增减变动，主要原因是两年均无公务用车需要运行维护。 </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793" w:firstLineChars="250"/>
        <w:textAlignment w:val="auto"/>
        <w:rPr>
          <w:rFonts w:hint="eastAsia" w:ascii="楷体" w:hAnsi="楷体" w:eastAsia="仿宋_GB2312" w:cs="楷体"/>
          <w:b/>
          <w:bCs/>
          <w:i/>
          <w:color w:val="000000"/>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color w:val="000000"/>
          <w:sz w:val="32"/>
          <w:szCs w:val="32"/>
          <w:lang w:eastAsia="zh-CN"/>
        </w:rPr>
        <w:t>。</w:t>
      </w:r>
      <w:r>
        <w:rPr>
          <w:rFonts w:hint="eastAsia" w:ascii="仿宋_GB2312" w:hAnsi="仿宋_GB2312" w:eastAsia="仿宋_GB2312" w:cs="仿宋_GB2312"/>
          <w:b w:val="0"/>
          <w:bCs/>
          <w:color w:val="000000"/>
          <w:sz w:val="32"/>
          <w:szCs w:val="32"/>
          <w:lang w:eastAsia="zh-CN"/>
        </w:rPr>
        <w:t xml:space="preserve">我单位2022年度无因公出国（境）费支出。 </w:t>
      </w:r>
      <w:r>
        <w:rPr>
          <w:rFonts w:hint="eastAsia" w:ascii="仿宋_GB2312" w:hAnsi="仿宋_GB2312" w:eastAsia="仿宋_GB2312" w:cs="仿宋_GB2312"/>
          <w:b w:val="0"/>
          <w:bCs/>
          <w:color w:val="FF0000"/>
          <w:sz w:val="32"/>
          <w:szCs w:val="32"/>
          <w:lang w:eastAsia="zh-CN"/>
        </w:rPr>
        <w:t xml:space="preserve"> </w:t>
      </w:r>
    </w:p>
    <w:p>
      <w:pPr>
        <w:pStyle w:val="13"/>
        <w:keepNext w:val="0"/>
        <w:keepLines w:val="0"/>
        <w:pageBreakBefore w:val="0"/>
        <w:widowControl w:val="0"/>
        <w:kinsoku/>
        <w:wordWrap/>
        <w:overflowPunct/>
        <w:topLinePunct w:val="0"/>
        <w:bidi w:val="0"/>
        <w:snapToGrid/>
        <w:spacing w:line="600" w:lineRule="exact"/>
        <w:ind w:firstLine="793"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000000"/>
          <w:sz w:val="32"/>
          <w:szCs w:val="32"/>
          <w:lang w:eastAsia="zh-CN"/>
        </w:rPr>
        <w:t>。</w:t>
      </w:r>
      <w:r>
        <w:rPr>
          <w:rFonts w:hint="eastAsia" w:ascii="仿宋_GB2312" w:hAnsi="仿宋_GB2312" w:eastAsia="仿宋_GB2312" w:cs="仿宋_GB2312"/>
          <w:b w:val="0"/>
          <w:bCs/>
          <w:color w:val="000000"/>
          <w:sz w:val="32"/>
          <w:szCs w:val="32"/>
          <w:lang w:eastAsia="zh-CN"/>
        </w:rPr>
        <w:t xml:space="preserve">我单位2022年度无公务接待费支出。 </w:t>
      </w:r>
    </w:p>
    <w:p>
      <w:pPr>
        <w:keepNext w:val="0"/>
        <w:keepLines w:val="0"/>
        <w:pageBreakBefore w:val="0"/>
        <w:widowControl w:val="0"/>
        <w:kinsoku/>
        <w:wordWrap/>
        <w:overflowPunct/>
        <w:topLinePunct w:val="0"/>
        <w:bidi w:val="0"/>
        <w:snapToGrid/>
        <w:spacing w:line="600" w:lineRule="exact"/>
        <w:ind w:firstLine="793"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本年度未购置公务用车</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十、</w:t>
      </w:r>
      <w:r>
        <w:rPr>
          <w:rFonts w:hint="eastAsia" w:ascii="黑体" w:hAnsi="黑体" w:eastAsia="黑体" w:cs="黑体"/>
          <w:b/>
          <w:sz w:val="32"/>
          <w:szCs w:val="32"/>
        </w:rPr>
        <w:t>关于机关运行经费支出说明</w:t>
      </w:r>
    </w:p>
    <w:p>
      <w:pPr>
        <w:autoSpaceDE w:val="0"/>
        <w:autoSpaceDN w:val="0"/>
        <w:adjustRightInd w:val="0"/>
        <w:spacing w:beforeLines="0" w:afterLines="0"/>
        <w:ind w:firstLine="640"/>
        <w:rPr>
          <w:rFonts w:hint="eastAsia" w:ascii="仿宋" w:hAnsi="仿宋" w:eastAsia="仿宋" w:cs="仿宋"/>
          <w:b w:val="0"/>
          <w:bCs w:val="0"/>
          <w:color w:val="000000"/>
          <w:sz w:val="32"/>
          <w:szCs w:val="32"/>
          <w:highlight w:val="white"/>
        </w:rPr>
      </w:pPr>
      <w:r>
        <w:rPr>
          <w:rFonts w:hint="eastAsia" w:ascii="仿宋" w:hAnsi="仿宋" w:eastAsia="仿宋" w:cs="仿宋"/>
          <w:sz w:val="32"/>
          <w:szCs w:val="24"/>
          <w:highlight w:val="white"/>
        </w:rPr>
        <w:t>岳阳市城市照明管理中心单位性质为财政补助事业单位，</w:t>
      </w:r>
      <w:r>
        <w:rPr>
          <w:rFonts w:hint="eastAsia" w:ascii="仿宋" w:hAnsi="仿宋" w:eastAsia="仿宋" w:cs="仿宋"/>
          <w:b w:val="0"/>
          <w:bCs w:val="0"/>
          <w:i w:val="0"/>
          <w:iCs/>
          <w:color w:val="000000"/>
          <w:sz w:val="32"/>
          <w:szCs w:val="32"/>
          <w:lang w:val="en-US" w:eastAsia="zh-CN"/>
        </w:rPr>
        <w:t>按照机关运行经费的口径，本年度机关运行经费为0。</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34"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b w:val="0"/>
          <w:bCs w:val="0"/>
          <w:color w:val="000000"/>
          <w:sz w:val="32"/>
          <w:szCs w:val="32"/>
        </w:rPr>
        <w:t>。</w:t>
      </w:r>
      <w:r>
        <w:rPr>
          <w:rFonts w:hint="eastAsia" w:ascii="仿宋" w:hAnsi="仿宋" w:eastAsia="仿宋" w:cs="仿宋"/>
          <w:b w:val="0"/>
          <w:bCs w:val="0"/>
          <w:i w:val="0"/>
          <w:iCs w:val="0"/>
          <w:color w:val="000000"/>
          <w:sz w:val="32"/>
          <w:szCs w:val="32"/>
          <w:lang w:val="en-US" w:eastAsia="zh-CN"/>
        </w:rPr>
        <w:t>本单位无会议费的预算和支出决算数；本单位无培训费的预算和支出决算数；本单位无举办节庆、晚会、论坛、赛事等活动的预算和支出决算数。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1611.50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1196</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231</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184.5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1281.63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79.53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884.32</w:t>
      </w:r>
      <w:r>
        <w:rPr>
          <w:rFonts w:hint="eastAsia" w:ascii="Times New Roman" w:hAnsi="Times New Roman" w:eastAsia="仿宋_GB2312"/>
          <w:sz w:val="32"/>
          <w:szCs w:val="32"/>
        </w:rPr>
        <w:t>万元，占授予中小企业合同金额的</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72</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三</w:t>
      </w:r>
      <w:r>
        <w:rPr>
          <w:rFonts w:hint="eastAsia" w:ascii="黑体" w:hAnsi="黑体" w:eastAsia="黑体" w:cs="黑体"/>
          <w:b w:val="0"/>
          <w:bCs/>
          <w:sz w:val="32"/>
          <w:szCs w:val="32"/>
        </w:rPr>
        <w:t>、关于国有资产占用情况说明</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2</w:t>
      </w:r>
      <w:r>
        <w:rPr>
          <w:rFonts w:hint="eastAsia" w:ascii="仿宋" w:hAnsi="仿宋" w:eastAsia="仿宋" w:cs="仿宋"/>
          <w:sz w:val="32"/>
          <w:szCs w:val="32"/>
        </w:rPr>
        <w:t>年12月31日，本单位共有车辆</w:t>
      </w:r>
      <w:r>
        <w:rPr>
          <w:rFonts w:hint="eastAsia" w:ascii="仿宋" w:hAnsi="仿宋" w:eastAsia="仿宋" w:cs="仿宋"/>
          <w:sz w:val="32"/>
          <w:szCs w:val="32"/>
          <w:lang w:val="en-US" w:eastAsia="zh-CN"/>
        </w:rPr>
        <w:t>10</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10</w:t>
      </w:r>
      <w:r>
        <w:rPr>
          <w:rFonts w:hint="eastAsia" w:ascii="仿宋" w:hAnsi="仿宋" w:eastAsia="仿宋" w:cs="仿宋"/>
          <w:sz w:val="32"/>
          <w:szCs w:val="32"/>
        </w:rPr>
        <w:t>辆，</w:t>
      </w:r>
      <w:r>
        <w:rPr>
          <w:rFonts w:hint="eastAsia" w:ascii="仿宋" w:hAnsi="仿宋" w:eastAsia="仿宋" w:cs="仿宋"/>
          <w:sz w:val="30"/>
          <w:szCs w:val="30"/>
          <w:highlight w:val="white"/>
        </w:rPr>
        <w:t>其他用车主要是用</w:t>
      </w:r>
      <w:r>
        <w:rPr>
          <w:rFonts w:hint="eastAsia" w:ascii="仿宋" w:hAnsi="仿宋" w:eastAsia="仿宋" w:cs="仿宋"/>
          <w:sz w:val="30"/>
          <w:szCs w:val="30"/>
          <w:highlight w:val="white"/>
          <w:lang w:eastAsia="zh-CN"/>
        </w:rPr>
        <w:t>亮化设施安装维护</w:t>
      </w:r>
      <w:r>
        <w:rPr>
          <w:rFonts w:hint="eastAsia" w:ascii="仿宋" w:hAnsi="仿宋" w:eastAsia="仿宋" w:cs="仿宋"/>
          <w:sz w:val="30"/>
          <w:szCs w:val="30"/>
          <w:highlight w:val="white"/>
        </w:rPr>
        <w:t>和应急保障用途的车辆</w:t>
      </w:r>
      <w:r>
        <w:rPr>
          <w:rFonts w:hint="eastAsia" w:ascii="仿宋" w:hAnsi="仿宋" w:eastAsia="仿宋" w:cs="仿宋"/>
          <w:sz w:val="30"/>
          <w:szCs w:val="30"/>
        </w:rPr>
        <w:t>；</w:t>
      </w:r>
      <w:r>
        <w:rPr>
          <w:rFonts w:hint="eastAsia" w:ascii="仿宋" w:hAnsi="仿宋" w:eastAsia="仿宋" w:cs="仿宋"/>
          <w:sz w:val="32"/>
          <w:szCs w:val="32"/>
        </w:rPr>
        <w:t>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pStyle w:val="13"/>
        <w:keepNext w:val="0"/>
        <w:keepLines w:val="0"/>
        <w:pageBreakBefore w:val="0"/>
        <w:widowControl w:val="0"/>
        <w:kinsoku/>
        <w:wordWrap/>
        <w:overflowPunct/>
        <w:topLinePunct w:val="0"/>
        <w:bidi w:val="0"/>
        <w:snapToGrid/>
        <w:spacing w:line="600" w:lineRule="exact"/>
        <w:ind w:firstLine="63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、关于</w:t>
      </w:r>
      <w:r>
        <w:rPr>
          <w:rFonts w:hint="eastAsia" w:ascii="黑体" w:hAnsi="黑体" w:eastAsia="黑体" w:cs="黑体"/>
          <w:sz w:val="32"/>
          <w:szCs w:val="32"/>
        </w:rPr>
        <w:t>202</w:t>
      </w:r>
      <w:r>
        <w:rPr>
          <w:rFonts w:hint="eastAsia" w:ascii="黑体" w:hAnsi="黑体" w:eastAsia="黑体" w:cs="黑体"/>
          <w:sz w:val="32"/>
          <w:szCs w:val="32"/>
          <w:lang w:val="en-US" w:eastAsia="zh-CN"/>
        </w:rPr>
        <w:t>2</w:t>
      </w:r>
      <w:r>
        <w:rPr>
          <w:rFonts w:hint="eastAsia" w:ascii="黑体" w:hAnsi="黑体" w:eastAsia="黑体" w:cs="黑体"/>
          <w:b w:val="0"/>
          <w:bCs/>
          <w:sz w:val="32"/>
          <w:szCs w:val="32"/>
        </w:rPr>
        <w:t>年度预算绩效情况的说明</w:t>
      </w:r>
    </w:p>
    <w:p>
      <w:pPr>
        <w:ind w:firstLine="317"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）绩效管理评价工作开展情况</w:t>
      </w:r>
    </w:p>
    <w:p>
      <w:pPr>
        <w:spacing w:line="520" w:lineRule="exact"/>
        <w:ind w:firstLine="634" w:firstLineChars="200"/>
        <w:rPr>
          <w:rFonts w:hint="eastAsia" w:ascii="仿宋" w:hAnsi="仿宋" w:eastAsia="仿宋" w:cs="仿宋"/>
          <w:sz w:val="32"/>
          <w:szCs w:val="32"/>
          <w:lang w:eastAsia="zh-CN"/>
        </w:rPr>
      </w:pPr>
      <w:r>
        <w:rPr>
          <w:rFonts w:hint="eastAsia" w:ascii="仿宋" w:hAnsi="仿宋" w:eastAsia="仿宋" w:cs="仿宋"/>
          <w:sz w:val="32"/>
          <w:szCs w:val="32"/>
        </w:rPr>
        <w:t>根据预算绩效管理要求，我</w:t>
      </w:r>
      <w:r>
        <w:rPr>
          <w:rFonts w:hint="eastAsia" w:ascii="仿宋" w:hAnsi="仿宋" w:eastAsia="仿宋" w:cs="仿宋"/>
          <w:sz w:val="32"/>
          <w:szCs w:val="32"/>
          <w:lang w:eastAsia="zh-CN"/>
        </w:rPr>
        <w:t>们</w:t>
      </w:r>
      <w:r>
        <w:rPr>
          <w:rFonts w:hint="eastAsia" w:ascii="仿宋" w:hAnsi="仿宋" w:eastAsia="仿宋" w:cs="仿宋"/>
          <w:sz w:val="32"/>
          <w:szCs w:val="32"/>
        </w:rPr>
        <w:t>组织对202</w:t>
      </w:r>
      <w:r>
        <w:rPr>
          <w:rFonts w:hint="eastAsia" w:ascii="仿宋" w:hAnsi="仿宋" w:eastAsia="仿宋" w:cs="仿宋"/>
          <w:sz w:val="32"/>
          <w:szCs w:val="32"/>
          <w:lang w:val="en-US" w:eastAsia="zh-CN"/>
        </w:rPr>
        <w:t>2</w:t>
      </w:r>
      <w:r>
        <w:rPr>
          <w:rFonts w:hint="eastAsia" w:ascii="仿宋" w:hAnsi="仿宋" w:eastAsia="仿宋" w:cs="仿宋"/>
          <w:sz w:val="32"/>
          <w:szCs w:val="32"/>
        </w:rPr>
        <w:t>年度</w:t>
      </w:r>
      <w:r>
        <w:rPr>
          <w:rFonts w:hint="eastAsia" w:ascii="仿宋" w:hAnsi="仿宋" w:eastAsia="仿宋" w:cs="仿宋"/>
          <w:sz w:val="32"/>
          <w:szCs w:val="32"/>
          <w:lang w:eastAsia="zh-CN"/>
        </w:rPr>
        <w:t>整体支出和项目资金实施了全覆盖行的绩效评价，撰写了绩效自评报告。</w:t>
      </w:r>
    </w:p>
    <w:p>
      <w:pPr>
        <w:spacing w:line="520" w:lineRule="exact"/>
        <w:ind w:firstLine="634"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组织开展整体支出绩效评价，涉及</w:t>
      </w:r>
      <w:r>
        <w:rPr>
          <w:rFonts w:hint="eastAsia" w:ascii="仿宋" w:hAnsi="仿宋" w:eastAsia="仿宋" w:cs="仿宋"/>
          <w:sz w:val="32"/>
          <w:szCs w:val="32"/>
        </w:rPr>
        <w:t>一般公共预算支出</w:t>
      </w:r>
      <w:r>
        <w:rPr>
          <w:rFonts w:hint="eastAsia" w:ascii="仿宋" w:hAnsi="仿宋" w:eastAsia="仿宋" w:cs="仿宋"/>
          <w:sz w:val="32"/>
          <w:szCs w:val="32"/>
          <w:lang w:val="en-US" w:eastAsia="zh-CN"/>
        </w:rPr>
        <w:t>4811.71万元</w:t>
      </w:r>
      <w:r>
        <w:rPr>
          <w:rFonts w:hint="eastAsia" w:ascii="仿宋" w:hAnsi="仿宋" w:eastAsia="仿宋" w:cs="仿宋"/>
          <w:sz w:val="32"/>
          <w:szCs w:val="32"/>
        </w:rPr>
        <w:t>，</w:t>
      </w:r>
      <w:r>
        <w:rPr>
          <w:rFonts w:hint="eastAsia" w:ascii="仿宋" w:hAnsi="仿宋" w:eastAsia="仿宋" w:cs="仿宋"/>
          <w:sz w:val="32"/>
          <w:szCs w:val="32"/>
          <w:lang w:eastAsia="zh-CN"/>
        </w:rPr>
        <w:t>政府性基金预算支出</w:t>
      </w:r>
      <w:r>
        <w:rPr>
          <w:rFonts w:hint="eastAsia" w:ascii="仿宋" w:hAnsi="仿宋" w:eastAsia="仿宋" w:cs="仿宋"/>
          <w:sz w:val="32"/>
          <w:szCs w:val="32"/>
          <w:lang w:val="en-US" w:eastAsia="zh-CN"/>
        </w:rPr>
        <w:t>0万元，国有资本经营预算支出0万元。本单位“政府性基金预算支出”和“国有资本经营预算支出”无支出，所以未开展绩效自评，无绩效自评结果。从评价情况来看，整体支出绩效评价中，2022整体支出4811.71万元，</w:t>
      </w:r>
      <w:r>
        <w:rPr>
          <w:rFonts w:hint="eastAsia" w:ascii="仿宋" w:hAnsi="仿宋" w:eastAsia="仿宋" w:cs="仿宋"/>
          <w:sz w:val="32"/>
          <w:szCs w:val="32"/>
        </w:rPr>
        <w:t>其中，</w:t>
      </w:r>
      <w:r>
        <w:rPr>
          <w:rFonts w:hint="eastAsia" w:ascii="仿宋" w:hAnsi="仿宋" w:eastAsia="仿宋" w:cs="仿宋"/>
          <w:sz w:val="32"/>
          <w:szCs w:val="32"/>
          <w:lang w:eastAsia="zh-CN"/>
        </w:rPr>
        <w:t>基本支出</w:t>
      </w:r>
      <w:r>
        <w:rPr>
          <w:rFonts w:hint="eastAsia" w:ascii="仿宋" w:hAnsi="仿宋" w:eastAsia="仿宋" w:cs="仿宋"/>
          <w:sz w:val="32"/>
          <w:szCs w:val="32"/>
          <w:lang w:val="en-US" w:eastAsia="zh-CN"/>
        </w:rPr>
        <w:t>1426.15万元，项目支出</w:t>
      </w:r>
      <w:r>
        <w:rPr>
          <w:rFonts w:hint="eastAsia" w:ascii="仿宋" w:hAnsi="仿宋" w:eastAsia="仿宋" w:cs="仿宋"/>
          <w:bCs/>
          <w:sz w:val="32"/>
          <w:szCs w:val="32"/>
          <w:lang w:val="en-US" w:eastAsia="zh-CN"/>
        </w:rPr>
        <w:t>3385.56</w:t>
      </w:r>
      <w:r>
        <w:rPr>
          <w:rFonts w:hint="eastAsia" w:ascii="仿宋" w:hAnsi="仿宋" w:eastAsia="仿宋" w:cs="仿宋"/>
          <w:sz w:val="32"/>
          <w:szCs w:val="32"/>
        </w:rPr>
        <w:t>万元，</w:t>
      </w:r>
      <w:r>
        <w:rPr>
          <w:rFonts w:hint="eastAsia" w:ascii="仿宋" w:hAnsi="仿宋" w:eastAsia="仿宋" w:cs="仿宋"/>
          <w:sz w:val="32"/>
          <w:szCs w:val="32"/>
          <w:lang w:eastAsia="zh-CN"/>
        </w:rPr>
        <w:t>本单位整体支出绩效自评综合评分</w:t>
      </w:r>
      <w:r>
        <w:rPr>
          <w:rFonts w:hint="eastAsia" w:ascii="仿宋" w:hAnsi="仿宋" w:eastAsia="仿宋" w:cs="仿宋"/>
          <w:sz w:val="32"/>
          <w:szCs w:val="32"/>
          <w:lang w:val="en-US" w:eastAsia="zh-CN"/>
        </w:rPr>
        <w:t>98分，评价结果等次为优秀。</w:t>
      </w:r>
    </w:p>
    <w:p>
      <w:pPr>
        <w:pStyle w:val="13"/>
        <w:keepNext w:val="0"/>
        <w:keepLines w:val="0"/>
        <w:pageBreakBefore w:val="0"/>
        <w:widowControl w:val="0"/>
        <w:kinsoku/>
        <w:wordWrap/>
        <w:overflowPunct/>
        <w:topLinePunct w:val="0"/>
        <w:bidi w:val="0"/>
        <w:snapToGrid/>
        <w:spacing w:line="600" w:lineRule="exact"/>
        <w:ind w:firstLine="63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组织对</w:t>
      </w:r>
      <w:r>
        <w:rPr>
          <w:rFonts w:hint="eastAsia" w:ascii="仿宋" w:hAnsi="仿宋" w:eastAsia="仿宋" w:cs="仿宋"/>
          <w:sz w:val="32"/>
          <w:szCs w:val="32"/>
          <w:lang w:eastAsia="zh-CN"/>
        </w:rPr>
        <w:t>一般公共预算</w:t>
      </w:r>
      <w:r>
        <w:rPr>
          <w:rFonts w:hint="eastAsia" w:ascii="仿宋" w:hAnsi="仿宋" w:eastAsia="仿宋" w:cs="仿宋"/>
          <w:sz w:val="32"/>
          <w:szCs w:val="32"/>
        </w:rPr>
        <w:t>项目</w:t>
      </w:r>
      <w:r>
        <w:rPr>
          <w:rFonts w:hint="eastAsia" w:ascii="仿宋" w:hAnsi="仿宋" w:eastAsia="仿宋" w:cs="仿宋"/>
          <w:sz w:val="32"/>
          <w:szCs w:val="32"/>
          <w:lang w:eastAsia="zh-CN"/>
        </w:rPr>
        <w:t>支出</w:t>
      </w:r>
      <w:r>
        <w:rPr>
          <w:rFonts w:hint="eastAsia" w:ascii="仿宋" w:hAnsi="仿宋" w:eastAsia="仿宋" w:cs="仿宋"/>
          <w:sz w:val="32"/>
          <w:szCs w:val="32"/>
        </w:rPr>
        <w:t>开展</w:t>
      </w:r>
      <w:r>
        <w:rPr>
          <w:rFonts w:hint="eastAsia" w:ascii="仿宋" w:hAnsi="仿宋" w:eastAsia="仿宋" w:cs="仿宋"/>
          <w:sz w:val="32"/>
          <w:szCs w:val="32"/>
          <w:lang w:eastAsia="zh-CN"/>
        </w:rPr>
        <w:t>绩效自评</w:t>
      </w:r>
      <w:r>
        <w:rPr>
          <w:rFonts w:hint="eastAsia" w:ascii="仿宋" w:hAnsi="仿宋" w:eastAsia="仿宋" w:cs="仿宋"/>
          <w:sz w:val="32"/>
          <w:szCs w:val="32"/>
        </w:rPr>
        <w:t>，</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7个，共涉及资金3385.56万元，占一般公共预算项目的100%，</w:t>
      </w:r>
      <w:r>
        <w:rPr>
          <w:rFonts w:hint="eastAsia" w:ascii="仿宋_GB2312" w:hAnsi="仿宋_GB2312" w:eastAsia="仿宋_GB2312" w:cs="仿宋_GB2312"/>
          <w:b w:val="0"/>
          <w:bCs w:val="0"/>
          <w:sz w:val="32"/>
          <w:szCs w:val="32"/>
          <w:lang w:val="en-US" w:eastAsia="zh-CN"/>
        </w:rPr>
        <w:t>组织对政府性基金预算项目支出开展绩效自评，项目0个，共涉及资金0万元，组织对国有资本经营预算项目支出开展绩效自评，项目0个，共涉及资金0万元，</w:t>
      </w:r>
      <w:r>
        <w:rPr>
          <w:rFonts w:hint="eastAsia" w:ascii="仿宋" w:hAnsi="仿宋" w:eastAsia="仿宋" w:cs="仿宋"/>
          <w:sz w:val="32"/>
          <w:szCs w:val="32"/>
          <w:lang w:val="en-US" w:eastAsia="zh-CN"/>
        </w:rPr>
        <w:t>本单位“政府性基金预算项目”和“国有资本经营预算项目”无项目支出，未开展项目绩效自评，无项目绩效自评结果。</w:t>
      </w:r>
      <w:r>
        <w:rPr>
          <w:rFonts w:hint="eastAsia" w:ascii="仿宋_GB2312" w:hAnsi="仿宋_GB2312" w:eastAsia="仿宋_GB2312" w:cs="仿宋_GB2312"/>
          <w:b w:val="0"/>
          <w:bCs w:val="0"/>
          <w:sz w:val="32"/>
          <w:szCs w:val="32"/>
          <w:lang w:val="en-US" w:eastAsia="zh-CN"/>
        </w:rPr>
        <w:t>从评价情况来看，项目绩效自评得分98分，评价结果等次为优秀。</w:t>
      </w:r>
    </w:p>
    <w:p>
      <w:pPr>
        <w:ind w:firstLine="317"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）部门决算中项目绩效自评结果。</w:t>
      </w:r>
    </w:p>
    <w:p>
      <w:pPr>
        <w:pStyle w:val="13"/>
        <w:keepNext w:val="0"/>
        <w:keepLines w:val="0"/>
        <w:pageBreakBefore w:val="0"/>
        <w:widowControl w:val="0"/>
        <w:kinsoku/>
        <w:wordWrap/>
        <w:overflowPunct/>
        <w:topLinePunct w:val="0"/>
        <w:bidi w:val="0"/>
        <w:snapToGrid/>
        <w:spacing w:line="600" w:lineRule="exact"/>
        <w:ind w:firstLine="634"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sz w:val="32"/>
          <w:szCs w:val="32"/>
        </w:rPr>
        <w:t>城市照明管理中心绩效评价组认为，岳阳市城区路灯和亮化设施维护项目管理和资金使用规范、遵守了相关法规政策，有效发挥了财政资金的使用效率，考评得分98分，</w:t>
      </w:r>
      <w:r>
        <w:rPr>
          <w:rFonts w:hint="eastAsia" w:ascii="仿宋_GB2312" w:hAnsi="仿宋_GB2312" w:eastAsia="仿宋_GB2312" w:cs="仿宋_GB2312"/>
          <w:b w:val="0"/>
          <w:bCs w:val="0"/>
          <w:sz w:val="32"/>
          <w:szCs w:val="32"/>
          <w:lang w:val="en-US" w:eastAsia="zh-CN"/>
        </w:rPr>
        <w:t>全年预算数为4811.71万元，执行数为4811.71万元，</w:t>
      </w:r>
      <w:r>
        <w:rPr>
          <w:rFonts w:hint="eastAsia" w:ascii="仿宋" w:hAnsi="仿宋" w:eastAsia="仿宋" w:cs="仿宋"/>
          <w:sz w:val="32"/>
          <w:szCs w:val="32"/>
        </w:rPr>
        <w:t>完成预算的100%。</w:t>
      </w:r>
      <w:r>
        <w:rPr>
          <w:rFonts w:hint="eastAsia" w:ascii="仿宋_GB2312" w:hAnsi="仿宋_GB2312" w:eastAsia="仿宋_GB2312" w:cs="仿宋_GB2312"/>
          <w:b w:val="0"/>
          <w:bCs w:val="0"/>
          <w:sz w:val="32"/>
          <w:szCs w:val="32"/>
          <w:lang w:val="en-US" w:eastAsia="zh-CN"/>
        </w:rPr>
        <w:t>项目绩效自评得分98分，评价结果等次为优秀。</w:t>
      </w:r>
    </w:p>
    <w:p>
      <w:pPr>
        <w:spacing w:line="520" w:lineRule="exact"/>
        <w:ind w:firstLine="634" w:firstLineChars="200"/>
        <w:rPr>
          <w:rFonts w:hint="eastAsia" w:ascii="仿宋" w:hAnsi="仿宋" w:eastAsia="仿宋" w:cs="仿宋"/>
          <w:sz w:val="32"/>
          <w:szCs w:val="32"/>
        </w:rPr>
      </w:pPr>
      <w:r>
        <w:rPr>
          <w:rFonts w:hint="eastAsia" w:ascii="仿宋" w:hAnsi="仿宋" w:eastAsia="仿宋" w:cs="仿宋"/>
          <w:sz w:val="32"/>
          <w:szCs w:val="32"/>
        </w:rPr>
        <w:t>根据考核评分细则，绩效评价组认为，202</w:t>
      </w:r>
      <w:r>
        <w:rPr>
          <w:rFonts w:hint="eastAsia" w:ascii="仿宋" w:hAnsi="仿宋" w:eastAsia="仿宋" w:cs="仿宋"/>
          <w:sz w:val="32"/>
          <w:szCs w:val="32"/>
          <w:lang w:val="en-US" w:eastAsia="zh-CN"/>
        </w:rPr>
        <w:t>2</w:t>
      </w:r>
      <w:r>
        <w:rPr>
          <w:rFonts w:hint="eastAsia" w:ascii="仿宋" w:hAnsi="仿宋" w:eastAsia="仿宋" w:cs="仿宋"/>
          <w:sz w:val="32"/>
          <w:szCs w:val="32"/>
        </w:rPr>
        <w:t>年路灯及公用亮化设施维护费用项目管理和资金使用规范、遵守了相关法规政策，有效发挥了财政资金的使用效率，考评等级为</w:t>
      </w:r>
      <w:r>
        <w:rPr>
          <w:rFonts w:hint="eastAsia" w:ascii="仿宋" w:hAnsi="仿宋" w:eastAsia="仿宋" w:cs="仿宋"/>
          <w:sz w:val="32"/>
          <w:szCs w:val="32"/>
          <w:lang w:eastAsia="zh-CN"/>
        </w:rPr>
        <w:t>优秀</w:t>
      </w:r>
      <w:r>
        <w:rPr>
          <w:rFonts w:hint="eastAsia" w:ascii="仿宋" w:hAnsi="仿宋" w:eastAsia="仿宋" w:cs="仿宋"/>
          <w:sz w:val="32"/>
          <w:szCs w:val="32"/>
        </w:rPr>
        <w:t>。</w:t>
      </w:r>
    </w:p>
    <w:p>
      <w:pPr>
        <w:spacing w:line="520" w:lineRule="exact"/>
        <w:ind w:firstLine="634" w:firstLineChars="200"/>
        <w:rPr>
          <w:rFonts w:hint="eastAsia" w:ascii="仿宋" w:hAnsi="仿宋" w:eastAsia="仿宋" w:cs="仿宋"/>
          <w:sz w:val="32"/>
          <w:szCs w:val="32"/>
        </w:rPr>
      </w:pPr>
      <w:r>
        <w:rPr>
          <w:rFonts w:hint="eastAsia" w:ascii="仿宋" w:hAnsi="仿宋" w:eastAsia="仿宋" w:cs="仿宋"/>
          <w:sz w:val="32"/>
          <w:szCs w:val="32"/>
        </w:rPr>
        <w:t>发现的主要问题及原因：</w:t>
      </w:r>
      <w:r>
        <w:rPr>
          <w:rFonts w:hint="eastAsia" w:ascii="仿宋" w:hAnsi="仿宋" w:eastAsia="仿宋" w:cs="仿宋"/>
          <w:sz w:val="32"/>
          <w:szCs w:val="32"/>
          <w:lang w:eastAsia="zh-CN"/>
        </w:rPr>
        <w:t>一是</w:t>
      </w:r>
      <w:r>
        <w:rPr>
          <w:rFonts w:hint="eastAsia" w:ascii="仿宋" w:hAnsi="仿宋" w:eastAsia="仿宋" w:cs="仿宋"/>
          <w:sz w:val="32"/>
          <w:szCs w:val="32"/>
        </w:rPr>
        <w:t>随着城市的发展和扩张，路灯管理的范围越来越大，路灯及公用亮化设施也越来越多，使得路灯及公用亮化维护费用增加，维护经费不足，希望财政能给予资金支持</w:t>
      </w:r>
      <w:r>
        <w:rPr>
          <w:rFonts w:hint="eastAsia" w:ascii="仿宋" w:hAnsi="仿宋" w:eastAsia="仿宋" w:cs="仿宋"/>
          <w:sz w:val="32"/>
          <w:szCs w:val="32"/>
          <w:lang w:eastAsia="zh-CN"/>
        </w:rPr>
        <w:t>；二是</w:t>
      </w:r>
      <w:r>
        <w:rPr>
          <w:rFonts w:hint="eastAsia" w:ascii="仿宋" w:hAnsi="仿宋" w:eastAsia="仿宋" w:cs="仿宋"/>
          <w:sz w:val="32"/>
          <w:szCs w:val="32"/>
        </w:rPr>
        <w:t>城区部分路灯使用年限超期、能耗高、光质差，存在安全隐患。下一步中心将对路灯和公用亮化设施有计划的进行提质改造，建设美观、节能的路灯和亮化系统，有效降低运行成本。</w:t>
      </w:r>
    </w:p>
    <w:p>
      <w:pPr>
        <w:spacing w:line="520" w:lineRule="exact"/>
        <w:jc w:val="left"/>
        <w:rPr>
          <w:rFonts w:hint="eastAsia" w:ascii="仿宋" w:hAnsi="仿宋" w:eastAsia="仿宋" w:cs="仿宋"/>
          <w:sz w:val="32"/>
          <w:szCs w:val="32"/>
        </w:rPr>
      </w:pPr>
    </w:p>
    <w:p>
      <w:pPr>
        <w:numPr>
          <w:ilvl w:val="0"/>
          <w:numId w:val="0"/>
        </w:numPr>
        <w:ind w:firstLine="634"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部门评价项目绩效评价结果。</w:t>
      </w:r>
    </w:p>
    <w:p>
      <w:pPr>
        <w:spacing w:line="520" w:lineRule="exact"/>
        <w:ind w:firstLine="57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绩效管理工作开展顺利，部门决算中项目自评结果为优秀，部门评价项目绩效结果为优秀，以部门为主体开展的重点绩效评价结果为优秀。</w:t>
      </w:r>
    </w:p>
    <w:p>
      <w:pPr>
        <w:spacing w:line="520" w:lineRule="exact"/>
        <w:ind w:firstLine="57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预算绩效管理开展情况</w:t>
      </w:r>
      <w:r>
        <w:rPr>
          <w:rFonts w:hint="eastAsia" w:ascii="仿宋" w:hAnsi="仿宋" w:eastAsia="仿宋" w:cs="仿宋"/>
          <w:sz w:val="32"/>
          <w:szCs w:val="32"/>
        </w:rPr>
        <w:t>。</w:t>
      </w:r>
      <w:r>
        <w:rPr>
          <w:rFonts w:hint="eastAsia" w:ascii="仿宋" w:hAnsi="仿宋" w:eastAsia="仿宋" w:cs="仿宋"/>
          <w:sz w:val="32"/>
          <w:szCs w:val="32"/>
          <w:lang w:val="en-US" w:eastAsia="zh-CN"/>
        </w:rPr>
        <w:t>绩效目标和绩效评价报告等一并作为附件公开。</w:t>
      </w:r>
    </w:p>
    <w:p>
      <w:pPr>
        <w:autoSpaceDE w:val="0"/>
        <w:autoSpaceDN w:val="0"/>
        <w:adjustRightInd w:val="0"/>
        <w:ind w:firstLine="634" w:firstLineChars="200"/>
        <w:rPr>
          <w:rFonts w:hint="eastAsia" w:ascii="仿宋" w:hAnsi="仿宋" w:eastAsia="仿宋" w:cs="仿宋"/>
          <w:sz w:val="32"/>
          <w:szCs w:val="24"/>
          <w:highlight w:val="white"/>
        </w:rPr>
      </w:pPr>
      <w:r>
        <w:rPr>
          <w:rFonts w:hint="eastAsia" w:ascii="仿宋" w:hAnsi="仿宋" w:eastAsia="仿宋" w:cs="仿宋"/>
          <w:sz w:val="32"/>
          <w:szCs w:val="24"/>
          <w:highlight w:val="white"/>
        </w:rPr>
        <w:t>第四部分 名词解释</w:t>
      </w:r>
    </w:p>
    <w:p>
      <w:pPr>
        <w:autoSpaceDE w:val="0"/>
        <w:autoSpaceDN w:val="0"/>
        <w:adjustRightInd w:val="0"/>
        <w:ind w:firstLine="634" w:firstLineChars="20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财政拨款收入：指本级财政当年拨付的资金。</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其他收入：指除上述“财政拨款收入”、“上级补助收入”、“事业收入”、“经营收入”、“附属单位上缴收入”等以外的收入。</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结余分配：指事业单位按规定对非财政补助结余资金提取的职工福利基金、事业基金和缴纳的所得税，以及减少单位按规定应缴回的基本建设竣工项目结余资金。</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城乡社区支出（类）：是指用于城乡社区事务支出，包括保障机构正常运转、完成日常和特定的工作任务或事业发展目标的支出。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基本支出：指保障机构正常运转、完成支日常工作任务而发生的人员支出和公用支出。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工资福利支出：反映单位开支的在职职工和编制外长期聘用人员的各类劳动报酬，以及为上述人员缴纳的各项社会保险费等。</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绩效工资：反映事业单位工作人员的绩效工资。</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机关事业单位基本养老保险缴费：反映机关事业单位缴纳的基本养老保险费。由单位代扣的工作人员基本养老保险缴费，不在此科目反映。</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职业年金缴费：反映机关事业单位实际缴纳的职业年金支出。由单位代扣的工作人员职业年金缴费，不在此科目反映。</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职工基本医疗保险缴费：反映单位为职工缴纳的基本医疗保险费。</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其他社会保障缴费：反映单位为职工缴纳的基本医疗、失业、工伤、生育等社会保险费，残疾人就业保障金，军队（含武警）为军人缴纳的伤亡、退役医疗等社会保险费。</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住房公积金：反映行政事业单位按人力资源和社会保障部、财政部规定的基本工资和津贴补贴以及规定比例为职工缴纳的住房公积金。</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商品和服务支出：反映单位购买商品和服务的支出（不包括用于购置固定资产的支出、战略性和应急储备支出）。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办公费：反映单位购买按财务会计制度规定不符合固定资产确认标准的日常办公用品、书报杂志等支出。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咨询费：反映单位咨询方面的支出。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水费：反映单位支付的水费、污水处理费等支出。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电费：反映单位的电费支出。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邮电费：反映单位开支的信函、包裹、货物等物品的邮寄费及电话费、电报费、传真费、网络通讯费等。</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差旅费：反映单位工作人员出差发生的城市间交通费、住宿费、伙食补贴费和市内交通费。</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培训费：反映除因公出国（境）培训费以外的各类培训支出。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公务接待费：反映单位按规定开支的各类公务接待（含外宾接待）费用。</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工会经费：反映单位按规定提取的工会经费。</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其他交通费用：反映单位除公务用车运行维护费以外的其他交通费用。如公务交通补贴，租车费用、出租车费用，飞机、船舶等的燃料费、维修费、保险费等。</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税金及附加费用：反映单位提供劳务或销售产品应负担的税金及附加费用，包括营业税、消费税、城市维护建设税、资源税和教育附加等。</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其他商品和服务支出：反映上述科目未包括的日常公用支出。如行政赔偿费和诉讼费、国内组织的会员费、来访费、广告宣传、其他劳务费及离休人员特需费、公用经费等。</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对个人和家庭的补助：反映政府用于对个人和家庭的补助支出。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抚恤金：反映按规定开支的烈士遗属、牺牲病故人员遗属的一次性和定期抚恤金，伤残人员的抚恤金，离退休人员等其他人员的各项抚恤金。</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办公设备购置：反映用于购置并按财务会计制度规定纳入固定资产核算范围的办公家具和办公设备的支出，以及按规定提取的修购基金。</w:t>
      </w:r>
    </w:p>
    <w:p>
      <w:pPr>
        <w:autoSpaceDE w:val="0"/>
        <w:autoSpaceDN w:val="0"/>
        <w:adjustRightInd w:val="0"/>
        <w:ind w:firstLine="640"/>
        <w:rPr>
          <w:rFonts w:hint="eastAsia" w:ascii="仿宋" w:hAnsi="仿宋" w:eastAsia="仿宋" w:cs="仿宋"/>
          <w:color w:val="000000"/>
          <w:kern w:val="0"/>
          <w:sz w:val="32"/>
          <w:szCs w:val="24"/>
          <w:highlight w:val="white"/>
        </w:rPr>
      </w:pPr>
      <w:r>
        <w:rPr>
          <w:rFonts w:hint="eastAsia" w:ascii="仿宋" w:hAnsi="仿宋" w:eastAsia="仿宋" w:cs="仿宋"/>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autoSpaceDE w:val="0"/>
        <w:autoSpaceDN w:val="0"/>
        <w:adjustRightInd w:val="0"/>
        <w:rPr>
          <w:rFonts w:hint="eastAsia" w:ascii="黑体" w:hAnsi="Times New Roman" w:eastAsia="黑体"/>
          <w:sz w:val="32"/>
          <w:szCs w:val="24"/>
          <w:highlight w:val="white"/>
        </w:rPr>
      </w:pPr>
    </w:p>
    <w:p>
      <w:pPr>
        <w:autoSpaceDE w:val="0"/>
        <w:autoSpaceDN w:val="0"/>
        <w:adjustRightInd w:val="0"/>
        <w:ind w:firstLine="317" w:firstLineChars="100"/>
        <w:rPr>
          <w:rFonts w:hint="default" w:ascii="Times New Roman" w:hAnsi="Times New Roman" w:eastAsia="黑体"/>
          <w:sz w:val="32"/>
          <w:szCs w:val="24"/>
          <w:highlight w:val="white"/>
        </w:rPr>
      </w:pPr>
      <w:r>
        <w:rPr>
          <w:rFonts w:hint="eastAsia" w:ascii="黑体" w:hAnsi="Times New Roman" w:eastAsia="黑体"/>
          <w:sz w:val="32"/>
          <w:szCs w:val="24"/>
          <w:highlight w:val="white"/>
        </w:rPr>
        <w:t>第五部分 附件</w:t>
      </w:r>
    </w:p>
    <w:p>
      <w:pPr>
        <w:jc w:val="left"/>
        <w:rPr>
          <w:rFonts w:hint="eastAsia" w:ascii="宋体" w:hAnsi="宋体" w:eastAsia="宋体" w:cs="黑体"/>
          <w:b/>
          <w:color w:val="000000"/>
          <w:kern w:val="0"/>
          <w:sz w:val="32"/>
          <w:szCs w:val="32"/>
          <w:lang w:val="en-US" w:eastAsia="zh-CN"/>
        </w:rPr>
      </w:pPr>
      <w:r>
        <w:rPr>
          <w:rFonts w:hint="eastAsia" w:ascii="宋体" w:hAnsi="宋体" w:cs="黑体"/>
          <w:b/>
          <w:color w:val="000000"/>
          <w:kern w:val="0"/>
          <w:sz w:val="32"/>
          <w:szCs w:val="32"/>
          <w:lang w:val="en-US" w:eastAsia="zh-CN"/>
        </w:rPr>
        <w:t>1、2022年部门决算公开表格</w:t>
      </w:r>
    </w:p>
    <w:p>
      <w:pPr>
        <w:jc w:val="left"/>
        <w:rPr>
          <w:rFonts w:hint="eastAsia" w:ascii="宋体" w:hAnsi="宋体" w:cs="黑体"/>
          <w:b/>
          <w:color w:val="000000"/>
          <w:kern w:val="0"/>
          <w:sz w:val="32"/>
          <w:szCs w:val="32"/>
        </w:rPr>
      </w:pPr>
      <w:r>
        <w:rPr>
          <w:rFonts w:hint="eastAsia" w:ascii="宋体" w:hAnsi="宋体" w:cs="黑体"/>
          <w:b/>
          <w:color w:val="000000"/>
          <w:kern w:val="0"/>
          <w:sz w:val="32"/>
          <w:szCs w:val="32"/>
          <w:lang w:val="en-US" w:eastAsia="zh-CN"/>
        </w:rPr>
        <w:t>2、</w:t>
      </w:r>
      <w:r>
        <w:rPr>
          <w:rFonts w:hint="eastAsia" w:ascii="宋体" w:hAnsi="宋体" w:cs="黑体"/>
          <w:b/>
          <w:color w:val="000000"/>
          <w:kern w:val="0"/>
          <w:sz w:val="32"/>
          <w:szCs w:val="32"/>
        </w:rPr>
        <w:t>202</w:t>
      </w:r>
      <w:r>
        <w:rPr>
          <w:rFonts w:hint="eastAsia" w:ascii="宋体" w:hAnsi="宋体" w:cs="黑体"/>
          <w:b/>
          <w:color w:val="000000"/>
          <w:kern w:val="0"/>
          <w:sz w:val="32"/>
          <w:szCs w:val="32"/>
          <w:lang w:val="en-US" w:eastAsia="zh-CN"/>
        </w:rPr>
        <w:t>2</w:t>
      </w:r>
      <w:r>
        <w:rPr>
          <w:rFonts w:hint="eastAsia" w:ascii="宋体" w:hAnsi="宋体" w:cs="黑体"/>
          <w:b/>
          <w:color w:val="000000"/>
          <w:kern w:val="0"/>
          <w:sz w:val="32"/>
          <w:szCs w:val="32"/>
        </w:rPr>
        <w:t>年度部门整体支出绩效评价报告</w:t>
      </w:r>
    </w:p>
    <w:p>
      <w:pPr>
        <w:spacing w:line="800" w:lineRule="exact"/>
        <w:jc w:val="center"/>
        <w:rPr>
          <w:rFonts w:hint="eastAsia" w:eastAsia="方正小标宋简体"/>
          <w:sz w:val="46"/>
          <w:szCs w:val="24"/>
        </w:rPr>
      </w:pPr>
    </w:p>
    <w:p>
      <w:pPr>
        <w:spacing w:line="800" w:lineRule="exact"/>
        <w:jc w:val="center"/>
        <w:rPr>
          <w:rFonts w:hint="eastAsia" w:eastAsia="方正小标宋简体"/>
          <w:sz w:val="46"/>
          <w:szCs w:val="24"/>
        </w:rPr>
      </w:pPr>
    </w:p>
    <w:p>
      <w:pPr>
        <w:spacing w:line="800" w:lineRule="exact"/>
        <w:jc w:val="center"/>
        <w:rPr>
          <w:rFonts w:hint="eastAsia" w:eastAsia="方正小标宋简体"/>
          <w:sz w:val="46"/>
          <w:szCs w:val="24"/>
        </w:rPr>
      </w:pPr>
    </w:p>
    <w:p>
      <w:pPr>
        <w:spacing w:line="800" w:lineRule="exact"/>
        <w:jc w:val="center"/>
        <w:rPr>
          <w:rFonts w:hint="eastAsia" w:eastAsia="方正小标宋简体"/>
          <w:sz w:val="46"/>
          <w:szCs w:val="24"/>
        </w:rPr>
      </w:pPr>
    </w:p>
    <w:p>
      <w:pPr>
        <w:spacing w:line="800" w:lineRule="exact"/>
        <w:ind w:firstLine="2742" w:firstLineChars="600"/>
        <w:jc w:val="both"/>
        <w:rPr>
          <w:rFonts w:hint="eastAsia" w:eastAsia="仿宋_GB2312"/>
          <w:b/>
          <w:sz w:val="32"/>
          <w:szCs w:val="24"/>
        </w:rPr>
      </w:pPr>
      <w:r>
        <w:rPr>
          <w:rFonts w:hint="eastAsia" w:eastAsia="方正小标宋简体"/>
          <w:sz w:val="46"/>
          <w:szCs w:val="24"/>
        </w:rPr>
        <w:t>绩效评价自评报告</w:t>
      </w:r>
    </w:p>
    <w:p>
      <w:pPr>
        <w:rPr>
          <w:rFonts w:hint="eastAsia" w:eastAsia="仿宋_GB2312"/>
          <w:b/>
          <w:sz w:val="32"/>
          <w:szCs w:val="24"/>
        </w:rPr>
      </w:pPr>
    </w:p>
    <w:p>
      <w:pPr>
        <w:rPr>
          <w:rFonts w:hint="eastAsia" w:eastAsia="仿宋_GB2312"/>
          <w:b/>
          <w:sz w:val="32"/>
          <w:szCs w:val="24"/>
        </w:rPr>
      </w:pPr>
    </w:p>
    <w:p>
      <w:pPr>
        <w:spacing w:before="301" w:beforeLines="50" w:line="348" w:lineRule="auto"/>
        <w:ind w:firstLine="476" w:firstLineChars="150"/>
        <w:rPr>
          <w:rFonts w:hint="eastAsia" w:eastAsia="仿宋_GB2312"/>
          <w:sz w:val="32"/>
          <w:szCs w:val="24"/>
          <w:u w:val="single"/>
        </w:rPr>
      </w:pPr>
      <w:r>
        <w:rPr>
          <w:rFonts w:hint="eastAsia" w:eastAsia="仿宋_GB2312"/>
          <w:sz w:val="32"/>
          <w:szCs w:val="24"/>
        </w:rPr>
        <w:t>部门(单位)名称：</w:t>
      </w:r>
      <w:r>
        <w:rPr>
          <w:rFonts w:hint="eastAsia" w:eastAsia="仿宋_GB2312"/>
          <w:sz w:val="32"/>
          <w:szCs w:val="24"/>
          <w:u w:val="single"/>
        </w:rPr>
        <w:t xml:space="preserve">   岳阳市城市照明管理中心    </w:t>
      </w:r>
      <w:r>
        <w:rPr>
          <w:rFonts w:hint="eastAsia" w:eastAsia="仿宋_GB2312"/>
          <w:sz w:val="32"/>
          <w:szCs w:val="24"/>
          <w:u w:val="single" w:color="FFFFFF"/>
        </w:rPr>
        <w:t xml:space="preserve">        </w:t>
      </w:r>
      <w:r>
        <w:rPr>
          <w:rFonts w:hint="eastAsia" w:eastAsia="仿宋_GB2312"/>
          <w:sz w:val="32"/>
          <w:szCs w:val="24"/>
          <w:u w:val="single"/>
        </w:rPr>
        <w:t xml:space="preserve">          </w:t>
      </w:r>
    </w:p>
    <w:p>
      <w:pPr>
        <w:spacing w:before="301" w:beforeLines="50" w:line="348" w:lineRule="auto"/>
        <w:ind w:firstLine="476" w:firstLineChars="150"/>
        <w:rPr>
          <w:rFonts w:hint="eastAsia" w:eastAsia="仿宋_GB2312"/>
          <w:spacing w:val="20"/>
          <w:sz w:val="32"/>
          <w:szCs w:val="24"/>
        </w:rPr>
      </w:pPr>
      <w:r>
        <w:rPr>
          <w:rFonts w:hint="eastAsia" w:eastAsia="仿宋_GB2312"/>
          <w:sz w:val="32"/>
          <w:szCs w:val="24"/>
        </w:rPr>
        <w:t>预</w:t>
      </w:r>
      <w:r>
        <w:rPr>
          <w:rFonts w:hint="eastAsia" w:eastAsia="仿宋_GB2312"/>
          <w:spacing w:val="30"/>
          <w:sz w:val="32"/>
          <w:szCs w:val="24"/>
        </w:rPr>
        <w:t xml:space="preserve"> 算 编 码：</w:t>
      </w:r>
      <w:r>
        <w:rPr>
          <w:rFonts w:hint="eastAsia" w:eastAsia="仿宋_GB2312"/>
          <w:spacing w:val="20"/>
          <w:sz w:val="32"/>
          <w:szCs w:val="24"/>
          <w:u w:val="single"/>
        </w:rPr>
        <w:t xml:space="preserve">        604004          </w:t>
      </w:r>
    </w:p>
    <w:p>
      <w:pPr>
        <w:spacing w:before="301" w:beforeLines="50" w:line="348" w:lineRule="auto"/>
        <w:ind w:firstLine="476" w:firstLineChars="150"/>
        <w:rPr>
          <w:rFonts w:hint="eastAsia" w:eastAsia="仿宋_GB2312"/>
          <w:sz w:val="32"/>
          <w:szCs w:val="24"/>
        </w:rPr>
      </w:pPr>
      <w:r>
        <w:rPr>
          <w:rFonts w:hint="eastAsia" w:eastAsia="仿宋_GB2312"/>
          <w:sz w:val="32"/>
          <w:szCs w:val="24"/>
        </w:rPr>
        <w:t>评价方式：单位绩效自评</w:t>
      </w:r>
    </w:p>
    <w:p>
      <w:pPr>
        <w:spacing w:before="301" w:beforeLines="50" w:line="348" w:lineRule="auto"/>
        <w:ind w:firstLine="476" w:firstLineChars="150"/>
        <w:rPr>
          <w:rFonts w:hint="eastAsia" w:eastAsia="仿宋_GB2312"/>
          <w:sz w:val="32"/>
          <w:szCs w:val="24"/>
        </w:rPr>
      </w:pPr>
      <w:r>
        <w:rPr>
          <w:rFonts w:hint="eastAsia" w:eastAsia="仿宋_GB2312"/>
          <w:sz w:val="32"/>
          <w:szCs w:val="24"/>
        </w:rPr>
        <w:t xml:space="preserve">评价机构：单位评价组   </w:t>
      </w:r>
    </w:p>
    <w:p>
      <w:pPr>
        <w:spacing w:line="720" w:lineRule="exact"/>
        <w:ind w:firstLine="2188" w:firstLineChars="690"/>
        <w:rPr>
          <w:rFonts w:hint="eastAsia" w:eastAsia="仿宋_GB2312"/>
          <w:sz w:val="32"/>
          <w:szCs w:val="24"/>
        </w:rPr>
      </w:pPr>
    </w:p>
    <w:p>
      <w:pPr>
        <w:spacing w:line="720" w:lineRule="exact"/>
        <w:ind w:firstLine="2188" w:firstLineChars="690"/>
        <w:rPr>
          <w:rFonts w:hint="eastAsia" w:eastAsia="仿宋_GB2312"/>
          <w:sz w:val="32"/>
          <w:szCs w:val="24"/>
        </w:rPr>
      </w:pPr>
    </w:p>
    <w:p>
      <w:pPr>
        <w:spacing w:line="720" w:lineRule="exact"/>
        <w:ind w:firstLine="2188" w:firstLineChars="690"/>
        <w:rPr>
          <w:rFonts w:hint="eastAsia" w:eastAsia="仿宋_GB2312"/>
          <w:sz w:val="32"/>
          <w:szCs w:val="24"/>
        </w:rPr>
      </w:pPr>
    </w:p>
    <w:p>
      <w:pPr>
        <w:spacing w:line="348" w:lineRule="auto"/>
        <w:jc w:val="center"/>
        <w:rPr>
          <w:rFonts w:hint="eastAsia" w:eastAsia="仿宋_GB2312"/>
          <w:sz w:val="32"/>
          <w:szCs w:val="24"/>
        </w:rPr>
      </w:pPr>
      <w:r>
        <w:rPr>
          <w:rFonts w:hint="eastAsia" w:eastAsia="仿宋_GB2312"/>
          <w:sz w:val="32"/>
          <w:szCs w:val="24"/>
        </w:rPr>
        <w:t>报告日期：2022年</w:t>
      </w:r>
      <w:r>
        <w:rPr>
          <w:rFonts w:hint="eastAsia" w:eastAsia="仿宋_GB2312"/>
          <w:sz w:val="32"/>
          <w:szCs w:val="24"/>
          <w:lang w:val="en-US" w:eastAsia="zh-CN"/>
        </w:rPr>
        <w:t>10</w:t>
      </w:r>
      <w:r>
        <w:rPr>
          <w:rFonts w:hint="eastAsia" w:eastAsia="仿宋_GB2312"/>
          <w:sz w:val="32"/>
          <w:szCs w:val="24"/>
        </w:rPr>
        <w:t xml:space="preserve"> 月 </w:t>
      </w:r>
      <w:r>
        <w:rPr>
          <w:rFonts w:hint="eastAsia" w:eastAsia="仿宋_GB2312"/>
          <w:sz w:val="32"/>
          <w:szCs w:val="24"/>
          <w:lang w:val="en-US" w:eastAsia="zh-CN"/>
        </w:rPr>
        <w:t>17</w:t>
      </w:r>
      <w:r>
        <w:rPr>
          <w:rFonts w:hint="eastAsia" w:eastAsia="仿宋_GB2312"/>
          <w:sz w:val="32"/>
          <w:szCs w:val="24"/>
        </w:rPr>
        <w:t>日</w:t>
      </w:r>
    </w:p>
    <w:p>
      <w:pPr>
        <w:autoSpaceDN w:val="0"/>
        <w:jc w:val="center"/>
        <w:textAlignment w:val="center"/>
        <w:rPr>
          <w:rFonts w:hint="eastAsia" w:eastAsia="仿宋_GB2312"/>
          <w:sz w:val="32"/>
          <w:szCs w:val="24"/>
        </w:rPr>
        <w:sectPr>
          <w:footerReference r:id="rId3" w:type="default"/>
          <w:pgSz w:w="11906" w:h="16838"/>
          <w:pgMar w:top="1588" w:right="1588" w:bottom="1588" w:left="1588" w:header="851" w:footer="992" w:gutter="0"/>
          <w:lnNumType w:countBy="0" w:distance="360"/>
          <w:pgNumType w:start="1"/>
          <w:cols w:space="720" w:num="1"/>
          <w:docGrid w:type="linesAndChars" w:linePitch="602" w:charSpace="-782"/>
        </w:sectPr>
      </w:pPr>
      <w:r>
        <w:rPr>
          <w:rFonts w:hint="eastAsia" w:eastAsia="仿宋_GB2312"/>
          <w:sz w:val="32"/>
          <w:szCs w:val="24"/>
        </w:rPr>
        <w:t>岳阳市财政局（制）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118"/>
        <w:gridCol w:w="1027"/>
        <w:gridCol w:w="71"/>
        <w:gridCol w:w="1134"/>
        <w:gridCol w:w="1491"/>
        <w:gridCol w:w="89"/>
        <w:gridCol w:w="121"/>
        <w:gridCol w:w="1290"/>
        <w:gridCol w:w="389"/>
        <w:gridCol w:w="139"/>
        <w:gridCol w:w="417"/>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黑体" w:hAnsi="黑体" w:eastAsia="黑体"/>
                <w:color w:val="000000"/>
                <w:sz w:val="28"/>
                <w:szCs w:val="24"/>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联系人</w:t>
            </w:r>
          </w:p>
        </w:tc>
        <w:tc>
          <w:tcPr>
            <w:tcW w:w="36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姜  华</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联络电话</w:t>
            </w: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8222406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人员编制</w:t>
            </w:r>
          </w:p>
        </w:tc>
        <w:tc>
          <w:tcPr>
            <w:tcW w:w="36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56</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实有人数</w:t>
            </w: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职能职责概述</w:t>
            </w:r>
          </w:p>
        </w:tc>
        <w:tc>
          <w:tcPr>
            <w:tcW w:w="854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8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（一）负责城区道路照明及亮化设施、设备的日常维护、管理与安全稽查工作; </w:t>
            </w:r>
          </w:p>
          <w:p>
            <w:pPr>
              <w:autoSpaceDN w:val="0"/>
              <w:spacing w:line="48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（二）负责城区道路照明工程的新建、改建任务;</w:t>
            </w:r>
          </w:p>
          <w:p>
            <w:pPr>
              <w:autoSpaceDN w:val="0"/>
              <w:spacing w:line="48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（三）参与城区道路照明亮化工程及新、改建工程的材料采购和验收工作;</w:t>
            </w:r>
          </w:p>
          <w:p>
            <w:pPr>
              <w:autoSpaceDN w:val="0"/>
              <w:spacing w:line="48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（四）负责制订城区道路照明及亮化方案;</w:t>
            </w:r>
          </w:p>
          <w:p>
            <w:pPr>
              <w:autoSpaceDN w:val="0"/>
              <w:spacing w:line="48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（五）完成上级交办的其它工作。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4"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年度主要</w:t>
            </w:r>
          </w:p>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sz w:val="24"/>
                <w:szCs w:val="24"/>
              </w:rPr>
              <w:t>工作内容</w:t>
            </w:r>
          </w:p>
        </w:tc>
        <w:tc>
          <w:tcPr>
            <w:tcW w:w="854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8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（一）凝心聚力夯基础，全力保障灯明景亮。一是日夜坚守，强化维护力度;二是聚焦民生，实化补亮行动。</w:t>
            </w:r>
          </w:p>
          <w:p>
            <w:pPr>
              <w:spacing w:line="48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（二）精益求精重品质，匠心打造优质工程。一是重大节日氛围营造；二是启动沿江环湖亮化工程；三是亮化项目规范化管理；四是助力城区提质改造。</w:t>
            </w:r>
          </w:p>
          <w:p>
            <w:pPr>
              <w:spacing w:line="48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（三）防微杜渐抓细节，全面落实安全生产。一是开展安全生产排查；二是组织安全生产培训；三是及时处置事故隐患。</w:t>
            </w:r>
          </w:p>
          <w:p>
            <w:pPr>
              <w:spacing w:line="48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（四）以人为本促发展，完善基础设施建设。一是修缮单位办公大楼；二是建设党建、职工之家等活动场所。</w:t>
            </w:r>
          </w:p>
          <w:p>
            <w:pPr>
              <w:spacing w:line="48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（五）加强组织建设，助推单位跨越发展。一是开展党史教育铸牢思想根基；二是以学促干确保学习成效；三是</w:t>
            </w:r>
            <w:r>
              <w:rPr>
                <w:rFonts w:hint="eastAsia" w:ascii="仿宋_GB2312" w:hAnsi="仿宋_GB2312" w:eastAsia="仿宋_GB2312"/>
                <w:kern w:val="0"/>
                <w:sz w:val="24"/>
                <w:szCs w:val="24"/>
              </w:rPr>
              <w:t>打牢基础强化群团建设。</w:t>
            </w:r>
          </w:p>
          <w:p>
            <w:pPr>
              <w:pStyle w:val="6"/>
              <w:spacing w:before="156" w:beforeLines="50" w:beforeAutospacing="0" w:after="0" w:afterAutospacing="0" w:line="480" w:lineRule="exact"/>
              <w:ind w:firstLine="480" w:firstLineChars="200"/>
              <w:rPr>
                <w:rFonts w:hint="eastAsia" w:ascii="仿宋_GB2312" w:hAnsi="华文楷体" w:eastAsia="仿宋_GB2312"/>
                <w:kern w:val="2"/>
                <w:sz w:val="24"/>
                <w:szCs w:val="24"/>
              </w:rPr>
            </w:pPr>
            <w:r>
              <w:rPr>
                <w:rFonts w:hint="eastAsia" w:ascii="仿宋_GB2312" w:hAnsi="仿宋_GB2312" w:eastAsia="仿宋_GB2312"/>
                <w:sz w:val="24"/>
                <w:szCs w:val="24"/>
              </w:rPr>
              <w:t>（六）搞好常态化疫情防控，以及</w:t>
            </w:r>
            <w:r>
              <w:rPr>
                <w:rFonts w:hint="eastAsia" w:ascii="仿宋_GB2312" w:hAnsi="仿宋_GB2312" w:eastAsia="仿宋_GB2312"/>
                <w:kern w:val="2"/>
                <w:sz w:val="24"/>
                <w:szCs w:val="24"/>
              </w:rPr>
              <w:t>完成其他重点工作。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9"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pacing w:val="-6"/>
                <w:sz w:val="24"/>
                <w:szCs w:val="24"/>
              </w:rPr>
            </w:pPr>
            <w:r>
              <w:rPr>
                <w:rFonts w:hint="eastAsia" w:ascii="仿宋_GB2312" w:hAnsi="仿宋_GB2312" w:eastAsia="仿宋_GB2312"/>
                <w:spacing w:val="-6"/>
                <w:sz w:val="24"/>
                <w:szCs w:val="24"/>
              </w:rPr>
              <w:t>年度部门（单位）总体运行情况及取得的成绩</w:t>
            </w:r>
          </w:p>
        </w:tc>
        <w:tc>
          <w:tcPr>
            <w:tcW w:w="854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52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202</w:t>
            </w: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rPr>
              <w:t>年，在市城管局党组的正确领导下，</w:t>
            </w:r>
            <w:r>
              <w:rPr>
                <w:rFonts w:hint="eastAsia" w:ascii="仿宋_GB2312" w:hAnsi="仿宋_GB2312" w:eastAsia="仿宋_GB2312"/>
                <w:color w:val="000000"/>
                <w:sz w:val="24"/>
                <w:szCs w:val="24"/>
              </w:rPr>
              <w:t>围绕“建设、管理、服务”三大任务，集聚奋斗动力，坚定奋斗信念，加强单位全面建设，狠抓城市路灯及景观亮化管理</w:t>
            </w:r>
            <w:r>
              <w:rPr>
                <w:rFonts w:hint="eastAsia" w:ascii="仿宋_GB2312" w:hAnsi="仿宋_GB2312" w:eastAsia="仿宋_GB2312"/>
                <w:sz w:val="24"/>
                <w:szCs w:val="24"/>
              </w:rPr>
              <w:t xml:space="preserve">，着力提升路灯及亮化管养水平，确保了日常亮灯率达到96%，重大活动、重要节假日期间主次干道亮灯率达到99%，小街巷亮灯率达到95%以上。     </w:t>
            </w:r>
          </w:p>
          <w:p>
            <w:pPr>
              <w:spacing w:line="52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在</w:t>
            </w:r>
            <w:r>
              <w:rPr>
                <w:rFonts w:hint="eastAsia" w:ascii="仿宋_GB2312" w:hAnsi="仿宋_GB2312" w:eastAsia="仿宋_GB2312"/>
                <w:color w:val="333333"/>
                <w:sz w:val="24"/>
                <w:szCs w:val="24"/>
              </w:rPr>
              <w:t>重大节日氛围营造与景观提质改造方面，</w:t>
            </w:r>
            <w:r>
              <w:rPr>
                <w:rFonts w:hint="eastAsia" w:ascii="仿宋_GB2312" w:hAnsi="仿宋_GB2312" w:eastAsia="仿宋_GB2312"/>
                <w:sz w:val="24"/>
                <w:szCs w:val="24"/>
              </w:rPr>
              <w:t>全力打造景观亮点，营造了靓丽喜庆的节日氛围，为我市增添了祥和欢乐、奋发向上的浓厚年味。为提升我市沿江环湖生态旅游廊道形象，对洞庭湖大桥及东西两岸37栋楼宇（简称“一桥两岸”）景观照明进行了提质改造。另外，对德龙财富中心、景源商务中心、康特大厦等23栋楼宇进行了亮化大修，为配合城区道路提质改造、雨污分流改造、交通微循环整治及其它政府重点工程建设，先后拆除路灯184基、更换变压器2台、拆除变压器1台、新立配电箱2个，以及相应的高压电缆、管线等设施设备进行了更换，助推各项工程如期完成。</w:t>
            </w:r>
          </w:p>
          <w:p>
            <w:pPr>
              <w:spacing w:line="520" w:lineRule="exact"/>
              <w:rPr>
                <w:rFonts w:hint="eastAsia" w:ascii="仿宋_GB2312" w:eastAsia="仿宋_GB2312"/>
                <w:sz w:val="24"/>
                <w:szCs w:val="24"/>
              </w:rPr>
            </w:pPr>
            <w:r>
              <w:rPr>
                <w:rFonts w:hint="eastAsia" w:ascii="仿宋_GB2312" w:hAnsi="仿宋_GB2312" w:eastAsia="仿宋_GB2312"/>
                <w:sz w:val="24"/>
                <w:szCs w:val="24"/>
              </w:rPr>
              <w:t xml:space="preserve">    高标准完成业务工作的同时，在疫情防控、安全生产、组织建设等方面工作也取得了新的成绩，得到了上级部门的肯定。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黑体" w:hAnsi="黑体" w:eastAsia="黑体"/>
                <w:color w:val="000000"/>
                <w:sz w:val="28"/>
                <w:szCs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b/>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机构名称</w:t>
            </w:r>
          </w:p>
        </w:tc>
        <w:tc>
          <w:tcPr>
            <w:tcW w:w="1408" w:type="dxa"/>
            <w:gridSpan w:val="2"/>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收入合计</w:t>
            </w:r>
          </w:p>
        </w:tc>
        <w:tc>
          <w:tcPr>
            <w:tcW w:w="7088" w:type="dxa"/>
            <w:gridSpan w:val="11"/>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408" w:type="dxa"/>
            <w:gridSpan w:val="2"/>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上年结转</w:t>
            </w: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公共财</w:t>
            </w:r>
          </w:p>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政拨款</w:t>
            </w:r>
          </w:p>
        </w:tc>
        <w:tc>
          <w:tcPr>
            <w:tcW w:w="1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纳入专户管理的非税收入拨款</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其他</w:t>
            </w:r>
          </w:p>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局机关及二级机构汇总</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8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r>
              <w:rPr>
                <w:rFonts w:hint="eastAsia" w:ascii="仿宋_GB2312" w:hAnsi="仿宋_GB2312" w:eastAsia="仿宋_GB2312"/>
                <w:sz w:val="24"/>
                <w:szCs w:val="24"/>
              </w:rPr>
              <w:t>1、局机关</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8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r>
              <w:rPr>
                <w:rFonts w:hint="eastAsia" w:ascii="仿宋_GB2312" w:hAnsi="仿宋_GB2312" w:eastAsia="仿宋_GB2312"/>
                <w:sz w:val="24"/>
                <w:szCs w:val="24"/>
              </w:rPr>
              <w:t>2、二级机构1</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4811.71</w:t>
            </w: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0.00</w:t>
            </w: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4811.71</w:t>
            </w:r>
          </w:p>
        </w:tc>
        <w:tc>
          <w:tcPr>
            <w:tcW w:w="1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0.00</w:t>
            </w:r>
          </w:p>
        </w:tc>
        <w:tc>
          <w:tcPr>
            <w:tcW w:w="18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0.00</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r>
              <w:rPr>
                <w:rFonts w:hint="eastAsia" w:ascii="仿宋_GB2312" w:hAnsi="仿宋_GB2312" w:eastAsia="仿宋_GB2312"/>
                <w:sz w:val="24"/>
                <w:szCs w:val="24"/>
              </w:rPr>
              <w:t>3、二级机构2</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18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b/>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napToGrid w:val="0"/>
              <w:spacing w:line="32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机构名称</w:t>
            </w:r>
          </w:p>
        </w:tc>
        <w:tc>
          <w:tcPr>
            <w:tcW w:w="1408" w:type="dxa"/>
            <w:gridSpan w:val="2"/>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支出合计</w:t>
            </w:r>
          </w:p>
        </w:tc>
        <w:tc>
          <w:tcPr>
            <w:tcW w:w="5223" w:type="dxa"/>
            <w:gridSpan w:val="7"/>
            <w:tcBorders>
              <w:top w:val="single" w:color="000000" w:sz="4" w:space="0"/>
              <w:left w:val="single" w:color="auto" w:sz="4" w:space="0"/>
              <w:bottom w:val="single" w:color="auto"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其中：</w:t>
            </w:r>
          </w:p>
        </w:tc>
        <w:tc>
          <w:tcPr>
            <w:tcW w:w="1865" w:type="dxa"/>
            <w:gridSpan w:val="4"/>
            <w:tcBorders>
              <w:top w:val="single" w:color="000000" w:sz="4" w:space="0"/>
              <w:left w:val="single" w:color="auto" w:sz="4" w:space="0"/>
              <w:bottom w:val="single" w:color="auto"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center"/>
              <w:rPr>
                <w:rFonts w:hint="eastAsia" w:ascii="仿宋_GB2312" w:hAnsi="仿宋_GB2312" w:eastAsia="仿宋_GB2312"/>
                <w:sz w:val="24"/>
                <w:szCs w:val="24"/>
              </w:rPr>
            </w:pPr>
          </w:p>
        </w:tc>
        <w:tc>
          <w:tcPr>
            <w:tcW w:w="1408" w:type="dxa"/>
            <w:gridSpan w:val="2"/>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vMerge w:val="restart"/>
            <w:tcBorders>
              <w:top w:val="single" w:color="auto"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基本支出</w:t>
            </w:r>
          </w:p>
        </w:tc>
        <w:tc>
          <w:tcPr>
            <w:tcW w:w="2906" w:type="dxa"/>
            <w:gridSpan w:val="5"/>
            <w:tcBorders>
              <w:top w:val="single" w:color="auto"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其中：</w:t>
            </w:r>
          </w:p>
        </w:tc>
        <w:tc>
          <w:tcPr>
            <w:tcW w:w="1290"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项目支出</w:t>
            </w:r>
          </w:p>
        </w:tc>
        <w:tc>
          <w:tcPr>
            <w:tcW w:w="945" w:type="dxa"/>
            <w:gridSpan w:val="3"/>
            <w:tcBorders>
              <w:top w:val="single" w:color="auto" w:sz="4" w:space="0"/>
              <w:left w:val="single" w:color="auto"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当年结余</w:t>
            </w:r>
          </w:p>
        </w:tc>
        <w:tc>
          <w:tcPr>
            <w:tcW w:w="92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center"/>
              <w:rPr>
                <w:rFonts w:hint="eastAsia" w:ascii="仿宋_GB2312" w:hAnsi="仿宋_GB2312" w:eastAsia="仿宋_GB2312"/>
                <w:sz w:val="24"/>
                <w:szCs w:val="24"/>
              </w:rPr>
            </w:pPr>
          </w:p>
        </w:tc>
        <w:tc>
          <w:tcPr>
            <w:tcW w:w="1408" w:type="dxa"/>
            <w:gridSpan w:val="2"/>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人员支出</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公用支出</w:t>
            </w:r>
          </w:p>
        </w:tc>
        <w:tc>
          <w:tcPr>
            <w:tcW w:w="129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945" w:type="dxa"/>
            <w:gridSpan w:val="3"/>
            <w:tcBorders>
              <w:top w:val="single" w:color="000000" w:sz="4" w:space="0"/>
              <w:left w:val="single" w:color="auto"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92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color w:val="000000"/>
                <w:sz w:val="24"/>
                <w:szCs w:val="24"/>
              </w:rPr>
              <w:t>局机关及二级机构汇总</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945"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92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color w:val="000000"/>
                <w:sz w:val="24"/>
                <w:szCs w:val="24"/>
              </w:rPr>
            </w:pPr>
            <w:r>
              <w:rPr>
                <w:rFonts w:hint="eastAsia" w:ascii="仿宋_GB2312" w:hAnsi="仿宋_GB2312" w:eastAsia="仿宋_GB2312"/>
                <w:sz w:val="24"/>
                <w:szCs w:val="24"/>
              </w:rPr>
              <w:t>1、局机关</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945"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92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color w:val="000000"/>
                <w:sz w:val="24"/>
                <w:szCs w:val="24"/>
              </w:rPr>
            </w:pPr>
            <w:r>
              <w:rPr>
                <w:rFonts w:hint="eastAsia" w:ascii="仿宋_GB2312" w:hAnsi="仿宋_GB2312" w:eastAsia="仿宋_GB2312"/>
                <w:sz w:val="24"/>
                <w:szCs w:val="24"/>
              </w:rPr>
              <w:t>2、二级机构1</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default" w:ascii="仿宋_GB2312" w:hAnsi="仿宋_GB2312" w:eastAsia="仿宋_GB2312"/>
                <w:color w:val="FF0000"/>
                <w:sz w:val="24"/>
                <w:szCs w:val="24"/>
                <w:lang w:val="en-US" w:eastAsia="zh-CN"/>
              </w:rPr>
            </w:pPr>
            <w:r>
              <w:rPr>
                <w:rFonts w:hint="eastAsia" w:ascii="仿宋_GB2312" w:hAnsi="仿宋_GB2312" w:eastAsia="仿宋_GB2312"/>
                <w:sz w:val="24"/>
                <w:szCs w:val="24"/>
                <w:lang w:val="en-US" w:eastAsia="zh-CN"/>
              </w:rPr>
              <w:t>4588.66</w:t>
            </w: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1203.1</w:t>
            </w: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rPr>
              <w:t>6</w:t>
            </w:r>
            <w:r>
              <w:rPr>
                <w:rFonts w:hint="eastAsia" w:ascii="仿宋_GB2312" w:hAnsi="仿宋_GB2312" w:eastAsia="仿宋_GB2312"/>
                <w:sz w:val="24"/>
                <w:szCs w:val="24"/>
                <w:lang w:val="en-US" w:eastAsia="zh-CN"/>
              </w:rPr>
              <w:t>27.86</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575.24</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3385.56</w:t>
            </w:r>
          </w:p>
        </w:tc>
        <w:tc>
          <w:tcPr>
            <w:tcW w:w="945"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0.00</w:t>
            </w:r>
          </w:p>
        </w:tc>
        <w:tc>
          <w:tcPr>
            <w:tcW w:w="92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color w:val="000000"/>
                <w:sz w:val="24"/>
                <w:szCs w:val="24"/>
              </w:rPr>
            </w:pPr>
            <w:r>
              <w:rPr>
                <w:rFonts w:hint="eastAsia" w:ascii="仿宋_GB2312" w:hAnsi="仿宋_GB2312" w:eastAsia="仿宋_GB2312"/>
                <w:sz w:val="24"/>
                <w:szCs w:val="24"/>
              </w:rPr>
              <w:t>3、二级机构2</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945"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92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机构名称</w:t>
            </w:r>
          </w:p>
        </w:tc>
        <w:tc>
          <w:tcPr>
            <w:tcW w:w="1408" w:type="dxa"/>
            <w:gridSpan w:val="2"/>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三公经费</w:t>
            </w:r>
          </w:p>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合计</w:t>
            </w:r>
          </w:p>
        </w:tc>
        <w:tc>
          <w:tcPr>
            <w:tcW w:w="7088" w:type="dxa"/>
            <w:gridSpan w:val="11"/>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center"/>
              <w:rPr>
                <w:rFonts w:hint="eastAsia" w:ascii="仿宋_GB2312" w:hAnsi="仿宋_GB2312" w:eastAsia="仿宋_GB2312"/>
                <w:sz w:val="24"/>
                <w:szCs w:val="24"/>
              </w:rPr>
            </w:pPr>
          </w:p>
        </w:tc>
        <w:tc>
          <w:tcPr>
            <w:tcW w:w="1408" w:type="dxa"/>
            <w:gridSpan w:val="2"/>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公务接待费</w:t>
            </w: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公务用车运维费</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公务用车购置费</w:t>
            </w: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color w:val="000000"/>
                <w:sz w:val="24"/>
                <w:szCs w:val="24"/>
              </w:rPr>
              <w:t>局机关及二级机构汇总</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sz w:val="24"/>
                <w:szCs w:val="24"/>
              </w:rPr>
              <w:t>1、局机关</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sz w:val="24"/>
                <w:szCs w:val="24"/>
              </w:rPr>
              <w:t>2、二级机构1</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val="en-US" w:eastAsia="zh-CN"/>
              </w:rPr>
              <w:t>0</w:t>
            </w: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val="en-US" w:eastAsia="zh-CN"/>
              </w:rPr>
              <w:t>0</w:t>
            </w: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0.00</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0.00</w:t>
            </w: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sz w:val="24"/>
                <w:szCs w:val="24"/>
              </w:rPr>
              <w:t>3、二级机构2</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02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2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机构名称</w:t>
            </w:r>
          </w:p>
        </w:tc>
        <w:tc>
          <w:tcPr>
            <w:tcW w:w="1408" w:type="dxa"/>
            <w:gridSpan w:val="2"/>
            <w:vMerge w:val="restart"/>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固定资产</w:t>
            </w:r>
          </w:p>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合计</w:t>
            </w:r>
          </w:p>
        </w:tc>
        <w:tc>
          <w:tcPr>
            <w:tcW w:w="5751" w:type="dxa"/>
            <w:gridSpan w:val="9"/>
            <w:tcBorders>
              <w:top w:val="single" w:color="000000" w:sz="4" w:space="0"/>
              <w:left w:val="single" w:color="auto"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其中：</w:t>
            </w:r>
          </w:p>
        </w:tc>
        <w:tc>
          <w:tcPr>
            <w:tcW w:w="1337"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center"/>
              <w:rPr>
                <w:rFonts w:hint="eastAsia" w:ascii="仿宋_GB2312" w:hAnsi="仿宋_GB2312" w:eastAsia="仿宋_GB2312"/>
                <w:sz w:val="24"/>
                <w:szCs w:val="24"/>
              </w:rPr>
            </w:pPr>
          </w:p>
        </w:tc>
        <w:tc>
          <w:tcPr>
            <w:tcW w:w="1408" w:type="dxa"/>
            <w:gridSpan w:val="2"/>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2232"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在用固定资产</w:t>
            </w:r>
          </w:p>
        </w:tc>
        <w:tc>
          <w:tcPr>
            <w:tcW w:w="3519" w:type="dxa"/>
            <w:gridSpan w:val="6"/>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出租固定资产</w:t>
            </w:r>
          </w:p>
        </w:tc>
        <w:tc>
          <w:tcPr>
            <w:tcW w:w="1337"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color w:val="000000"/>
                <w:sz w:val="24"/>
                <w:szCs w:val="24"/>
              </w:rPr>
              <w:t>局机关及二级机构汇总</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2232"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351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3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sz w:val="24"/>
                <w:szCs w:val="24"/>
              </w:rPr>
              <w:t>1、局机关</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2232"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351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3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sz w:val="24"/>
                <w:szCs w:val="24"/>
              </w:rPr>
              <w:t>2、二级机构1</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rPr>
              <w:t>4</w:t>
            </w:r>
            <w:r>
              <w:rPr>
                <w:rFonts w:hint="eastAsia" w:ascii="仿宋_GB2312" w:hAnsi="仿宋_GB2312" w:eastAsia="仿宋_GB2312"/>
                <w:color w:val="000000"/>
                <w:sz w:val="24"/>
                <w:szCs w:val="24"/>
                <w:lang w:val="en-US" w:eastAsia="zh-CN"/>
              </w:rPr>
              <w:t>18.77</w:t>
            </w:r>
          </w:p>
        </w:tc>
        <w:tc>
          <w:tcPr>
            <w:tcW w:w="2232"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4</w:t>
            </w:r>
            <w:r>
              <w:rPr>
                <w:rFonts w:hint="eastAsia" w:ascii="仿宋_GB2312" w:hAnsi="仿宋_GB2312" w:eastAsia="仿宋_GB2312"/>
                <w:color w:val="000000"/>
                <w:sz w:val="24"/>
                <w:szCs w:val="24"/>
                <w:lang w:val="en-US" w:eastAsia="zh-CN"/>
              </w:rPr>
              <w:t>18.77</w:t>
            </w:r>
            <w:r>
              <w:rPr>
                <w:rFonts w:hint="eastAsia" w:ascii="仿宋_GB2312" w:hAnsi="仿宋_GB2312" w:eastAsia="仿宋_GB2312"/>
                <w:color w:val="000000"/>
                <w:sz w:val="24"/>
                <w:szCs w:val="24"/>
              </w:rPr>
              <w:t>（净值）</w:t>
            </w:r>
          </w:p>
        </w:tc>
        <w:tc>
          <w:tcPr>
            <w:tcW w:w="351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w:t>
            </w:r>
          </w:p>
        </w:tc>
        <w:tc>
          <w:tcPr>
            <w:tcW w:w="13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ascii="仿宋_GB2312" w:hAnsi="仿宋_GB2312" w:eastAsia="仿宋_GB2312"/>
                <w:sz w:val="24"/>
                <w:szCs w:val="24"/>
              </w:rPr>
            </w:pPr>
            <w:r>
              <w:rPr>
                <w:rFonts w:hint="eastAsia" w:ascii="仿宋_GB2312" w:hAnsi="仿宋_GB2312" w:eastAsia="仿宋_GB2312"/>
                <w:sz w:val="24"/>
                <w:szCs w:val="24"/>
              </w:rPr>
              <w:t>3、二级机构2</w:t>
            </w:r>
          </w:p>
        </w:tc>
        <w:tc>
          <w:tcPr>
            <w:tcW w:w="140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2232"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351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c>
          <w:tcPr>
            <w:tcW w:w="13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黑体" w:hAnsi="黑体" w:eastAsia="黑体"/>
                <w:color w:val="000000"/>
                <w:sz w:val="28"/>
                <w:szCs w:val="24"/>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整体支出绩效定性目标实施计划完成情况</w:t>
            </w:r>
          </w:p>
        </w:tc>
        <w:tc>
          <w:tcPr>
            <w:tcW w:w="38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预期目标</w:t>
            </w:r>
          </w:p>
        </w:tc>
        <w:tc>
          <w:tcPr>
            <w:tcW w:w="485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38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目标1：</w:t>
            </w:r>
            <w:r>
              <w:rPr>
                <w:rFonts w:hint="eastAsia" w:ascii="仿宋_GB2312" w:hAnsi="仿宋_GB2312" w:eastAsia="仿宋_GB2312"/>
                <w:sz w:val="24"/>
                <w:szCs w:val="24"/>
              </w:rPr>
              <w:t>提高中心城区路灯及亮化运行质量，营造整洁美观的城市照明环境。</w:t>
            </w:r>
          </w:p>
          <w:p>
            <w:pPr>
              <w:autoSpaceDN w:val="0"/>
              <w:spacing w:line="44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目标2：</w:t>
            </w:r>
            <w:r>
              <w:rPr>
                <w:rFonts w:hint="eastAsia" w:ascii="仿宋_GB2312" w:hAnsi="仿宋_GB2312" w:eastAsia="仿宋_GB2312"/>
                <w:sz w:val="24"/>
                <w:szCs w:val="24"/>
              </w:rPr>
              <w:t>聚焦民生，实化补亮行动。</w:t>
            </w:r>
          </w:p>
          <w:p>
            <w:pPr>
              <w:autoSpaceDN w:val="0"/>
              <w:spacing w:line="44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目标3：营造良好的节日氛围。</w:t>
            </w:r>
          </w:p>
          <w:p>
            <w:pPr>
              <w:autoSpaceDN w:val="0"/>
              <w:spacing w:line="44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目标4: </w:t>
            </w:r>
            <w:r>
              <w:rPr>
                <w:rFonts w:hint="eastAsia" w:ascii="仿宋_GB2312" w:hAnsi="仿宋_GB2312" w:eastAsia="仿宋_GB2312"/>
                <w:sz w:val="24"/>
                <w:szCs w:val="24"/>
              </w:rPr>
              <w:t>全面落实安全生产，开展安全隐患排查。</w:t>
            </w:r>
          </w:p>
          <w:p>
            <w:pPr>
              <w:autoSpaceDN w:val="0"/>
              <w:spacing w:line="44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目标5：按计划完成亮化工程项目建设。</w:t>
            </w:r>
          </w:p>
          <w:p>
            <w:pPr>
              <w:autoSpaceDN w:val="0"/>
              <w:spacing w:line="44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目标6：配合城市道路提质改造、雨污分流改造及其他政府重点工程建设，及时对路灯设施进行移装。</w:t>
            </w:r>
          </w:p>
          <w:p>
            <w:pPr>
              <w:autoSpaceDN w:val="0"/>
              <w:spacing w:line="440" w:lineRule="exact"/>
              <w:ind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目标7：开展安全培训，强化安全意识。</w:t>
            </w:r>
          </w:p>
          <w:p>
            <w:pPr>
              <w:autoSpaceDN w:val="0"/>
              <w:spacing w:line="440" w:lineRule="exact"/>
              <w:ind w:right="-14" w:rightChars="-7"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目标8：</w:t>
            </w:r>
            <w:r>
              <w:rPr>
                <w:rFonts w:hint="eastAsia" w:ascii="仿宋_GB2312" w:hAnsi="仿宋_GB2312" w:eastAsia="仿宋_GB2312"/>
                <w:sz w:val="24"/>
                <w:szCs w:val="24"/>
              </w:rPr>
              <w:t>完善单位基础设施建设。</w:t>
            </w:r>
          </w:p>
          <w:p>
            <w:pPr>
              <w:autoSpaceDN w:val="0"/>
              <w:spacing w:line="440" w:lineRule="exact"/>
              <w:ind w:right="-14" w:rightChars="-7" w:firstLine="480" w:firstLineChars="200"/>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目标9：狠抓</w:t>
            </w:r>
            <w:r>
              <w:rPr>
                <w:rFonts w:hint="eastAsia" w:ascii="仿宋_GB2312" w:hAnsi="仿宋_GB2312" w:eastAsia="仿宋_GB2312"/>
                <w:sz w:val="24"/>
                <w:szCs w:val="24"/>
              </w:rPr>
              <w:t>党建工作，助推单位跨越发展。</w:t>
            </w:r>
          </w:p>
          <w:p>
            <w:pPr>
              <w:autoSpaceDN w:val="0"/>
              <w:spacing w:line="440" w:lineRule="exact"/>
              <w:ind w:right="-14" w:rightChars="-7"/>
              <w:jc w:val="left"/>
              <w:textAlignment w:val="center"/>
              <w:rPr>
                <w:rFonts w:hint="eastAsia" w:ascii="仿宋_GB2312" w:hAnsi="仿宋_GB2312" w:eastAsia="仿宋_GB2312"/>
                <w:color w:val="000000"/>
                <w:sz w:val="24"/>
                <w:szCs w:val="24"/>
              </w:rPr>
            </w:pPr>
          </w:p>
        </w:tc>
        <w:tc>
          <w:tcPr>
            <w:tcW w:w="4856"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440" w:lineRule="exact"/>
              <w:ind w:firstLine="480" w:firstLineChars="20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目标1完成：</w:t>
            </w:r>
            <w:r>
              <w:rPr>
                <w:rFonts w:hint="eastAsia" w:ascii="仿宋_GB2312" w:hAnsi="仿宋_GB2312" w:eastAsia="仿宋_GB2312"/>
                <w:sz w:val="24"/>
                <w:szCs w:val="24"/>
              </w:rPr>
              <w:t>加大了路灯及亮化设施的巡查力度，路灯及亮化故障的处置力度有效提升，日常亮灯率达到96%以上，重大活动、重要节假日期间主次干道亮灯率达到99%，小街巷亮灯率达到95%以上。</w:t>
            </w:r>
          </w:p>
          <w:p>
            <w:pPr>
              <w:autoSpaceDN w:val="0"/>
              <w:spacing w:line="440" w:lineRule="exact"/>
              <w:ind w:firstLine="480" w:firstLineChars="200"/>
              <w:textAlignment w:val="center"/>
              <w:rPr>
                <w:rFonts w:hint="eastAsia" w:ascii="仿宋_GB2312" w:hAnsi="仿宋_GB2312" w:eastAsia="仿宋_GB2312"/>
                <w:sz w:val="24"/>
                <w:szCs w:val="24"/>
              </w:rPr>
            </w:pPr>
            <w:r>
              <w:rPr>
                <w:rFonts w:hint="eastAsia" w:ascii="仿宋_GB2312" w:hAnsi="仿宋_GB2312" w:eastAsia="仿宋_GB2312"/>
                <w:color w:val="000000"/>
                <w:sz w:val="24"/>
                <w:szCs w:val="24"/>
              </w:rPr>
              <w:t>目标2完成：在</w:t>
            </w:r>
            <w:r>
              <w:rPr>
                <w:rFonts w:hint="eastAsia" w:ascii="仿宋_GB2312" w:hAnsi="仿宋_GB2312" w:eastAsia="仿宋_GB2312"/>
                <w:sz w:val="24"/>
                <w:szCs w:val="24"/>
              </w:rPr>
              <w:t>南湖游东路、巴陵西路等12处主次干道路灯开展城市道路补亮行动。对巴陵西路、白杨坡路等路段实施灯光“微改造”，共计更换LED节能环保灯具1264套。另外，开展小街巷路灯灯具改造工作，更换相思街、龙山路等老旧灯具共计64套。</w:t>
            </w:r>
          </w:p>
          <w:p>
            <w:pPr>
              <w:spacing w:line="440" w:lineRule="exact"/>
              <w:ind w:firstLine="480" w:firstLineChars="200"/>
              <w:rPr>
                <w:rFonts w:hint="eastAsia" w:ascii="仿宋_GB2312" w:hAnsi="仿宋_GB2312" w:eastAsia="仿宋_GB2312"/>
                <w:sz w:val="24"/>
                <w:szCs w:val="24"/>
              </w:rPr>
            </w:pPr>
            <w:r>
              <w:rPr>
                <w:rFonts w:hint="eastAsia" w:ascii="仿宋_GB2312" w:hAnsi="仿宋_GB2312" w:eastAsia="仿宋_GB2312"/>
                <w:color w:val="000000"/>
                <w:sz w:val="24"/>
                <w:szCs w:val="24"/>
              </w:rPr>
              <w:t>目标3完成：</w:t>
            </w:r>
            <w:r>
              <w:rPr>
                <w:rFonts w:hint="eastAsia" w:ascii="仿宋_GB2312" w:hAnsi="仿宋_GB2312" w:eastAsia="仿宋_GB2312"/>
                <w:color w:val="333333"/>
                <w:sz w:val="24"/>
                <w:szCs w:val="24"/>
              </w:rPr>
              <w:t>在</w:t>
            </w:r>
            <w:r>
              <w:rPr>
                <w:rFonts w:hint="eastAsia" w:ascii="仿宋_GB2312" w:hAnsi="仿宋_GB2312" w:eastAsia="仿宋_GB2312"/>
                <w:sz w:val="24"/>
                <w:szCs w:val="24"/>
              </w:rPr>
              <w:t>中心城区巴陵广场、南湖广场布置大型景观灯两组，岳阳大道绿化带布置造型灯四组，湘北大道路灯安装“福贴”造型376个，以及在城区18处主要道路或路口两侧悬挂传统灯笼14500个，营造靓丽喜庆的节日氛围，增添了祥和欢乐、奋发向上的浓厚年味。</w:t>
            </w:r>
          </w:p>
          <w:p>
            <w:pPr>
              <w:spacing w:line="440" w:lineRule="exact"/>
              <w:ind w:firstLine="480" w:firstLineChars="200"/>
              <w:rPr>
                <w:rFonts w:hint="eastAsia" w:ascii="仿宋_GB2312" w:hAnsi="仿宋_GB2312" w:eastAsia="仿宋_GB2312"/>
                <w:sz w:val="24"/>
                <w:szCs w:val="24"/>
              </w:rPr>
            </w:pPr>
            <w:r>
              <w:rPr>
                <w:rFonts w:hint="eastAsia" w:ascii="仿宋_GB2312" w:hAnsi="仿宋_GB2312" w:eastAsia="仿宋_GB2312"/>
                <w:color w:val="000000"/>
                <w:sz w:val="24"/>
                <w:szCs w:val="24"/>
              </w:rPr>
              <w:t>目标4完成：</w:t>
            </w:r>
            <w:r>
              <w:rPr>
                <w:rFonts w:hint="eastAsia" w:ascii="仿宋_GB2312" w:hAnsi="仿宋_GB2312" w:eastAsia="仿宋_GB2312"/>
                <w:sz w:val="24"/>
                <w:szCs w:val="24"/>
              </w:rPr>
              <w:t>对洞庭大道、枫桥湖路路灯实施提质改造，共计更换路灯228基，原收费站段新增路灯14基，开挖管线1400余米。</w:t>
            </w:r>
            <w:r>
              <w:rPr>
                <w:rFonts w:hint="eastAsia" w:ascii="仿宋_GB2312" w:hAnsi="仿宋_GB2312" w:eastAsia="仿宋_GB2312"/>
                <w:color w:val="000000"/>
                <w:sz w:val="24"/>
                <w:szCs w:val="24"/>
              </w:rPr>
              <w:t>对于突发的路灯被撞事故，做到第一时间进行处置，</w:t>
            </w:r>
            <w:r>
              <w:rPr>
                <w:rFonts w:hint="eastAsia" w:ascii="仿宋_GB2312" w:hAnsi="仿宋_GB2312" w:eastAsia="仿宋_GB2312"/>
                <w:sz w:val="24"/>
                <w:szCs w:val="24"/>
              </w:rPr>
              <w:t>全年共处理</w:t>
            </w:r>
            <w:r>
              <w:rPr>
                <w:rFonts w:hint="eastAsia" w:ascii="仿宋_GB2312" w:hAnsi="仿宋_GB2312" w:eastAsia="仿宋_GB2312"/>
                <w:color w:val="000000"/>
                <w:sz w:val="24"/>
                <w:szCs w:val="24"/>
              </w:rPr>
              <w:t>汴河园路、湖东路等路段因车辆刮蹭或地基下陷而产生倾斜以及锈蚀严重的路灯灯杆15基次。</w:t>
            </w:r>
          </w:p>
          <w:p>
            <w:pPr>
              <w:autoSpaceDN w:val="0"/>
              <w:spacing w:line="440" w:lineRule="exact"/>
              <w:ind w:firstLine="480" w:firstLineChars="200"/>
              <w:textAlignment w:val="center"/>
              <w:rPr>
                <w:rFonts w:hint="eastAsia" w:ascii="仿宋_GB2312" w:hAnsi="仿宋_GB2312" w:eastAsia="仿宋_GB2312"/>
                <w:sz w:val="24"/>
                <w:szCs w:val="24"/>
              </w:rPr>
            </w:pPr>
            <w:r>
              <w:rPr>
                <w:rFonts w:hint="eastAsia" w:ascii="仿宋_GB2312" w:hAnsi="仿宋_GB2312" w:eastAsia="仿宋_GB2312"/>
                <w:color w:val="000000"/>
                <w:sz w:val="24"/>
                <w:szCs w:val="24"/>
              </w:rPr>
              <w:t>目标5完成：对</w:t>
            </w:r>
            <w:r>
              <w:rPr>
                <w:rFonts w:hint="eastAsia" w:ascii="仿宋_GB2312" w:hAnsi="仿宋_GB2312" w:eastAsia="仿宋_GB2312"/>
                <w:sz w:val="24"/>
                <w:szCs w:val="24"/>
              </w:rPr>
              <w:t>洞庭湖大桥及东西两岸37栋楼宇（简称“一桥两岸”）景观照明进行了提质改造，对德龙财富中心、景源商务中心等23栋楼宇进行了亮化大修。</w:t>
            </w:r>
          </w:p>
          <w:p>
            <w:pPr>
              <w:spacing w:line="440" w:lineRule="exact"/>
              <w:ind w:firstLine="480" w:firstLineChars="200"/>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目标6完成：</w:t>
            </w:r>
            <w:r>
              <w:rPr>
                <w:rFonts w:hint="eastAsia" w:ascii="仿宋_GB2312" w:hAnsi="仿宋_GB2312" w:eastAsia="仿宋_GB2312"/>
                <w:sz w:val="24"/>
                <w:szCs w:val="24"/>
              </w:rPr>
              <w:t>先后拆除路灯184基、更换变压器2台、拆除变压器1台、新立配电箱2个，以及相应的高压电缆、管线等设施设备进行了更换，助推各项工程如期完成。</w:t>
            </w:r>
          </w:p>
          <w:p>
            <w:pPr>
              <w:spacing w:line="440" w:lineRule="exact"/>
              <w:ind w:firstLine="646"/>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目标7完成：</w:t>
            </w:r>
            <w:r>
              <w:rPr>
                <w:rFonts w:hint="eastAsia" w:ascii="仿宋_GB2312" w:hAnsi="仿宋_GB2312" w:eastAsia="仿宋_GB2312"/>
                <w:kern w:val="0"/>
                <w:sz w:val="24"/>
                <w:szCs w:val="24"/>
              </w:rPr>
              <w:t>邀请技校教师授课，针对安全生产法律法规和安全生产方针政策进行讲解，使职工充分认识安全生产的重要意义，在施工生产中严格执行操作规程，严守劳动纪律。</w:t>
            </w:r>
          </w:p>
          <w:p>
            <w:pPr>
              <w:autoSpaceDN w:val="0"/>
              <w:spacing w:line="440" w:lineRule="exact"/>
              <w:ind w:firstLine="480" w:firstLineChars="20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目标8完成：单位办公大楼年久失修，为改善办公条件，及时消除安全隐患，确保大楼安全使用，对办公楼进行了修缮。另外，建设了党建活动室、职工之家等活动室，为单位长远发展提供坚强的思想保证。</w:t>
            </w:r>
          </w:p>
          <w:p>
            <w:pPr>
              <w:spacing w:line="440" w:lineRule="exact"/>
              <w:ind w:firstLine="480" w:firstLineChars="200"/>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目标9完成：</w:t>
            </w:r>
            <w:r>
              <w:rPr>
                <w:rFonts w:hint="eastAsia" w:ascii="仿宋_GB2312" w:hAnsi="仿宋_GB2312" w:eastAsia="仿宋_GB2312"/>
                <w:kern w:val="0"/>
                <w:sz w:val="24"/>
                <w:szCs w:val="24"/>
              </w:rPr>
              <w:t>以党的政治建设为统领，紧紧围绕中心、建设队伍、服务群众，深化党支部“五化”建设，提升党建工作质量和水平，</w:t>
            </w:r>
            <w:r>
              <w:rPr>
                <w:rFonts w:hint="eastAsia" w:ascii="仿宋_GB2312" w:hAnsi="仿宋_GB2312" w:eastAsia="仿宋_GB2312"/>
                <w:sz w:val="24"/>
                <w:szCs w:val="24"/>
              </w:rPr>
              <w:t>找准切入业务工作、有力推进落实的抓手，有效推动了党建工作和中心业务工作的深度融合。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p>
        </w:tc>
        <w:tc>
          <w:tcPr>
            <w:tcW w:w="276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评价内容</w:t>
            </w: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绩效目标</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49"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textAlignment w:val="center"/>
              <w:rPr>
                <w:rFonts w:hint="eastAsia" w:ascii="仿宋_GB2312" w:hAnsi="仿宋" w:eastAsia="仿宋_GB2312"/>
                <w:sz w:val="24"/>
                <w:szCs w:val="24"/>
              </w:rPr>
            </w:pPr>
            <w:r>
              <w:rPr>
                <w:rFonts w:hint="eastAsia" w:ascii="仿宋_GB2312" w:hAnsi="仿宋" w:eastAsia="仿宋_GB2312"/>
                <w:sz w:val="24"/>
                <w:szCs w:val="24"/>
              </w:rPr>
              <w:t>产出目标</w:t>
            </w:r>
          </w:p>
          <w:p>
            <w:pPr>
              <w:autoSpaceDN w:val="0"/>
              <w:spacing w:line="400" w:lineRule="exact"/>
              <w:jc w:val="center"/>
              <w:textAlignment w:val="center"/>
              <w:rPr>
                <w:rFonts w:hint="eastAsia" w:ascii="仿宋_GB2312" w:hAnsi="仿宋" w:eastAsia="仿宋_GB2312"/>
                <w:sz w:val="24"/>
                <w:szCs w:val="24"/>
              </w:rPr>
            </w:pPr>
            <w:r>
              <w:rPr>
                <w:rFonts w:hint="eastAsia" w:ascii="仿宋_GB2312" w:hAnsi="仿宋" w:eastAsia="仿宋_GB2312"/>
                <w:sz w:val="24"/>
                <w:szCs w:val="24"/>
              </w:rPr>
              <w:t>（部门工作实绩，包含上级部门和市委市政府布置的重点工作、实事任务等，根据部门实际进行调整细化）</w:t>
            </w:r>
          </w:p>
        </w:tc>
        <w:tc>
          <w:tcPr>
            <w:tcW w:w="12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p>
          <w:p>
            <w:pPr>
              <w:autoSpaceDN w:val="0"/>
              <w:spacing w:line="400" w:lineRule="exact"/>
              <w:jc w:val="center"/>
              <w:textAlignment w:val="center"/>
              <w:rPr>
                <w:rFonts w:hint="eastAsia" w:ascii="仿宋_GB2312" w:hAnsi="仿宋" w:eastAsia="仿宋_GB2312"/>
                <w:sz w:val="24"/>
                <w:szCs w:val="24"/>
              </w:rPr>
            </w:pPr>
            <w:r>
              <w:rPr>
                <w:rFonts w:hint="eastAsia" w:ascii="仿宋_GB2312" w:hAnsi="仿宋" w:eastAsia="仿宋_GB2312"/>
                <w:sz w:val="24"/>
                <w:szCs w:val="24"/>
              </w:rPr>
              <w:t>质量指标</w:t>
            </w: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 w:eastAsia="仿宋_GB2312"/>
                <w:sz w:val="24"/>
                <w:szCs w:val="24"/>
              </w:rPr>
            </w:pPr>
            <w:r>
              <w:rPr>
                <w:rFonts w:hint="eastAsia" w:ascii="仿宋_GB2312" w:hAnsi="仿宋" w:eastAsia="仿宋_GB2312"/>
                <w:sz w:val="24"/>
                <w:szCs w:val="24"/>
              </w:rPr>
              <w:t>抓好中心城区路灯及亮日常维护管理，确保亮灯率在95%以上。</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 w:eastAsia="仿宋_GB2312"/>
                <w:sz w:val="24"/>
                <w:szCs w:val="24"/>
              </w:rPr>
            </w:pPr>
            <w:r>
              <w:rPr>
                <w:rFonts w:hint="eastAsia" w:ascii="仿宋_GB2312" w:hAnsi="Arial" w:eastAsia="仿宋_GB2312"/>
                <w:sz w:val="24"/>
                <w:szCs w:val="24"/>
              </w:rPr>
              <w:t>多措并举开展路灯及亮化日常维护，发现问题及时处置，始终保持亮灯率和设施完好率达到96%以上。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 w:hAnsi="仿宋" w:eastAsia="仿宋"/>
                <w:color w:val="FF0000"/>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00" w:lineRule="exact"/>
              <w:rPr>
                <w:rFonts w:hint="eastAsia" w:ascii="仿宋" w:hAnsi="仿宋" w:eastAsia="仿宋"/>
                <w:color w:val="FF0000"/>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 w:eastAsia="仿宋_GB2312"/>
                <w:sz w:val="24"/>
                <w:szCs w:val="24"/>
              </w:rPr>
            </w:pPr>
            <w:r>
              <w:rPr>
                <w:rFonts w:hint="eastAsia" w:ascii="仿宋_GB2312" w:hAnsi="仿宋" w:eastAsia="仿宋_GB2312"/>
                <w:sz w:val="24"/>
                <w:szCs w:val="24"/>
              </w:rPr>
              <w:t>营造良好的节日氛围</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 w:eastAsia="仿宋_GB2312"/>
                <w:sz w:val="24"/>
                <w:szCs w:val="24"/>
              </w:rPr>
            </w:pPr>
            <w:r>
              <w:rPr>
                <w:rFonts w:hint="eastAsia" w:ascii="仿宋_GB2312" w:hAnsi="仿宋_GB2312" w:eastAsia="仿宋_GB2312"/>
                <w:sz w:val="24"/>
                <w:szCs w:val="24"/>
              </w:rPr>
              <w:t>全力打造景观亮点，营造了靓丽喜庆的节日氛围，为我市增添了祥和欢乐、奋发向上的浓厚年味。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 w:hAnsi="仿宋" w:eastAsia="仿宋"/>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00" w:lineRule="exact"/>
              <w:rPr>
                <w:rFonts w:hint="eastAsia" w:ascii="仿宋" w:hAnsi="仿宋" w:eastAsia="仿宋"/>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及时对路灯供电设施进行维护，确保设施处于良好的工作状态。</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 w:eastAsia="仿宋_GB2312"/>
                <w:color w:val="000000"/>
                <w:sz w:val="24"/>
                <w:szCs w:val="24"/>
              </w:rPr>
            </w:pPr>
            <w:r>
              <w:rPr>
                <w:rFonts w:hint="eastAsia" w:eastAsia="仿宋_GB2312"/>
                <w:sz w:val="24"/>
                <w:szCs w:val="24"/>
              </w:rPr>
              <w:t>昼夜护航，分片区、分类型，扎实、高效地开展路灯及亮化的维护、巡查工作，确保设施处于良好的工作状态</w:t>
            </w:r>
            <w:r>
              <w:rPr>
                <w:rFonts w:hint="eastAsia" w:ascii="仿宋_GB2312" w:hAns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6"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 w:hAnsi="仿宋" w:eastAsia="仿宋"/>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00" w:lineRule="exact"/>
              <w:rPr>
                <w:rFonts w:hint="eastAsia" w:ascii="仿宋" w:hAnsi="仿宋" w:eastAsia="仿宋"/>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加大路灯设施安全隐患治理及亮化楼宇设施隐患排查。</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 w:eastAsia="仿宋_GB2312"/>
                <w:color w:val="000000"/>
                <w:sz w:val="24"/>
                <w:szCs w:val="24"/>
              </w:rPr>
            </w:pPr>
            <w:r>
              <w:rPr>
                <w:rFonts w:hint="eastAsia" w:ascii="仿宋_GB2312" w:hAnsi="仿宋_GB2312" w:eastAsia="仿宋_GB2312"/>
                <w:sz w:val="24"/>
                <w:szCs w:val="24"/>
              </w:rPr>
              <w:t>对洞庭大道、枫桥湖路路灯实施提质改造，共计更换路灯228基，原收费站段新增路灯14基，开挖管线1400余米。对德龙财富中心、景源商务中心等23栋楼宇进行了亮化大修。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6"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 w:hAnsi="仿宋" w:eastAsia="仿宋"/>
                <w:sz w:val="24"/>
                <w:szCs w:val="24"/>
              </w:rPr>
            </w:pPr>
          </w:p>
        </w:tc>
        <w:tc>
          <w:tcPr>
            <w:tcW w:w="12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textAlignment w:val="center"/>
              <w:rPr>
                <w:rFonts w:hint="eastAsia" w:ascii="仿宋" w:hAnsi="仿宋" w:eastAsia="仿宋"/>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color w:val="000000"/>
                <w:sz w:val="24"/>
                <w:szCs w:val="24"/>
              </w:rPr>
            </w:pPr>
          </w:p>
          <w:p>
            <w:pPr>
              <w:autoSpaceDN w:val="0"/>
              <w:spacing w:line="400" w:lineRule="exact"/>
              <w:jc w:val="center"/>
              <w:textAlignment w:val="center"/>
              <w:rPr>
                <w:rFonts w:hint="eastAsia" w:ascii="仿宋_GB2312" w:hAnsi="仿宋" w:eastAsia="仿宋_GB2312"/>
                <w:sz w:val="24"/>
                <w:szCs w:val="24"/>
              </w:rPr>
            </w:pPr>
            <w:r>
              <w:rPr>
                <w:rFonts w:hint="eastAsia" w:ascii="仿宋_GB2312" w:hAnsi="仿宋" w:eastAsia="仿宋_GB2312"/>
                <w:color w:val="000000"/>
                <w:sz w:val="24"/>
                <w:szCs w:val="24"/>
              </w:rPr>
              <w:t>数量指标</w:t>
            </w: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搞好路灯日常维护工作</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rPr>
                <w:rFonts w:hint="eastAsia" w:ascii="仿宋_GB2312" w:hAnsi="仿宋_GB2312" w:eastAsia="仿宋_GB2312"/>
                <w:sz w:val="24"/>
                <w:szCs w:val="24"/>
              </w:rPr>
            </w:pPr>
            <w:r>
              <w:rPr>
                <w:rFonts w:hint="eastAsia" w:ascii="仿宋_GB2312" w:hAnsi="仿宋_GB2312" w:eastAsia="仿宋_GB2312"/>
                <w:sz w:val="24"/>
                <w:szCs w:val="24"/>
              </w:rPr>
              <w:t>①全年累计维修路灯3500余盏，更换亮化灯具及配件4000余次，处置路灯井盖问题150起、供变电设施故障300余起、亮化线路故障350余起，更换灯杆编号牌500余张，更换老化监控终端27台。②对巴陵西路、白杨坡路、等路段实施灯光“微改造”，共计更换LED节能环保灯具1264套。另外，继续开展小街巷路灯灯具改造工作，更换相思街、龙山路、等老旧灯具共计64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8"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 w:hAnsi="仿宋" w:eastAsia="仿宋"/>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ind w:firstLine="240" w:firstLineChars="100"/>
              <w:textAlignment w:val="center"/>
              <w:rPr>
                <w:rFonts w:hint="eastAsia" w:ascii="仿宋" w:hAnsi="仿宋" w:eastAsia="仿宋"/>
                <w:color w:val="000000"/>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抓好亮化管理工作</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numPr>
                <w:ilvl w:val="0"/>
                <w:numId w:val="4"/>
              </w:numPr>
              <w:tabs>
                <w:tab w:val="left" w:pos="0"/>
                <w:tab w:val="clear" w:pos="360"/>
              </w:tabs>
              <w:spacing w:line="440" w:lineRule="exact"/>
              <w:ind w:left="48"/>
              <w:rPr>
                <w:rFonts w:hint="eastAsia" w:ascii="仿宋_GB2312" w:hAnsi="仿宋_GB2312" w:eastAsia="仿宋_GB2312"/>
                <w:color w:val="000000"/>
                <w:sz w:val="24"/>
                <w:szCs w:val="24"/>
              </w:rPr>
            </w:pPr>
            <w:r>
              <w:rPr>
                <w:rFonts w:hint="eastAsia" w:ascii="仿宋_GB2312" w:hAnsi="仿宋_GB2312" w:eastAsia="仿宋_GB2312"/>
                <w:sz w:val="24"/>
                <w:szCs w:val="24"/>
              </w:rPr>
              <w:t>①洞庭湖大桥及东西两岸37栋楼宇（简称“一桥两岸”）景观照明提质改造项目。②组织召开了富春山居、美的梧桐庄园等7 个项目的景观照明技术审查会议。③对德龙财富中心、景源商务中心等23栋楼宇进行了亮化大修。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_GB2312" w:hAnsi="仿宋_GB2312" w:eastAsia="仿宋_GB2312"/>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ind w:firstLine="240" w:firstLineChars="100"/>
              <w:textAlignment w:val="center"/>
              <w:rPr>
                <w:rFonts w:hint="eastAsia" w:ascii="仿宋_GB2312" w:hAnsi="仿宋_GB2312" w:eastAsia="仿宋_GB2312"/>
                <w:color w:val="000000"/>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完成春节氛围营造工作</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rPr>
                <w:rFonts w:hint="eastAsia" w:ascii="仿宋_GB2312" w:hAnsi="仿宋_GB2312" w:eastAsia="仿宋_GB2312"/>
                <w:sz w:val="24"/>
                <w:szCs w:val="24"/>
              </w:rPr>
            </w:pPr>
            <w:r>
              <w:rPr>
                <w:rFonts w:hint="eastAsia" w:ascii="仿宋_GB2312" w:hAnsi="仿宋_GB2312" w:eastAsia="仿宋_GB2312"/>
                <w:color w:val="333333"/>
                <w:sz w:val="24"/>
                <w:szCs w:val="24"/>
              </w:rPr>
              <w:t>在</w:t>
            </w:r>
            <w:r>
              <w:rPr>
                <w:rFonts w:hint="eastAsia" w:ascii="仿宋_GB2312" w:hAnsi="仿宋_GB2312" w:eastAsia="仿宋_GB2312"/>
                <w:sz w:val="24"/>
                <w:szCs w:val="24"/>
              </w:rPr>
              <w:t>中心城区巴陵广场、南湖广场布置大型景观灯两组，岳阳大道绿化带布置造型灯四组，湘北大道路灯安装“福贴”造型376个，以及在城区18处主要道路或路口两侧悬挂传统灯笼14500个。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69"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_GB2312" w:hAnsi="仿宋_GB2312" w:eastAsia="仿宋_GB2312"/>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ind w:firstLine="240" w:firstLineChars="100"/>
              <w:textAlignment w:val="center"/>
              <w:rPr>
                <w:rFonts w:hint="eastAsia" w:ascii="仿宋_GB2312" w:hAnsi="仿宋_GB2312" w:eastAsia="仿宋_GB2312"/>
                <w:color w:val="000000"/>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sz w:val="24"/>
                <w:szCs w:val="24"/>
              </w:rPr>
              <w:t>配合道路提质改造、雨污分流改造、交通微循环整治及其它政府重点工程建设，</w:t>
            </w:r>
            <w:r>
              <w:rPr>
                <w:rFonts w:hint="eastAsia" w:ascii="仿宋_GB2312" w:hAnsi="仿宋_GB2312" w:eastAsia="仿宋_GB2312"/>
                <w:color w:val="000000"/>
                <w:sz w:val="24"/>
                <w:szCs w:val="24"/>
              </w:rPr>
              <w:t>对路灯及供电设施进行提质改造建设。</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_GB2312" w:eastAsia="仿宋_GB2312"/>
                <w:sz w:val="24"/>
                <w:szCs w:val="24"/>
              </w:rPr>
            </w:pPr>
            <w:r>
              <w:rPr>
                <w:rFonts w:hint="eastAsia" w:ascii="仿宋_GB2312" w:hAnsi="仿宋_GB2312" w:eastAsia="仿宋_GB2312"/>
                <w:sz w:val="24"/>
                <w:szCs w:val="24"/>
              </w:rPr>
              <w:t>①配合城区提质改造工程，累计拆除东风湖路、金鹗西路等路段路灯142基，铺设路灯管线320米，电缆960米。②配合城陵矶粮库提质改造工程，移除原有变压器一台，新立配电箱两个，确保桂花园路路灯的正常启闭。③对青年西路（瓷厂门口）变压器进行迁改，更换变压器一台、高压电缆100米、电缆600余米。</w:t>
            </w:r>
            <w:r>
              <w:rPr>
                <w:rFonts w:hint="eastAsia" w:ascii="仿宋_GB2312" w:hAnsi="仿宋_GB2312" w:eastAsia="仿宋_GB2312"/>
                <w:color w:val="000000"/>
                <w:sz w:val="24"/>
                <w:szCs w:val="24"/>
              </w:rPr>
              <w:t>④</w:t>
            </w:r>
            <w:r>
              <w:rPr>
                <w:rFonts w:hint="eastAsia" w:ascii="仿宋_GB2312" w:hAnsi="仿宋_GB2312" w:eastAsia="仿宋_GB2312"/>
                <w:sz w:val="24"/>
                <w:szCs w:val="24"/>
              </w:rPr>
              <w:t>完成107国道驾考中心段42基路灯新建工程。⑤对青年西路（瓷厂门口）变压器进行迁改，其中更换变压器一台、高压电缆100米、电缆600余米。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_GB2312" w:hAnsi="仿宋_GB2312" w:eastAsia="仿宋_GB2312"/>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完成202</w:t>
            </w:r>
            <w:r>
              <w:rPr>
                <w:rFonts w:hint="eastAsia" w:ascii="仿宋_GB2312" w:hAnsi="仿宋_GB2312" w:eastAsia="仿宋_GB2312"/>
                <w:color w:val="000000"/>
                <w:sz w:val="24"/>
                <w:szCs w:val="24"/>
                <w:lang w:val="en-US" w:eastAsia="zh-CN"/>
              </w:rPr>
              <w:t>2</w:t>
            </w:r>
            <w:r>
              <w:rPr>
                <w:rFonts w:hint="eastAsia" w:ascii="仿宋_GB2312" w:hAnsi="仿宋_GB2312" w:eastAsia="仿宋_GB2312"/>
                <w:color w:val="000000"/>
                <w:sz w:val="24"/>
                <w:szCs w:val="24"/>
              </w:rPr>
              <w:t>年非税预算</w:t>
            </w:r>
            <w:r>
              <w:rPr>
                <w:rFonts w:hint="eastAsia" w:ascii="仿宋_GB2312" w:hAnsi="仿宋_GB2312" w:eastAsia="仿宋_GB2312"/>
                <w:sz w:val="24"/>
                <w:szCs w:val="24"/>
              </w:rPr>
              <w:t>执收任务10</w:t>
            </w:r>
            <w:r>
              <w:rPr>
                <w:rFonts w:hint="eastAsia" w:ascii="仿宋_GB2312" w:hAnsi="仿宋_GB2312" w:eastAsia="仿宋_GB2312"/>
                <w:sz w:val="24"/>
                <w:szCs w:val="24"/>
                <w:lang w:val="en-US" w:eastAsia="zh-CN"/>
              </w:rPr>
              <w:t>0.98</w:t>
            </w:r>
            <w:r>
              <w:rPr>
                <w:rFonts w:hint="eastAsia" w:ascii="仿宋_GB2312" w:hAnsi="仿宋_GB2312" w:eastAsia="仿宋_GB2312"/>
                <w:sz w:val="24"/>
                <w:szCs w:val="24"/>
              </w:rPr>
              <w:t>万元</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_GB2312" w:eastAsia="仿宋_GB2312"/>
                <w:sz w:val="24"/>
                <w:szCs w:val="24"/>
              </w:rPr>
            </w:pPr>
            <w:r>
              <w:rPr>
                <w:rFonts w:hint="eastAsia" w:ascii="仿宋_GB2312" w:hAnsi="仿宋_GB2312" w:eastAsia="仿宋_GB2312"/>
                <w:sz w:val="24"/>
                <w:szCs w:val="24"/>
              </w:rPr>
              <w:t>实际完成非税收入1</w:t>
            </w:r>
            <w:r>
              <w:rPr>
                <w:rFonts w:hint="eastAsia" w:ascii="仿宋_GB2312" w:hAnsi="仿宋_GB2312" w:eastAsia="仿宋_GB2312"/>
                <w:sz w:val="24"/>
                <w:szCs w:val="24"/>
                <w:lang w:val="en-US" w:eastAsia="zh-CN"/>
              </w:rPr>
              <w:t>00.98</w:t>
            </w:r>
            <w:r>
              <w:rPr>
                <w:rFonts w:hint="eastAsia" w:ascii="仿宋_GB2312" w:hAnsi="仿宋_GB2312" w:eastAsia="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_GB2312" w:hAnsi="仿宋_GB2312" w:eastAsia="仿宋_GB2312"/>
                <w:sz w:val="24"/>
                <w:szCs w:val="24"/>
              </w:rPr>
            </w:pPr>
          </w:p>
        </w:tc>
        <w:tc>
          <w:tcPr>
            <w:tcW w:w="12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时效指标</w:t>
            </w: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按年初计划完成路灯及亮化设施大修工作</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_GB2312" w:eastAsia="仿宋_GB2312"/>
                <w:color w:val="000000"/>
                <w:sz w:val="24"/>
                <w:szCs w:val="24"/>
              </w:rPr>
            </w:pPr>
            <w:r>
              <w:rPr>
                <w:rFonts w:hint="eastAsia" w:ascii="仿宋_GB2312" w:hAnsi="仿宋_GB2312" w:eastAsia="仿宋_GB2312"/>
                <w:sz w:val="24"/>
                <w:szCs w:val="24"/>
              </w:rPr>
              <w:t>各项工作均按照年初计划如期完成。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_GB2312" w:hAnsi="仿宋_GB2312" w:eastAsia="仿宋_GB2312"/>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color w:val="000000"/>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及时处置路灯和亮化故障</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_GB2312" w:eastAsia="仿宋_GB2312"/>
                <w:color w:val="000000"/>
                <w:sz w:val="24"/>
                <w:szCs w:val="24"/>
              </w:rPr>
            </w:pPr>
            <w:r>
              <w:rPr>
                <w:rFonts w:hint="eastAsia" w:ascii="仿宋_GB2312" w:hAnsi="仿宋_GB2312" w:eastAsia="仿宋_GB2312"/>
                <w:sz w:val="24"/>
                <w:szCs w:val="24"/>
              </w:rPr>
              <w:t>各类故障得到及时处置，得到上级领导和市民的一致肯定。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_GB2312" w:hAnsi="仿宋_GB2312" w:eastAsia="仿宋_GB2312"/>
                <w:sz w:val="24"/>
                <w:szCs w:val="24"/>
              </w:rPr>
            </w:pPr>
          </w:p>
        </w:tc>
        <w:tc>
          <w:tcPr>
            <w:tcW w:w="12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成本指标</w:t>
            </w: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jc w:val="left"/>
              <w:textAlignment w:val="center"/>
              <w:rPr>
                <w:rFonts w:hint="eastAsia" w:ascii="仿宋_GB2312" w:hAnsi="仿宋_GB2312" w:eastAsia="仿宋_GB2312"/>
                <w:color w:val="000000"/>
                <w:sz w:val="24"/>
                <w:szCs w:val="24"/>
              </w:rPr>
            </w:pPr>
            <w:r>
              <w:rPr>
                <w:rFonts w:hint="eastAsia" w:ascii="仿宋_GB2312" w:hAnsi="仿宋" w:eastAsia="仿宋_GB2312"/>
                <w:color w:val="000000"/>
                <w:sz w:val="24"/>
                <w:szCs w:val="24"/>
              </w:rPr>
              <w:t>严格预算支出，控制在年初预算之内。</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40" w:lineRule="exact"/>
              <w:textAlignment w:val="center"/>
              <w:rPr>
                <w:rFonts w:hint="eastAsia" w:ascii="仿宋_GB2312" w:hAnsi="仿宋_GB2312" w:eastAsia="仿宋_GB2312"/>
                <w:color w:val="000000"/>
                <w:sz w:val="24"/>
                <w:szCs w:val="24"/>
              </w:rPr>
            </w:pPr>
            <w:r>
              <w:rPr>
                <w:rFonts w:hint="eastAsia" w:ascii="仿宋_GB2312" w:hAnsi="仿宋" w:eastAsia="仿宋_GB2312"/>
                <w:color w:val="000000"/>
                <w:sz w:val="24"/>
                <w:szCs w:val="24"/>
              </w:rPr>
              <w:t>各项经费无超预算支出情况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效益目标</w:t>
            </w:r>
          </w:p>
          <w:p>
            <w:pPr>
              <w:autoSpaceDN w:val="0"/>
              <w:spacing w:line="40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（预期实现的效益）</w:t>
            </w:r>
          </w:p>
        </w:tc>
        <w:tc>
          <w:tcPr>
            <w:tcW w:w="12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社会效益</w:t>
            </w: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保障中心城区路灯及亮化设施的亮化率达95%以上，提升城市整体形象。</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中心城区路灯及亮化设施的亮化率均达96%以上，城市整体形象有效提升。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创造良好的城市夜间环境，方便市民夜间出行。</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创造了良好的城市夜间环境，方便了市民夜间出行，在一定程度上助推了城市夜间经济发展。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_GB2312" w:hAnsi="仿宋_GB2312" w:eastAsia="仿宋_GB2312"/>
                <w:sz w:val="24"/>
                <w:szCs w:val="24"/>
              </w:rPr>
            </w:pPr>
          </w:p>
        </w:tc>
        <w:tc>
          <w:tcPr>
            <w:tcW w:w="12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经济效益</w:t>
            </w: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对老旧路灯进行提质改造，使用新型灯具，降低路灯及亮化设施的电费成本。</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新型灯具的运用，减少了路灯及亮化设施的电费成本。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rPr>
                <w:rFonts w:hint="eastAsia" w:ascii="仿宋_GB2312" w:hAnsi="仿宋_GB2312" w:eastAsia="仿宋_GB2312"/>
                <w:sz w:val="24"/>
                <w:szCs w:val="24"/>
              </w:rPr>
            </w:pPr>
          </w:p>
        </w:tc>
        <w:tc>
          <w:tcPr>
            <w:tcW w:w="12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center"/>
              <w:textAlignment w:val="center"/>
              <w:rPr>
                <w:rFonts w:hint="eastAsia" w:ascii="仿宋_GB2312" w:hAnsi="仿宋_GB2312" w:eastAsia="仿宋_GB2312"/>
                <w:color w:val="000000"/>
                <w:sz w:val="24"/>
                <w:szCs w:val="24"/>
              </w:rPr>
            </w:pP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创造良好的城市夜间环境，助推城市夜间经济发展。</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400" w:lineRule="exac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城市夜间环境得到有效改善，对助推城市夜间经济发展和城市旅游业发展起到了一定作用。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sz w:val="24"/>
                <w:szCs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rPr>
                <w:rFonts w:hint="eastAsia" w:ascii="仿宋_GB2312" w:hAnsi="仿宋_GB2312" w:eastAsia="仿宋_GB2312"/>
                <w:sz w:val="24"/>
                <w:szCs w:val="24"/>
              </w:rPr>
            </w:pPr>
          </w:p>
        </w:tc>
        <w:tc>
          <w:tcPr>
            <w:tcW w:w="12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社会公众或服务对象满意度</w:t>
            </w:r>
          </w:p>
        </w:tc>
        <w:tc>
          <w:tcPr>
            <w:tcW w:w="26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满意度≥90%</w:t>
            </w:r>
          </w:p>
        </w:tc>
        <w:tc>
          <w:tcPr>
            <w:tcW w:w="33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绩效自评综合得分</w:t>
            </w:r>
          </w:p>
        </w:tc>
        <w:tc>
          <w:tcPr>
            <w:tcW w:w="720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sz w:val="24"/>
                <w:szCs w:val="24"/>
              </w:rPr>
            </w:pPr>
            <w:r>
              <w:rPr>
                <w:rFonts w:hint="eastAsia" w:ascii="仿宋_GB2312" w:hAnsi="仿宋_GB2312" w:eastAsia="仿宋_GB2312"/>
                <w:sz w:val="24"/>
                <w:szCs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评价等次</w:t>
            </w:r>
          </w:p>
        </w:tc>
        <w:tc>
          <w:tcPr>
            <w:tcW w:w="720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姓  名</w:t>
            </w:r>
          </w:p>
        </w:tc>
        <w:tc>
          <w:tcPr>
            <w:tcW w:w="36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职务/职称</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      单位</w:t>
            </w: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王  玮</w:t>
            </w:r>
          </w:p>
        </w:tc>
        <w:tc>
          <w:tcPr>
            <w:tcW w:w="36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主  任</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岳阳市城市照明管理中心</w:t>
            </w: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袁  康</w:t>
            </w:r>
          </w:p>
        </w:tc>
        <w:tc>
          <w:tcPr>
            <w:tcW w:w="36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副主任</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岳阳市城市照明管理中心</w:t>
            </w: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王  娟</w:t>
            </w:r>
          </w:p>
        </w:tc>
        <w:tc>
          <w:tcPr>
            <w:tcW w:w="36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科  长</w:t>
            </w:r>
          </w:p>
        </w:tc>
        <w:tc>
          <w:tcPr>
            <w:tcW w:w="17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岳阳市城市照明管理中心</w:t>
            </w:r>
          </w:p>
        </w:tc>
        <w:tc>
          <w:tcPr>
            <w:tcW w:w="31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center"/>
              <w:textAlignment w:val="center"/>
              <w:rPr>
                <w:rFonts w:hint="eastAsia" w:ascii="仿宋_GB2312" w:hAnsi="仿宋_GB2312"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评价组组长（签字）：</w:t>
            </w: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N w:val="0"/>
              <w:spacing w:line="32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部门（单位）意见：</w:t>
            </w: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p>
          <w:p>
            <w:pPr>
              <w:autoSpaceDN w:val="0"/>
              <w:spacing w:line="32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                                         部门（单位）负责人（签章）：</w:t>
            </w:r>
          </w:p>
          <w:p>
            <w:pPr>
              <w:autoSpaceDN w:val="0"/>
              <w:spacing w:line="320" w:lineRule="exact"/>
              <w:jc w:val="left"/>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1019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eastAsia="仿宋_GB2312"/>
                <w:sz w:val="24"/>
                <w:szCs w:val="24"/>
              </w:rPr>
            </w:pPr>
            <w:r>
              <w:rPr>
                <w:rFonts w:hint="eastAsia" w:eastAsia="仿宋_GB2312"/>
                <w:sz w:val="24"/>
                <w:szCs w:val="24"/>
              </w:rPr>
              <w:t>财政部门归口业务科室意见：</w:t>
            </w:r>
          </w:p>
          <w:p>
            <w:pPr>
              <w:spacing w:line="320" w:lineRule="exact"/>
              <w:rPr>
                <w:rFonts w:hint="eastAsia" w:eastAsia="仿宋_GB2312"/>
                <w:sz w:val="24"/>
                <w:szCs w:val="24"/>
              </w:rPr>
            </w:pPr>
          </w:p>
          <w:p>
            <w:pPr>
              <w:spacing w:line="320" w:lineRule="exact"/>
              <w:rPr>
                <w:rFonts w:hint="eastAsia" w:eastAsia="仿宋_GB2312"/>
                <w:sz w:val="24"/>
                <w:szCs w:val="24"/>
              </w:rPr>
            </w:pPr>
          </w:p>
          <w:p>
            <w:pPr>
              <w:spacing w:line="320" w:lineRule="exact"/>
              <w:rPr>
                <w:rFonts w:hint="eastAsia" w:eastAsia="仿宋_GB2312"/>
                <w:sz w:val="24"/>
                <w:szCs w:val="24"/>
              </w:rPr>
            </w:pPr>
          </w:p>
          <w:p>
            <w:pPr>
              <w:spacing w:line="320" w:lineRule="exact"/>
              <w:rPr>
                <w:rFonts w:hint="eastAsia" w:eastAsia="仿宋_GB2312"/>
                <w:sz w:val="24"/>
                <w:szCs w:val="24"/>
              </w:rPr>
            </w:pPr>
          </w:p>
          <w:p>
            <w:pPr>
              <w:spacing w:line="320" w:lineRule="exact"/>
              <w:rPr>
                <w:rFonts w:hint="eastAsia" w:eastAsia="仿宋_GB2312"/>
                <w:sz w:val="24"/>
                <w:szCs w:val="24"/>
              </w:rPr>
            </w:pPr>
            <w:r>
              <w:rPr>
                <w:rFonts w:hint="eastAsia" w:eastAsia="仿宋_GB2312"/>
                <w:sz w:val="24"/>
                <w:szCs w:val="24"/>
              </w:rPr>
              <w:t xml:space="preserve">                                  财政部门归口业务科室负责人（签章）：</w:t>
            </w:r>
          </w:p>
          <w:p>
            <w:pPr>
              <w:autoSpaceDN w:val="0"/>
              <w:spacing w:line="320" w:lineRule="exact"/>
              <w:jc w:val="left"/>
              <w:textAlignment w:val="center"/>
              <w:rPr>
                <w:rFonts w:hint="eastAsia" w:ascii="仿宋_GB2312" w:hAnsi="仿宋_GB2312" w:eastAsia="仿宋_GB2312"/>
                <w:color w:val="000000"/>
                <w:sz w:val="24"/>
                <w:szCs w:val="24"/>
              </w:rPr>
            </w:pPr>
            <w:r>
              <w:rPr>
                <w:rFonts w:hint="eastAsia" w:eastAsia="仿宋_GB2312"/>
                <w:sz w:val="24"/>
                <w:szCs w:val="24"/>
              </w:rPr>
              <w:t xml:space="preserve">                                                                 年    月   日</w:t>
            </w:r>
          </w:p>
        </w:tc>
      </w:tr>
    </w:tbl>
    <w:p>
      <w:pPr>
        <w:rPr>
          <w:rFonts w:hint="eastAsia" w:eastAsia="仿宋_GB2312"/>
          <w:sz w:val="28"/>
          <w:szCs w:val="24"/>
        </w:rPr>
      </w:pPr>
      <w:r>
        <w:rPr>
          <w:rFonts w:hint="eastAsia" w:eastAsia="仿宋_GB2312"/>
          <w:sz w:val="28"/>
          <w:szCs w:val="24"/>
        </w:rPr>
        <w:t>填报人（签名）： 姜  华             联系电话：8222406</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eastAsia" w:ascii="黑体" w:hAnsi="黑体" w:eastAsia="黑体"/>
                <w:b/>
                <w:sz w:val="32"/>
                <w:szCs w:val="24"/>
              </w:rPr>
            </w:pPr>
            <w:r>
              <w:rPr>
                <w:rFonts w:hint="eastAsia" w:ascii="黑体" w:hAnsi="黑体" w:eastAsia="黑体"/>
                <w:b/>
                <w:sz w:val="32"/>
                <w:szCs w:val="24"/>
              </w:rPr>
              <w:t>五、评价报告综述</w:t>
            </w:r>
          </w:p>
          <w:p>
            <w:pPr>
              <w:spacing w:line="440" w:lineRule="exact"/>
              <w:ind w:firstLine="640" w:firstLineChars="200"/>
              <w:rPr>
                <w:rFonts w:hint="eastAsia" w:eastAsia="仿宋_GB2312"/>
                <w:sz w:val="32"/>
                <w:szCs w:val="24"/>
              </w:rPr>
            </w:pPr>
          </w:p>
          <w:p>
            <w:pPr>
              <w:spacing w:line="480" w:lineRule="exact"/>
              <w:ind w:firstLine="560" w:firstLineChars="200"/>
              <w:rPr>
                <w:rFonts w:hint="eastAsia" w:ascii="仿宋_GB2312" w:hAnsi="仿宋_GB2312" w:eastAsia="仿宋_GB2312"/>
                <w:b/>
                <w:sz w:val="28"/>
                <w:szCs w:val="24"/>
              </w:rPr>
            </w:pPr>
            <w:r>
              <w:rPr>
                <w:rFonts w:hint="eastAsia" w:ascii="仿宋_GB2312" w:hAnsi="仿宋_GB2312" w:eastAsia="仿宋_GB2312"/>
                <w:b/>
                <w:sz w:val="28"/>
                <w:szCs w:val="24"/>
              </w:rPr>
              <w:t>一、单位概况</w:t>
            </w:r>
          </w:p>
          <w:p>
            <w:pPr>
              <w:spacing w:line="480" w:lineRule="exact"/>
              <w:ind w:firstLine="560" w:firstLineChars="200"/>
              <w:rPr>
                <w:rFonts w:hint="eastAsia" w:ascii="仿宋_GB2312" w:hAnsi="仿宋_GB2312" w:eastAsia="仿宋_GB2312"/>
                <w:b/>
                <w:sz w:val="28"/>
                <w:szCs w:val="24"/>
              </w:rPr>
            </w:pPr>
            <w:r>
              <w:rPr>
                <w:rFonts w:hint="eastAsia" w:ascii="仿宋_GB2312" w:hAnsi="仿宋_GB2312" w:eastAsia="仿宋_GB2312"/>
                <w:b/>
                <w:sz w:val="28"/>
                <w:szCs w:val="24"/>
              </w:rPr>
              <w:t>（一）单位基本情况</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color w:val="000000"/>
                <w:sz w:val="28"/>
                <w:szCs w:val="24"/>
              </w:rPr>
              <w:t>岳阳市城市照明管理中心</w:t>
            </w:r>
            <w:r>
              <w:rPr>
                <w:rFonts w:hint="eastAsia" w:ascii="仿宋_GB2312" w:hAnsi="仿宋_GB2312" w:eastAsia="仿宋_GB2312"/>
                <w:sz w:val="28"/>
                <w:szCs w:val="24"/>
              </w:rPr>
              <w:t>为公益一类事业单位，隶属岳阳市城市管理和综合执法局。</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主要工作职责：</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1、</w:t>
            </w:r>
            <w:r>
              <w:rPr>
                <w:rFonts w:hint="eastAsia" w:ascii="仿宋_GB2312" w:hAnsi="仿宋_GB2312" w:eastAsia="仿宋_GB2312"/>
                <w:w w:val="90"/>
                <w:sz w:val="28"/>
                <w:szCs w:val="24"/>
              </w:rPr>
              <w:t>负责城区道路照明及亮化设施、设备的日常维护、管理与安全稽查工作</w:t>
            </w:r>
            <w:r>
              <w:rPr>
                <w:rFonts w:hint="eastAsia" w:ascii="仿宋_GB2312" w:hAnsi="仿宋_GB2312" w:eastAsia="仿宋_GB2312"/>
                <w:sz w:val="28"/>
                <w:szCs w:val="24"/>
              </w:rPr>
              <w:t>;</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2、负责城区道路照明工程的新建、改建任务;</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3、参与城区道路照明亮化工程及新、改建工程的材料采购和验收工作;</w:t>
            </w:r>
          </w:p>
          <w:p>
            <w:pPr>
              <w:spacing w:line="480" w:lineRule="exact"/>
              <w:ind w:firstLine="560" w:firstLineChars="200"/>
              <w:rPr>
                <w:rFonts w:hint="eastAsia" w:ascii="仿宋_GB2312" w:hAnsi="仿宋_GB2312" w:eastAsia="仿宋_GB2312"/>
                <w:w w:val="90"/>
                <w:sz w:val="28"/>
                <w:szCs w:val="24"/>
              </w:rPr>
            </w:pPr>
            <w:r>
              <w:rPr>
                <w:rFonts w:hint="eastAsia" w:ascii="仿宋_GB2312" w:hAnsi="仿宋_GB2312" w:eastAsia="仿宋_GB2312"/>
                <w:sz w:val="28"/>
                <w:szCs w:val="24"/>
              </w:rPr>
              <w:t>4、负责制订城区道路照明及亮化方案</w:t>
            </w:r>
            <w:r>
              <w:rPr>
                <w:rFonts w:hint="eastAsia" w:ascii="仿宋_GB2312" w:hAnsi="仿宋_GB2312" w:eastAsia="仿宋_GB2312"/>
                <w:w w:val="90"/>
                <w:sz w:val="28"/>
                <w:szCs w:val="24"/>
              </w:rPr>
              <w:t>;</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5、完成上级交办的其它工作。</w:t>
            </w:r>
          </w:p>
          <w:p>
            <w:pPr>
              <w:spacing w:line="480" w:lineRule="exact"/>
              <w:ind w:firstLine="560" w:firstLineChars="200"/>
              <w:rPr>
                <w:rFonts w:hint="eastAsia" w:ascii="仿宋_GB2312" w:hAnsi="仿宋_GB2312" w:eastAsia="仿宋_GB2312"/>
                <w:b/>
                <w:sz w:val="28"/>
                <w:szCs w:val="24"/>
              </w:rPr>
            </w:pPr>
            <w:r>
              <w:rPr>
                <w:rFonts w:hint="eastAsia" w:ascii="仿宋_GB2312" w:hAnsi="仿宋_GB2312" w:eastAsia="仿宋_GB2312"/>
                <w:b/>
                <w:sz w:val="28"/>
                <w:szCs w:val="24"/>
              </w:rPr>
              <w:t>（二）单位整体支出规模、使用方向和主要内容、涉及范围等</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20</w:t>
            </w:r>
            <w:r>
              <w:rPr>
                <w:rFonts w:hint="eastAsia" w:ascii="仿宋_GB2312" w:hAnsi="仿宋_GB2312" w:eastAsia="仿宋_GB2312"/>
                <w:sz w:val="28"/>
                <w:szCs w:val="24"/>
                <w:lang w:val="en-US" w:eastAsia="zh-CN"/>
              </w:rPr>
              <w:t>22</w:t>
            </w:r>
            <w:r>
              <w:rPr>
                <w:rFonts w:hint="eastAsia" w:ascii="仿宋_GB2312" w:hAnsi="仿宋_GB2312" w:eastAsia="仿宋_GB2312"/>
                <w:sz w:val="28"/>
                <w:szCs w:val="24"/>
              </w:rPr>
              <w:t>年度实际支出</w:t>
            </w:r>
            <w:r>
              <w:rPr>
                <w:rFonts w:hint="eastAsia" w:ascii="仿宋_GB2312" w:hAnsi="仿宋_GB2312" w:eastAsia="仿宋_GB2312"/>
                <w:sz w:val="28"/>
                <w:szCs w:val="24"/>
                <w:lang w:val="en-US" w:eastAsia="zh-CN"/>
              </w:rPr>
              <w:t>4811.71</w:t>
            </w:r>
            <w:r>
              <w:rPr>
                <w:rFonts w:hint="eastAsia" w:ascii="仿宋_GB2312" w:hAnsi="仿宋_GB2312" w:eastAsia="仿宋_GB2312"/>
                <w:sz w:val="28"/>
                <w:szCs w:val="24"/>
              </w:rPr>
              <w:t>万元，其中基本支出</w:t>
            </w:r>
            <w:r>
              <w:rPr>
                <w:rFonts w:hint="eastAsia" w:ascii="仿宋_GB2312" w:hAnsi="仿宋_GB2312" w:eastAsia="仿宋_GB2312"/>
                <w:sz w:val="28"/>
                <w:szCs w:val="24"/>
                <w:lang w:val="en-US" w:eastAsia="zh-CN"/>
              </w:rPr>
              <w:t>1426.15</w:t>
            </w:r>
            <w:r>
              <w:rPr>
                <w:rFonts w:hint="eastAsia" w:ascii="仿宋_GB2312" w:hAnsi="仿宋_GB2312" w:eastAsia="仿宋_GB2312"/>
                <w:sz w:val="28"/>
                <w:szCs w:val="24"/>
              </w:rPr>
              <w:t>万元，项目支出</w:t>
            </w:r>
            <w:r>
              <w:rPr>
                <w:rFonts w:hint="eastAsia" w:ascii="仿宋_GB2312" w:hAnsi="仿宋_GB2312" w:eastAsia="仿宋_GB2312"/>
                <w:sz w:val="28"/>
                <w:szCs w:val="24"/>
                <w:lang w:val="en-US" w:eastAsia="zh-CN"/>
              </w:rPr>
              <w:t>3385.56</w:t>
            </w:r>
            <w:r>
              <w:rPr>
                <w:rFonts w:hint="eastAsia" w:ascii="仿宋_GB2312" w:hAnsi="仿宋_GB2312" w:eastAsia="仿宋_GB2312"/>
                <w:sz w:val="28"/>
                <w:szCs w:val="24"/>
              </w:rPr>
              <w:t>万元。</w:t>
            </w:r>
          </w:p>
          <w:p>
            <w:pPr>
              <w:spacing w:line="480" w:lineRule="exact"/>
              <w:ind w:firstLine="560" w:firstLineChars="200"/>
              <w:rPr>
                <w:rFonts w:hint="eastAsia" w:ascii="仿宋_GB2312" w:hAnsi="仿宋_GB2312" w:eastAsia="仿宋_GB2312"/>
                <w:b/>
                <w:sz w:val="28"/>
                <w:szCs w:val="24"/>
              </w:rPr>
            </w:pPr>
            <w:r>
              <w:rPr>
                <w:rFonts w:hint="eastAsia" w:ascii="仿宋_GB2312" w:hAnsi="仿宋_GB2312" w:eastAsia="仿宋_GB2312"/>
                <w:sz w:val="28"/>
                <w:szCs w:val="24"/>
              </w:rPr>
              <w:t>基本支出主要列支人员支出（包括工资福利支出及对个人和家庭的补助）和公用支出（商品和服务支出及资本性支出），项目支出主要列支城区路灯大修经费、亮化管理计量工作经费、路灯及公用亮化设施维护费、路灯及公用亮化设施运行电费、中心城区景观亮化大修专项经费、非税收入征收成本和补助项目支出。</w:t>
            </w:r>
          </w:p>
          <w:p>
            <w:pPr>
              <w:spacing w:line="480" w:lineRule="exact"/>
              <w:ind w:firstLine="420" w:firstLineChars="150"/>
              <w:rPr>
                <w:rFonts w:hint="eastAsia" w:ascii="仿宋_GB2312" w:hAnsi="仿宋_GB2312" w:eastAsia="仿宋_GB2312"/>
                <w:b/>
                <w:sz w:val="28"/>
                <w:szCs w:val="24"/>
              </w:rPr>
            </w:pPr>
            <w:r>
              <w:rPr>
                <w:rFonts w:hint="eastAsia" w:ascii="仿宋_GB2312" w:hAnsi="仿宋_GB2312" w:eastAsia="仿宋_GB2312"/>
                <w:b/>
                <w:sz w:val="28"/>
                <w:szCs w:val="24"/>
              </w:rPr>
              <w:t>二、单位整体支出管理及使用情况</w:t>
            </w:r>
          </w:p>
          <w:p>
            <w:pPr>
              <w:spacing w:line="480" w:lineRule="exact"/>
              <w:ind w:firstLine="560" w:firstLineChars="200"/>
              <w:rPr>
                <w:rFonts w:hint="eastAsia" w:ascii="仿宋_GB2312" w:hAnsi="仿宋_GB2312" w:eastAsia="仿宋_GB2312"/>
                <w:b/>
                <w:sz w:val="28"/>
                <w:szCs w:val="24"/>
              </w:rPr>
            </w:pPr>
            <w:r>
              <w:rPr>
                <w:rFonts w:hint="eastAsia" w:ascii="仿宋_GB2312" w:hAnsi="仿宋_GB2312" w:eastAsia="仿宋_GB2312"/>
                <w:b/>
                <w:sz w:val="28"/>
                <w:szCs w:val="24"/>
              </w:rPr>
              <w:t>（一）基本支出</w:t>
            </w:r>
          </w:p>
          <w:p>
            <w:pPr>
              <w:autoSpaceDN w:val="0"/>
              <w:spacing w:line="480" w:lineRule="exact"/>
              <w:ind w:firstLine="560" w:firstLineChars="200"/>
              <w:textAlignment w:val="center"/>
              <w:rPr>
                <w:rFonts w:hint="eastAsia" w:ascii="仿宋_GB2312" w:hAnsi="仿宋_GB2312" w:eastAsia="仿宋_GB2312"/>
                <w:color w:val="000000"/>
                <w:sz w:val="28"/>
                <w:szCs w:val="24"/>
              </w:rPr>
            </w:pPr>
            <w:r>
              <w:rPr>
                <w:rFonts w:hint="eastAsia" w:ascii="仿宋_GB2312" w:hAnsi="仿宋_GB2312" w:eastAsia="仿宋_GB2312"/>
                <w:sz w:val="28"/>
                <w:szCs w:val="24"/>
              </w:rPr>
              <w:t>202</w:t>
            </w:r>
            <w:r>
              <w:rPr>
                <w:rFonts w:hint="eastAsia" w:ascii="仿宋_GB2312" w:hAnsi="仿宋_GB2312" w:eastAsia="仿宋_GB2312"/>
                <w:sz w:val="28"/>
                <w:szCs w:val="24"/>
                <w:lang w:val="en-US" w:eastAsia="zh-CN"/>
              </w:rPr>
              <w:t>2</w:t>
            </w:r>
            <w:r>
              <w:rPr>
                <w:rFonts w:hint="eastAsia" w:ascii="仿宋_GB2312" w:hAnsi="仿宋_GB2312" w:eastAsia="仿宋_GB2312"/>
                <w:sz w:val="28"/>
                <w:szCs w:val="24"/>
              </w:rPr>
              <w:t>年度，基本支出1</w:t>
            </w:r>
            <w:r>
              <w:rPr>
                <w:rFonts w:hint="eastAsia" w:ascii="仿宋_GB2312" w:hAnsi="仿宋_GB2312" w:eastAsia="仿宋_GB2312"/>
                <w:sz w:val="28"/>
                <w:szCs w:val="24"/>
                <w:lang w:val="en-US" w:eastAsia="zh-CN"/>
              </w:rPr>
              <w:t>203.1</w:t>
            </w:r>
            <w:r>
              <w:rPr>
                <w:rFonts w:hint="eastAsia" w:ascii="仿宋_GB2312" w:hAnsi="仿宋_GB2312" w:eastAsia="仿宋_GB2312"/>
                <w:sz w:val="28"/>
                <w:szCs w:val="24"/>
              </w:rPr>
              <w:t>万元，其中人员经费支出6</w:t>
            </w:r>
            <w:r>
              <w:rPr>
                <w:rFonts w:hint="eastAsia" w:ascii="仿宋_GB2312" w:hAnsi="仿宋_GB2312" w:eastAsia="仿宋_GB2312"/>
                <w:sz w:val="28"/>
                <w:szCs w:val="24"/>
                <w:lang w:val="en-US" w:eastAsia="zh-CN"/>
              </w:rPr>
              <w:t>27.86</w:t>
            </w:r>
            <w:r>
              <w:rPr>
                <w:rFonts w:hint="eastAsia" w:ascii="仿宋_GB2312" w:hAnsi="仿宋_GB2312" w:eastAsia="仿宋_GB2312"/>
                <w:sz w:val="28"/>
                <w:szCs w:val="24"/>
              </w:rPr>
              <w:t>万元，公用经费支出</w:t>
            </w:r>
            <w:r>
              <w:rPr>
                <w:rFonts w:hint="eastAsia" w:ascii="仿宋_GB2312" w:hAnsi="仿宋_GB2312" w:eastAsia="仿宋_GB2312"/>
                <w:sz w:val="28"/>
                <w:szCs w:val="24"/>
                <w:lang w:val="en-US" w:eastAsia="zh-CN"/>
              </w:rPr>
              <w:t>575.24</w:t>
            </w:r>
            <w:r>
              <w:rPr>
                <w:rFonts w:hint="eastAsia" w:ascii="仿宋_GB2312" w:hAnsi="仿宋_GB2312" w:eastAsia="仿宋_GB2312"/>
                <w:sz w:val="28"/>
                <w:szCs w:val="24"/>
              </w:rPr>
              <w:t>万元。</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本年“三公经费”支出合计</w:t>
            </w:r>
            <w:r>
              <w:rPr>
                <w:rFonts w:hint="eastAsia" w:ascii="仿宋_GB2312" w:hAnsi="仿宋_GB2312" w:eastAsia="仿宋_GB2312"/>
                <w:sz w:val="28"/>
                <w:szCs w:val="24"/>
                <w:lang w:val="en-US" w:eastAsia="zh-CN"/>
              </w:rPr>
              <w:t>0</w:t>
            </w:r>
            <w:r>
              <w:rPr>
                <w:rFonts w:hint="eastAsia" w:ascii="仿宋_GB2312" w:hAnsi="仿宋_GB2312" w:eastAsia="仿宋_GB2312"/>
                <w:sz w:val="28"/>
                <w:szCs w:val="24"/>
              </w:rPr>
              <w:t>万元，其中公务接待费支出</w:t>
            </w:r>
            <w:r>
              <w:rPr>
                <w:rFonts w:hint="eastAsia" w:ascii="仿宋_GB2312" w:hAnsi="仿宋_GB2312" w:eastAsia="仿宋_GB2312"/>
                <w:sz w:val="28"/>
                <w:szCs w:val="24"/>
                <w:lang w:val="en-US" w:eastAsia="zh-CN"/>
              </w:rPr>
              <w:t>0</w:t>
            </w:r>
            <w:r>
              <w:rPr>
                <w:rFonts w:hint="eastAsia" w:ascii="仿宋_GB2312" w:hAnsi="仿宋_GB2312" w:eastAsia="仿宋_GB2312"/>
                <w:sz w:val="28"/>
                <w:szCs w:val="24"/>
              </w:rPr>
              <w:t>万元，因公出国费用0万元，公务用车维护费支出0 万元，“三公经费”控制在年初预算之内，支出总额较上年下降</w:t>
            </w:r>
            <w:r>
              <w:rPr>
                <w:rFonts w:hint="eastAsia" w:ascii="仿宋_GB2312" w:hAnsi="仿宋_GB2312" w:eastAsia="仿宋_GB2312"/>
                <w:sz w:val="28"/>
                <w:szCs w:val="24"/>
                <w:lang w:val="en-US" w:eastAsia="zh-CN"/>
              </w:rPr>
              <w:t>5</w:t>
            </w:r>
            <w:r>
              <w:rPr>
                <w:rFonts w:hint="eastAsia" w:ascii="仿宋_GB2312" w:hAnsi="仿宋_GB2312" w:eastAsia="仿宋_GB2312"/>
                <w:sz w:val="28"/>
                <w:szCs w:val="24"/>
              </w:rPr>
              <w:t>%。</w:t>
            </w:r>
          </w:p>
          <w:p>
            <w:pPr>
              <w:spacing w:line="480" w:lineRule="exact"/>
              <w:ind w:firstLine="560" w:firstLineChars="200"/>
              <w:rPr>
                <w:rFonts w:hint="eastAsia" w:ascii="仿宋_GB2312" w:hAnsi="仿宋_GB2312" w:eastAsia="仿宋_GB2312"/>
                <w:b/>
                <w:sz w:val="28"/>
                <w:szCs w:val="24"/>
              </w:rPr>
            </w:pPr>
            <w:r>
              <w:rPr>
                <w:rFonts w:hint="eastAsia" w:ascii="仿宋_GB2312" w:hAnsi="仿宋_GB2312" w:eastAsia="仿宋_GB2312"/>
                <w:b/>
                <w:sz w:val="28"/>
                <w:szCs w:val="24"/>
              </w:rPr>
              <w:t>（二）专项支出</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1、专项资金安排落实、总投入和实际使用等情况分析</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202</w:t>
            </w:r>
            <w:r>
              <w:rPr>
                <w:rFonts w:hint="eastAsia" w:ascii="仿宋_GB2312" w:hAnsi="仿宋_GB2312" w:eastAsia="仿宋_GB2312"/>
                <w:sz w:val="28"/>
                <w:szCs w:val="24"/>
                <w:lang w:val="en-US" w:eastAsia="zh-CN"/>
              </w:rPr>
              <w:t>2</w:t>
            </w:r>
            <w:r>
              <w:rPr>
                <w:rFonts w:hint="eastAsia" w:ascii="仿宋_GB2312" w:hAnsi="仿宋_GB2312" w:eastAsia="仿宋_GB2312"/>
                <w:sz w:val="28"/>
                <w:szCs w:val="24"/>
              </w:rPr>
              <w:t>年，专项资金支出</w:t>
            </w:r>
            <w:r>
              <w:rPr>
                <w:rFonts w:hint="eastAsia" w:ascii="仿宋_GB2312" w:hAnsi="仿宋_GB2312" w:eastAsia="仿宋_GB2312"/>
                <w:sz w:val="28"/>
                <w:szCs w:val="24"/>
                <w:lang w:val="en-US" w:eastAsia="zh-CN"/>
              </w:rPr>
              <w:t>3385.56</w:t>
            </w:r>
            <w:r>
              <w:rPr>
                <w:rFonts w:hint="eastAsia" w:ascii="仿宋_GB2312" w:hAnsi="仿宋_GB2312" w:eastAsia="仿宋_GB2312"/>
                <w:sz w:val="28"/>
                <w:szCs w:val="24"/>
              </w:rPr>
              <w:t>万元，经费来源于市级财政拨款，主要列支202</w:t>
            </w:r>
            <w:r>
              <w:rPr>
                <w:rFonts w:hint="eastAsia" w:ascii="仿宋_GB2312" w:hAnsi="仿宋_GB2312" w:eastAsia="仿宋_GB2312"/>
                <w:sz w:val="28"/>
                <w:szCs w:val="24"/>
                <w:lang w:val="en-US" w:eastAsia="zh-CN"/>
              </w:rPr>
              <w:t>2</w:t>
            </w:r>
            <w:r>
              <w:rPr>
                <w:rFonts w:hint="eastAsia" w:ascii="仿宋_GB2312" w:hAnsi="仿宋_GB2312" w:eastAsia="仿宋_GB2312"/>
                <w:sz w:val="28"/>
                <w:szCs w:val="24"/>
              </w:rPr>
              <w:t>年中心城区路灯的正常维护、公共亮化设施维护管理、路灯及亮化工程的大修和路灯及亮化设施的运行电费和重大节日氛围营造等费用。</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2、专项资金管理情况分析：</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中心结合实际情况，制订了《专项资金管理办法》、《专项资金绩效评价办法》、《项目实施管理办法》、《项目实施细则》、《岗位责任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480" w:lineRule="exact"/>
              <w:ind w:firstLine="560" w:firstLineChars="200"/>
              <w:rPr>
                <w:rFonts w:hint="eastAsia" w:ascii="仿宋_GB2312" w:hAnsi="仿宋_GB2312" w:eastAsia="仿宋_GB2312"/>
                <w:b/>
                <w:sz w:val="28"/>
                <w:szCs w:val="24"/>
              </w:rPr>
            </w:pPr>
            <w:r>
              <w:rPr>
                <w:rFonts w:hint="eastAsia" w:ascii="仿宋_GB2312" w:hAnsi="仿宋_GB2312" w:eastAsia="仿宋_GB2312"/>
                <w:b/>
                <w:sz w:val="28"/>
                <w:szCs w:val="24"/>
              </w:rPr>
              <w:t>三、单位专项组织实施情况</w:t>
            </w:r>
          </w:p>
          <w:p>
            <w:pPr>
              <w:spacing w:line="480" w:lineRule="exact"/>
              <w:ind w:firstLine="560" w:firstLineChars="200"/>
              <w:rPr>
                <w:rFonts w:hint="eastAsia" w:ascii="仿宋_GB2312" w:hAnsi="仿宋_GB2312" w:eastAsia="仿宋_GB2312"/>
                <w:sz w:val="28"/>
                <w:szCs w:val="24"/>
              </w:rPr>
            </w:pPr>
            <w:r>
              <w:rPr>
                <w:rFonts w:hint="eastAsia" w:ascii="仿宋_GB2312" w:hAnsi="仿宋_GB2312" w:eastAsia="仿宋_GB2312"/>
                <w:sz w:val="28"/>
                <w:szCs w:val="24"/>
              </w:rPr>
              <w:t>专项组织、管理情况分析：中心的主要专项是路灯及公用亮化设施维护项目和路灯及亮化设施的运行电费，单位领导高度重视专项组织与管理工作，成立了专门的组织机构负责，配备专门人员管理，召开专题会议，布置工作明确目标任务。工作中各部门联动，依据单位《专项资金管理办法》、《专项资金绩效评价办法》、《项目实施管理办法》、《项目实施细则》、《岗位责任制度》等制度对项目实施全过程进行管理，确保专项支出从“事前、事中、事后”全过程监控，确保了经费支出效益。</w:t>
            </w:r>
          </w:p>
          <w:p>
            <w:pPr>
              <w:spacing w:line="480" w:lineRule="exact"/>
              <w:ind w:firstLine="560" w:firstLineChars="200"/>
              <w:rPr>
                <w:rFonts w:hint="eastAsia" w:ascii="仿宋_GB2312" w:hAnsi="仿宋_GB2312" w:eastAsia="仿宋_GB2312"/>
                <w:b/>
                <w:color w:val="FF0000"/>
                <w:sz w:val="28"/>
                <w:szCs w:val="24"/>
              </w:rPr>
            </w:pPr>
            <w:r>
              <w:rPr>
                <w:rFonts w:hint="eastAsia" w:ascii="仿宋_GB2312" w:hAnsi="仿宋_GB2312" w:eastAsia="仿宋_GB2312"/>
                <w:b/>
                <w:sz w:val="28"/>
                <w:szCs w:val="24"/>
              </w:rPr>
              <w:t>四、单位整体支出绩效情况</w:t>
            </w:r>
          </w:p>
          <w:p>
            <w:pPr>
              <w:spacing w:line="480" w:lineRule="exact"/>
              <w:rPr>
                <w:rFonts w:hint="eastAsia" w:ascii="仿宋_GB2312" w:hAnsi="仿宋_GB2312" w:eastAsia="仿宋_GB2312"/>
                <w:sz w:val="28"/>
                <w:szCs w:val="24"/>
              </w:rPr>
            </w:pPr>
            <w:r>
              <w:rPr>
                <w:rFonts w:hint="eastAsia" w:ascii="仿宋_GB2312" w:hAnsi="仿宋_GB2312" w:eastAsia="仿宋_GB2312"/>
                <w:b/>
                <w:sz w:val="28"/>
                <w:szCs w:val="24"/>
              </w:rPr>
              <w:t xml:space="preserve">   (一)凝心聚力夯基础，全力保障灯明景亮。</w:t>
            </w:r>
            <w:r>
              <w:rPr>
                <w:rFonts w:hint="eastAsia" w:ascii="仿宋_GB2312" w:hAnsi="仿宋_GB2312" w:eastAsia="仿宋_GB2312"/>
                <w:sz w:val="28"/>
                <w:szCs w:val="24"/>
              </w:rPr>
              <w:t>为提高中心城区路灯及亮化运行质量，营造整洁美观的城市照明环境，中心立足于工作实际,在改革中求发展，在发展中求创新。一是多措并举，加强路灯及亮化设施的巡查力度，路灯及亮化故障的处置力度，探索深夜维修模式，将一线晚班工作时间再延长，并充分利用双休日、节假日，避开人流车流高峰，昼夜护航，分片区、分类型，扎实、高效地开展路灯及亮化的维护、巡查工作。二是针对市民反映较多的树荫遮光、光衰严重、照度不够、运行不稳定等问题，为保障民生、及时解决市民诉求，中心通过前期摸底、现场查勘，在不破路、不接电，充分利用原有设施的基础上，对城区照明情况进行梳理，通过科学规划，在满足夜间照明需求的同时，提升城市夜间景观效果，达到“节约资金、聚焦民生”的目的。通过多方努力确保日常亮灯率达到96%，重大活动、重要节假日期间主次干道亮灯率达到99%，小街巷亮灯率达到95%以上。</w:t>
            </w:r>
          </w:p>
          <w:p>
            <w:pPr>
              <w:spacing w:line="480" w:lineRule="exact"/>
              <w:rPr>
                <w:rFonts w:hint="eastAsia" w:ascii="仿宋_GB2312" w:hAnsi="仿宋_GB2312" w:eastAsia="仿宋_GB2312"/>
                <w:color w:val="000000"/>
                <w:sz w:val="28"/>
                <w:szCs w:val="24"/>
              </w:rPr>
            </w:pPr>
            <w:r>
              <w:rPr>
                <w:rFonts w:hint="eastAsia" w:ascii="仿宋_GB2312" w:hAnsi="仿宋_GB2312" w:eastAsia="仿宋_GB2312"/>
                <w:b/>
                <w:sz w:val="28"/>
                <w:szCs w:val="24"/>
              </w:rPr>
              <w:t xml:space="preserve">    (二)精益求精重品质，匠心打造优质工程。</w:t>
            </w:r>
            <w:r>
              <w:rPr>
                <w:rFonts w:hint="eastAsia" w:ascii="仿宋_GB2312" w:hAnsi="仿宋_GB2312" w:eastAsia="仿宋_GB2312"/>
                <w:color w:val="000000"/>
                <w:sz w:val="28"/>
                <w:szCs w:val="24"/>
              </w:rPr>
              <w:t>一是</w:t>
            </w:r>
            <w:r>
              <w:rPr>
                <w:rFonts w:hint="eastAsia" w:ascii="仿宋_GB2312" w:hAnsi="仿宋_GB2312" w:eastAsia="仿宋_GB2312"/>
                <w:color w:val="333333"/>
                <w:sz w:val="28"/>
                <w:szCs w:val="24"/>
              </w:rPr>
              <w:t>在</w:t>
            </w:r>
            <w:r>
              <w:rPr>
                <w:rFonts w:hint="eastAsia" w:ascii="仿宋_GB2312" w:hAnsi="仿宋_GB2312" w:eastAsia="仿宋_GB2312"/>
                <w:sz w:val="28"/>
                <w:szCs w:val="24"/>
              </w:rPr>
              <w:t>中心城区巴陵广场、南湖广场布置大型景观灯两组，岳阳大道绿化带布置造型灯四组，湘北大道路灯安装“福贴”造型376个，以及在城区18处主要道路或路口两侧悬挂传统灯笼14500个，全力打造景观亮点，营造靓丽喜庆的节日氛围，为我市增添了祥和欢乐、奋发向上的浓厚年味。</w:t>
            </w:r>
            <w:r>
              <w:rPr>
                <w:rFonts w:hint="eastAsia" w:ascii="仿宋_GB2312" w:hAnsi="仿宋_GB2312" w:eastAsia="仿宋_GB2312"/>
                <w:color w:val="000000"/>
                <w:sz w:val="28"/>
                <w:szCs w:val="24"/>
              </w:rPr>
              <w:t>二是</w:t>
            </w:r>
            <w:r>
              <w:rPr>
                <w:rFonts w:hint="eastAsia" w:ascii="仿宋_GB2312" w:hAnsi="仿宋_GB2312" w:eastAsia="仿宋_GB2312"/>
                <w:sz w:val="28"/>
                <w:szCs w:val="24"/>
              </w:rPr>
              <w:t>对洞庭大道、枫桥湖路路灯实施提质改造，共计更换路灯228基，原收费站段新增路灯14基，开挖管线1400余米。</w:t>
            </w:r>
            <w:r>
              <w:rPr>
                <w:rFonts w:hint="eastAsia" w:ascii="仿宋_GB2312" w:hAnsi="仿宋_GB2312" w:eastAsia="仿宋_GB2312"/>
                <w:color w:val="000000"/>
                <w:sz w:val="28"/>
                <w:szCs w:val="24"/>
              </w:rPr>
              <w:t>三是</w:t>
            </w:r>
            <w:r>
              <w:rPr>
                <w:rFonts w:hint="eastAsia" w:ascii="仿宋_GB2312" w:hAnsi="仿宋_GB2312" w:eastAsia="仿宋_GB2312"/>
                <w:sz w:val="28"/>
                <w:szCs w:val="24"/>
              </w:rPr>
              <w:t>为提升沿江环湖生态旅游廊道形象，优化城市品质，发展夜游经济，促进文旅消费，对洞庭湖大桥及东西两岸37栋楼宇（简称“一桥两岸”）景观照明提质改造项目，“一桥两岸”项目结合城区亮化统一特色，充分展现我市精神面貌，在洞庭湖大桥及其东西两岸整体打造重点突出、动静结合、独具魅力的灯光景观，成为我市一处新的景观亮点。</w:t>
            </w:r>
            <w:r>
              <w:rPr>
                <w:rFonts w:hint="eastAsia" w:ascii="仿宋_GB2312" w:hAnsi="仿宋_GB2312" w:eastAsia="仿宋_GB2312"/>
                <w:color w:val="000000"/>
                <w:sz w:val="28"/>
                <w:szCs w:val="24"/>
              </w:rPr>
              <w:t>四是</w:t>
            </w:r>
            <w:r>
              <w:rPr>
                <w:rFonts w:hint="eastAsia" w:ascii="仿宋_GB2312" w:hAnsi="仿宋_GB2312" w:eastAsia="仿宋_GB2312"/>
                <w:sz w:val="28"/>
                <w:szCs w:val="24"/>
              </w:rPr>
              <w:t>对《岳阳市城市照明管理办法》立法编制单位进行确定，经过多次修编会议，送审稿现已呈报至省司法厅立法处，待审定后即可正式发布实施。五是组织召开了富春山居、美的梧桐庄园等7 个项目的景观照明技术审查会议。对德龙财富中心、景源商务中心等23栋楼宇进行了亮化大修。</w:t>
            </w:r>
            <w:r>
              <w:rPr>
                <w:rFonts w:hint="eastAsia" w:ascii="仿宋_GB2312" w:hAnsi="仿宋_GB2312" w:eastAsia="仿宋_GB2312"/>
                <w:color w:val="000000"/>
                <w:sz w:val="28"/>
                <w:szCs w:val="24"/>
              </w:rPr>
              <w:t>六是助力</w:t>
            </w:r>
            <w:r>
              <w:rPr>
                <w:rFonts w:hint="eastAsia" w:ascii="仿宋_GB2312" w:hAnsi="仿宋_GB2312" w:eastAsia="仿宋_GB2312"/>
                <w:sz w:val="28"/>
                <w:szCs w:val="24"/>
              </w:rPr>
              <w:t>道路提质改造、雨污分流改造、交通微循环整治及其它政府重点工程建设，先后拆除路灯184基、更换变压器2台、拆除变压器1台、新立配电箱2个，以及相应的高压电缆、管线等设施设备进行了更换，助推各项工程如期完成。</w:t>
            </w:r>
          </w:p>
          <w:p>
            <w:pPr>
              <w:spacing w:line="480" w:lineRule="exact"/>
              <w:ind w:firstLine="560" w:firstLineChars="200"/>
              <w:rPr>
                <w:rFonts w:hint="eastAsia" w:ascii="仿宋_GB2312" w:hAnsi="仿宋_GB2312" w:eastAsia="仿宋_GB2312"/>
                <w:color w:val="000000"/>
                <w:sz w:val="28"/>
                <w:szCs w:val="24"/>
              </w:rPr>
            </w:pPr>
            <w:r>
              <w:rPr>
                <w:rFonts w:hint="eastAsia" w:ascii="仿宋_GB2312" w:hAnsi="仿宋_GB2312" w:eastAsia="仿宋_GB2312"/>
                <w:b/>
                <w:sz w:val="28"/>
                <w:szCs w:val="24"/>
                <w:lang w:eastAsia="zh-CN"/>
              </w:rPr>
              <w:t>（三）</w:t>
            </w:r>
            <w:r>
              <w:rPr>
                <w:rFonts w:hint="eastAsia" w:ascii="仿宋_GB2312" w:hAnsi="仿宋_GB2312" w:eastAsia="仿宋_GB2312"/>
                <w:b/>
                <w:sz w:val="28"/>
                <w:szCs w:val="24"/>
              </w:rPr>
              <w:t>微杜渐抓细节，全面落实安全生产。</w:t>
            </w:r>
            <w:r>
              <w:rPr>
                <w:rFonts w:hint="eastAsia" w:ascii="仿宋_GB2312" w:hAnsi="仿宋_GB2312" w:eastAsia="仿宋_GB2312"/>
                <w:color w:val="000000"/>
                <w:sz w:val="28"/>
                <w:szCs w:val="24"/>
              </w:rPr>
              <w:t>一是组织外包维护队伍负责人召开施工安全培训会，强调安全施工操作章程。每月对各责任班组进行日常工作考核，并对各项维护和工程施工现场进行突击安全检查，针对个别施工人员安全防护措施不到位、施工现场安全管理和防范</w:t>
            </w:r>
            <w:r>
              <w:rPr>
                <w:rFonts w:hint="eastAsia" w:ascii="仿宋_GB2312" w:hAnsi="仿宋_GB2312" w:eastAsia="仿宋_GB2312"/>
                <w:sz w:val="28"/>
                <w:szCs w:val="24"/>
              </w:rPr>
              <w:t>措施不得力的情况，当场要求整改落实到位。二是</w:t>
            </w:r>
            <w:r>
              <w:rPr>
                <w:rFonts w:hint="eastAsia" w:ascii="仿宋_GB2312" w:hAnsi="仿宋_GB2312" w:eastAsia="仿宋_GB2312"/>
                <w:kern w:val="0"/>
                <w:sz w:val="28"/>
                <w:szCs w:val="24"/>
              </w:rPr>
              <w:t>邀请技校教师授课，主要学习安全生产法律法规，掌握安全生产方针政策，充分认识安全生产的重要意义，在施工生产中严格执行操作规程。</w:t>
            </w:r>
            <w:r>
              <w:rPr>
                <w:rFonts w:hint="eastAsia" w:ascii="仿宋_GB2312" w:hAnsi="仿宋_GB2312" w:eastAsia="仿宋_GB2312"/>
                <w:sz w:val="28"/>
                <w:szCs w:val="24"/>
              </w:rPr>
              <w:t>三是为消除公共场所安全隐患，6月份组织开展“安全生产月”活动，对城区所辖范围内路灯设施设备安全运行状况、施工现场安全管理、车辆安全状况以及办公区域防火防盗情况开展全面排查，隐患问题及时整改，为单位生产工作的正常开展提供了有力保障。</w:t>
            </w:r>
            <w:r>
              <w:rPr>
                <w:rFonts w:hint="eastAsia" w:ascii="仿宋_GB2312" w:hAnsi="仿宋_GB2312" w:eastAsia="仿宋_GB2312"/>
                <w:color w:val="000000"/>
                <w:sz w:val="28"/>
                <w:szCs w:val="24"/>
              </w:rPr>
              <w:t>四是对于突发的路灯被撞事故，做到第一时间进行处置，</w:t>
            </w:r>
            <w:r>
              <w:rPr>
                <w:rFonts w:hint="eastAsia" w:ascii="仿宋_GB2312" w:hAnsi="仿宋_GB2312" w:eastAsia="仿宋_GB2312"/>
                <w:sz w:val="28"/>
                <w:szCs w:val="24"/>
              </w:rPr>
              <w:t>全年共处理</w:t>
            </w:r>
            <w:r>
              <w:rPr>
                <w:rFonts w:hint="eastAsia" w:ascii="仿宋_GB2312" w:hAnsi="仿宋_GB2312" w:eastAsia="仿宋_GB2312"/>
                <w:color w:val="000000"/>
                <w:sz w:val="28"/>
                <w:szCs w:val="24"/>
              </w:rPr>
              <w:t>汴河园路、湖东路等路段因车辆刮蹭或地基下陷而产生倾斜以及锈蚀严重的路灯灯杆15基次，有效避免了二次事故的发生。</w:t>
            </w:r>
          </w:p>
          <w:p>
            <w:pPr>
              <w:tabs>
                <w:tab w:val="left" w:pos="567"/>
              </w:tabs>
              <w:spacing w:line="480" w:lineRule="exact"/>
              <w:rPr>
                <w:rFonts w:hint="eastAsia" w:ascii="仿宋_GB2312" w:hAnsi="仿宋_GB2312" w:eastAsia="仿宋_GB2312"/>
                <w:sz w:val="28"/>
                <w:szCs w:val="24"/>
              </w:rPr>
            </w:pPr>
            <w:r>
              <w:rPr>
                <w:rFonts w:hint="eastAsia" w:ascii="仿宋_GB2312" w:hAnsi="仿宋_GB2312" w:eastAsia="仿宋_GB2312"/>
                <w:b/>
                <w:sz w:val="28"/>
                <w:szCs w:val="24"/>
              </w:rPr>
              <w:t xml:space="preserve">    (</w:t>
            </w:r>
            <w:r>
              <w:rPr>
                <w:rFonts w:hint="eastAsia" w:ascii="仿宋_GB2312" w:hAnsi="仿宋_GB2312" w:eastAsia="仿宋_GB2312"/>
                <w:b/>
                <w:sz w:val="28"/>
                <w:szCs w:val="24"/>
                <w:lang w:eastAsia="zh-CN"/>
              </w:rPr>
              <w:t>四</w:t>
            </w:r>
            <w:r>
              <w:rPr>
                <w:rFonts w:hint="eastAsia" w:ascii="仿宋_GB2312" w:hAnsi="仿宋_GB2312" w:eastAsia="仿宋_GB2312"/>
                <w:b/>
                <w:sz w:val="28"/>
                <w:szCs w:val="24"/>
              </w:rPr>
              <w:t>)党建引领创新路，助推单位跨越发展。</w:t>
            </w:r>
            <w:r>
              <w:rPr>
                <w:rFonts w:hint="eastAsia" w:ascii="仿宋_GB2312" w:hAnsi="仿宋_GB2312" w:eastAsia="仿宋_GB2312"/>
                <w:kern w:val="0"/>
                <w:sz w:val="28"/>
                <w:szCs w:val="24"/>
              </w:rPr>
              <w:t>中心党支部以党的政治建设为统领，紧紧围绕中心、建设队伍、服务群众，深化党支部“五化”建设，提升党建工作质量和水平，</w:t>
            </w:r>
            <w:r>
              <w:rPr>
                <w:rFonts w:hint="eastAsia" w:ascii="仿宋_GB2312" w:hAnsi="仿宋_GB2312" w:eastAsia="仿宋_GB2312"/>
                <w:sz w:val="28"/>
                <w:szCs w:val="24"/>
              </w:rPr>
              <w:t>找准切入业务工作、有力推进落实的抓手，有效推动了党建工作和中心业务工作的深度融合。把党史学习教育紧紧抓在手上，融入日常、抓在经常，确保方向不偏、步子不乱，有条不紊、扎实推进。树牢全心全意为人民服务的宗旨意识，扎实办好民生实事，聚焦广大市民急难愁盼问题，组织开展“我为群众办实事”实践活动和做好“两优一先”推荐工作，推选出湖南省“最美照明人”、市级“共产党员岗位能手”、市级“三八红旗手”等一批先进典型。</w:t>
            </w:r>
          </w:p>
          <w:p>
            <w:pPr>
              <w:spacing w:line="520" w:lineRule="exact"/>
              <w:ind w:firstLine="560" w:firstLineChars="200"/>
              <w:jc w:val="left"/>
              <w:rPr>
                <w:rFonts w:hint="eastAsia" w:ascii="仿宋_GB2312" w:hAnsi="仿宋_GB2312" w:eastAsia="仿宋_GB2312"/>
                <w:b/>
                <w:color w:val="000000"/>
                <w:sz w:val="28"/>
                <w:szCs w:val="24"/>
              </w:rPr>
            </w:pPr>
            <w:r>
              <w:rPr>
                <w:rFonts w:hint="eastAsia" w:ascii="仿宋_GB2312" w:hAnsi="仿宋_GB2312" w:eastAsia="仿宋_GB2312"/>
                <w:sz w:val="28"/>
                <w:szCs w:val="24"/>
              </w:rPr>
              <w:t>202</w:t>
            </w:r>
            <w:r>
              <w:rPr>
                <w:rFonts w:hint="eastAsia" w:ascii="仿宋_GB2312" w:hAnsi="仿宋_GB2312" w:eastAsia="仿宋_GB2312"/>
                <w:sz w:val="28"/>
                <w:szCs w:val="24"/>
                <w:lang w:val="en-US" w:eastAsia="zh-CN"/>
              </w:rPr>
              <w:t>2</w:t>
            </w:r>
            <w:r>
              <w:rPr>
                <w:rFonts w:hint="eastAsia" w:ascii="仿宋_GB2312" w:hAnsi="仿宋_GB2312" w:eastAsia="仿宋_GB2312"/>
                <w:sz w:val="28"/>
                <w:szCs w:val="24"/>
              </w:rPr>
              <w:t>年，中心认真贯彻执行《会计法》、《预算法》等法律法规，认真进行了预算编制，工作中严格按年初预算执行，并依据单位《内控制度》、《标准化考核办法》、《维护费用节支奖励实施方案》和《绩效考核管理方案》等制度加强了财政专项资金管理，以达到成本的控制和资金的节约使用。针对路灯和亮化推护中遇到问题，中心在处置上做到四个快速，快速反应、快速处置、快速办结、快速回复，各维护项目按进度准时完成，确保路灯及亮化亮灯率均在96％以上、设施完好率100％。中心城区</w:t>
            </w:r>
            <w:r>
              <w:rPr>
                <w:rFonts w:hint="eastAsia" w:ascii="仿宋_GB2312" w:hAnsi="仿宋_GB2312" w:eastAsia="仿宋_GB2312"/>
                <w:color w:val="000000"/>
                <w:sz w:val="28"/>
                <w:szCs w:val="24"/>
              </w:rPr>
              <w:t>路灯及亮化两大维护管理工作的有效实施，保障了中心城区照明的正常有序，营造了安全环保、整洁美观的城市照明环境。</w:t>
            </w:r>
            <w:r>
              <w:rPr>
                <w:rFonts w:hint="eastAsia" w:eastAsia="仿宋_GB2312"/>
                <w:sz w:val="28"/>
                <w:szCs w:val="24"/>
              </w:rPr>
              <w:t>中心绩效评价组认为，本单位</w:t>
            </w:r>
            <w:r>
              <w:rPr>
                <w:rFonts w:hint="eastAsia" w:ascii="仿宋" w:hAnsi="仿宋" w:eastAsia="仿宋" w:cs="仿宋"/>
                <w:b w:val="0"/>
                <w:bCs w:val="0"/>
                <w:sz w:val="28"/>
                <w:szCs w:val="24"/>
              </w:rPr>
              <w:t>202</w:t>
            </w:r>
            <w:r>
              <w:rPr>
                <w:rFonts w:hint="eastAsia" w:ascii="仿宋" w:hAnsi="仿宋" w:eastAsia="仿宋" w:cs="仿宋"/>
                <w:b w:val="0"/>
                <w:bCs w:val="0"/>
                <w:sz w:val="28"/>
                <w:szCs w:val="24"/>
                <w:lang w:val="en-US" w:eastAsia="zh-CN"/>
              </w:rPr>
              <w:t>2</w:t>
            </w:r>
            <w:r>
              <w:rPr>
                <w:rFonts w:hint="eastAsia" w:eastAsia="仿宋_GB2312"/>
                <w:sz w:val="28"/>
                <w:szCs w:val="24"/>
              </w:rPr>
              <w:t>年度经费支出管理和资金使用规范、遵守了相关法规政策，有效发挥了财政资金的使用效率，考评得分</w:t>
            </w:r>
            <w:r>
              <w:rPr>
                <w:rFonts w:hint="eastAsia" w:ascii="仿宋" w:hAnsi="仿宋" w:eastAsia="仿宋" w:cs="仿宋"/>
                <w:sz w:val="28"/>
                <w:szCs w:val="24"/>
              </w:rPr>
              <w:t>98</w:t>
            </w:r>
            <w:r>
              <w:rPr>
                <w:rFonts w:hint="eastAsia" w:eastAsia="仿宋_GB2312"/>
                <w:sz w:val="28"/>
                <w:szCs w:val="24"/>
              </w:rPr>
              <w:t>分，考评等次为“优秀”。</w:t>
            </w:r>
          </w:p>
          <w:p>
            <w:pPr>
              <w:spacing w:line="480" w:lineRule="exact"/>
              <w:ind w:firstLine="570"/>
              <w:rPr>
                <w:rFonts w:hint="eastAsia" w:ascii="黑体" w:hAnsi="仿宋" w:eastAsia="黑体"/>
                <w:b/>
                <w:sz w:val="28"/>
                <w:szCs w:val="24"/>
              </w:rPr>
            </w:pPr>
            <w:r>
              <w:rPr>
                <w:rFonts w:hint="eastAsia" w:ascii="黑体" w:hAnsi="仿宋" w:eastAsia="黑体"/>
                <w:b/>
                <w:sz w:val="28"/>
                <w:szCs w:val="24"/>
              </w:rPr>
              <w:t>五、存在的主要问题</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发现的主要问题及原因：</w:t>
            </w:r>
            <w:r>
              <w:rPr>
                <w:rFonts w:hint="eastAsia" w:ascii="仿宋" w:hAnsi="仿宋" w:eastAsia="仿宋" w:cs="仿宋"/>
                <w:sz w:val="32"/>
                <w:szCs w:val="32"/>
                <w:lang w:eastAsia="zh-CN"/>
              </w:rPr>
              <w:t>一是</w:t>
            </w:r>
            <w:r>
              <w:rPr>
                <w:rFonts w:hint="eastAsia" w:ascii="仿宋" w:hAnsi="仿宋" w:eastAsia="仿宋" w:cs="仿宋"/>
                <w:sz w:val="32"/>
                <w:szCs w:val="32"/>
              </w:rPr>
              <w:t>随着城市的发展和扩张，路灯管理的范围越来越大，路灯及公用亮化设施也越来越多，使得路灯及公用亮化维护费用增加，维护经费不足，希望财政能给予资金支持</w:t>
            </w:r>
            <w:r>
              <w:rPr>
                <w:rFonts w:hint="eastAsia" w:ascii="仿宋" w:hAnsi="仿宋" w:eastAsia="仿宋" w:cs="仿宋"/>
                <w:sz w:val="32"/>
                <w:szCs w:val="32"/>
                <w:lang w:eastAsia="zh-CN"/>
              </w:rPr>
              <w:t>；二是</w:t>
            </w:r>
            <w:r>
              <w:rPr>
                <w:rFonts w:hint="eastAsia" w:ascii="仿宋" w:hAnsi="仿宋" w:eastAsia="仿宋" w:cs="仿宋"/>
                <w:sz w:val="32"/>
                <w:szCs w:val="32"/>
              </w:rPr>
              <w:t>城区部分路灯使用年限超期、能耗高、光质差，存在安全隐患。下一步中心将对路灯和公用亮化设施有计划的进行提质改造，建设美观、节能的路灯和亮化系统，有效降低运行成本。</w:t>
            </w:r>
          </w:p>
          <w:p>
            <w:pPr>
              <w:spacing w:line="480" w:lineRule="exact"/>
              <w:ind w:firstLine="560" w:firstLineChars="200"/>
              <w:rPr>
                <w:rFonts w:hint="eastAsia" w:ascii="黑体" w:hAnsi="仿宋" w:eastAsia="黑体"/>
                <w:b/>
                <w:sz w:val="28"/>
                <w:szCs w:val="24"/>
              </w:rPr>
            </w:pPr>
          </w:p>
          <w:p>
            <w:pPr>
              <w:spacing w:line="480" w:lineRule="exact"/>
              <w:ind w:firstLine="560" w:firstLineChars="200"/>
              <w:rPr>
                <w:rFonts w:hint="eastAsia" w:ascii="黑体" w:hAnsi="仿宋" w:eastAsia="黑体"/>
                <w:b/>
                <w:sz w:val="28"/>
                <w:szCs w:val="24"/>
              </w:rPr>
            </w:pPr>
            <w:r>
              <w:rPr>
                <w:rFonts w:hint="eastAsia" w:ascii="黑体" w:hAnsi="仿宋" w:eastAsia="黑体"/>
                <w:b/>
                <w:sz w:val="28"/>
                <w:szCs w:val="24"/>
              </w:rPr>
              <w:t>六、改进措施和有关建议</w:t>
            </w:r>
          </w:p>
          <w:p>
            <w:pPr>
              <w:spacing w:line="480" w:lineRule="exact"/>
              <w:ind w:firstLine="570"/>
              <w:rPr>
                <w:rFonts w:hint="eastAsia" w:ascii="仿宋_GB2312" w:hAnsi="仿宋" w:eastAsia="仿宋_GB2312"/>
                <w:sz w:val="28"/>
                <w:szCs w:val="24"/>
              </w:rPr>
            </w:pPr>
            <w:r>
              <w:rPr>
                <w:rFonts w:hint="eastAsia" w:ascii="仿宋_GB2312" w:hAnsi="仿宋" w:eastAsia="仿宋_GB2312"/>
                <w:sz w:val="28"/>
                <w:szCs w:val="24"/>
              </w:rPr>
              <w:t>（一）加强干部职工安全生产意识和大局意识教育，同时组织路灯维护人员到专业院校参加业务技能培训，提升服务意识和专业技术水平。</w:t>
            </w:r>
          </w:p>
          <w:p>
            <w:pPr>
              <w:spacing w:line="480" w:lineRule="exact"/>
              <w:ind w:firstLine="570"/>
              <w:rPr>
                <w:rFonts w:hint="eastAsia" w:ascii="仿宋_GB2312" w:hAnsi="仿宋" w:eastAsia="仿宋_GB2312"/>
                <w:sz w:val="28"/>
                <w:szCs w:val="24"/>
              </w:rPr>
            </w:pPr>
            <w:r>
              <w:rPr>
                <w:rFonts w:hint="eastAsia" w:ascii="仿宋_GB2312" w:hAnsi="仿宋" w:eastAsia="仿宋_GB2312"/>
                <w:sz w:val="28"/>
                <w:szCs w:val="24"/>
              </w:rPr>
              <w:t>（二）加大资金投入，对城区路灯和亮化设施进行提质改造，建设美观、节能的路灯和亮化系统，降低路灯和亮化系统运行成本，进一步改善城市照明环境。</w:t>
            </w:r>
          </w:p>
          <w:p>
            <w:pPr>
              <w:spacing w:line="480" w:lineRule="exact"/>
              <w:ind w:firstLine="560" w:firstLineChars="200"/>
              <w:rPr>
                <w:rFonts w:hint="eastAsia" w:ascii="仿宋_GB2312" w:hAnsi="仿宋" w:eastAsia="仿宋_GB2312"/>
                <w:sz w:val="28"/>
                <w:szCs w:val="24"/>
              </w:rPr>
            </w:pPr>
          </w:p>
          <w:p>
            <w:pPr>
              <w:spacing w:line="560" w:lineRule="exact"/>
              <w:ind w:firstLine="378" w:firstLineChars="150"/>
              <w:rPr>
                <w:rFonts w:hint="eastAsia" w:ascii="仿宋" w:hAnsi="仿宋" w:eastAsia="仿宋"/>
                <w:w w:val="90"/>
                <w:sz w:val="28"/>
                <w:szCs w:val="24"/>
              </w:rPr>
            </w:pPr>
          </w:p>
        </w:tc>
      </w:tr>
    </w:tbl>
    <w:p>
      <w:pPr>
        <w:pStyle w:val="2"/>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9"/>
        <w:rFonts w:hint="default"/>
        <w:sz w:val="24"/>
        <w:szCs w:val="24"/>
      </w:rPr>
    </w:pPr>
    <w:r>
      <w:rPr>
        <w:rStyle w:val="9"/>
        <w:rFonts w:hint="default"/>
        <w:sz w:val="24"/>
        <w:szCs w:val="24"/>
      </w:rPr>
      <w:t xml:space="preserve">— </w:t>
    </w:r>
    <w:r>
      <w:rPr>
        <w:rStyle w:val="9"/>
        <w:rFonts w:hint="default"/>
        <w:sz w:val="24"/>
        <w:szCs w:val="24"/>
      </w:rPr>
      <w:fldChar w:fldCharType="begin"/>
    </w:r>
    <w:r>
      <w:rPr>
        <w:rStyle w:val="9"/>
        <w:rFonts w:hint="default"/>
        <w:sz w:val="24"/>
        <w:szCs w:val="24"/>
      </w:rPr>
      <w:instrText xml:space="preserve">PAGE  </w:instrText>
    </w:r>
    <w:r>
      <w:rPr>
        <w:rStyle w:val="9"/>
        <w:rFonts w:hint="default"/>
        <w:sz w:val="24"/>
        <w:szCs w:val="24"/>
      </w:rPr>
      <w:fldChar w:fldCharType="separate"/>
    </w:r>
    <w:r>
      <w:rPr>
        <w:rStyle w:val="9"/>
        <w:rFonts w:hint="default"/>
        <w:sz w:val="24"/>
        <w:szCs w:val="24"/>
      </w:rPr>
      <w:t>20</w:t>
    </w:r>
    <w:r>
      <w:rPr>
        <w:rStyle w:val="9"/>
        <w:rFonts w:hint="default"/>
        <w:sz w:val="24"/>
        <w:szCs w:val="24"/>
      </w:rPr>
      <w:fldChar w:fldCharType="end"/>
    </w:r>
    <w:r>
      <w:rPr>
        <w:rStyle w:val="9"/>
        <w:rFonts w:hint="default"/>
        <w:sz w:val="24"/>
        <w:szCs w:val="24"/>
      </w:rPr>
      <w:t xml:space="preserve"> —</w:t>
    </w:r>
  </w:p>
  <w:p>
    <w:pPr>
      <w:ind w:right="360"/>
      <w:rPr>
        <w:rFonts w:hint="eastAsia"/>
        <w:sz w:val="21"/>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B6C34"/>
    <w:multiLevelType w:val="singleLevel"/>
    <w:tmpl w:val="848B6C34"/>
    <w:lvl w:ilvl="0" w:tentative="0">
      <w:start w:val="1"/>
      <w:numFmt w:val="chineseCounting"/>
      <w:suff w:val="nothing"/>
      <w:lvlText w:val="（%1）"/>
      <w:lvlJc w:val="left"/>
      <w:rPr>
        <w:rFonts w:hint="eastAsia"/>
      </w:rPr>
    </w:lvl>
  </w:abstractNum>
  <w:abstractNum w:abstractNumId="1">
    <w:nsid w:val="11F52658"/>
    <w:multiLevelType w:val="multilevel"/>
    <w:tmpl w:val="11F52658"/>
    <w:lvl w:ilvl="0" w:tentative="0">
      <w:start w:val="1"/>
      <w:numFmt w:val="decimalEnclosedCircle"/>
      <w:lvlText w:val="%1"/>
      <w:lvlJc w:val="left"/>
      <w:pPr>
        <w:tabs>
          <w:tab w:val="left" w:pos="360"/>
        </w:tabs>
        <w:ind w:left="360" w:hanging="360"/>
      </w:pPr>
      <w:rPr>
        <w:rFonts w:hint="default"/>
        <w:color w:val="auto"/>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2">
    <w:nsid w:val="361E38DD"/>
    <w:multiLevelType w:val="singleLevel"/>
    <w:tmpl w:val="361E38DD"/>
    <w:lvl w:ilvl="0" w:tentative="0">
      <w:start w:val="3"/>
      <w:numFmt w:val="decimal"/>
      <w:suff w:val="nothing"/>
      <w:lvlText w:val="%1、"/>
      <w:lvlJc w:val="left"/>
    </w:lvl>
  </w:abstractNum>
  <w:abstractNum w:abstractNumId="3">
    <w:nsid w:val="4F32FCDB"/>
    <w:multiLevelType w:val="singleLevel"/>
    <w:tmpl w:val="4F32FCDB"/>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ZmZhYjQ5ZWIyNWQ1MDk1ZGZjZmI4NGExNWQyMmUifQ=="/>
    <w:docVar w:name="KSO_WPS_MARK_KEY" w:val="a97fc195-613a-49e9-b923-2883e9a5465d"/>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945A0"/>
    <w:rsid w:val="0738142A"/>
    <w:rsid w:val="0C3E60AA"/>
    <w:rsid w:val="0DEB3F91"/>
    <w:rsid w:val="11A63AC3"/>
    <w:rsid w:val="15986B0A"/>
    <w:rsid w:val="17D85E72"/>
    <w:rsid w:val="264D7845"/>
    <w:rsid w:val="266C56C6"/>
    <w:rsid w:val="269659BE"/>
    <w:rsid w:val="2C8B578F"/>
    <w:rsid w:val="2F026361"/>
    <w:rsid w:val="306F0E15"/>
    <w:rsid w:val="36D15556"/>
    <w:rsid w:val="43925D0E"/>
    <w:rsid w:val="45003252"/>
    <w:rsid w:val="460044CD"/>
    <w:rsid w:val="4E3F23AD"/>
    <w:rsid w:val="55C63EE6"/>
    <w:rsid w:val="5777D4F5"/>
    <w:rsid w:val="59ED0939"/>
    <w:rsid w:val="5B4F3FC2"/>
    <w:rsid w:val="5EBA34FF"/>
    <w:rsid w:val="5F613070"/>
    <w:rsid w:val="5FC6BB1E"/>
    <w:rsid w:val="5FF720F1"/>
    <w:rsid w:val="620E07F6"/>
    <w:rsid w:val="63930AB7"/>
    <w:rsid w:val="6AC4659A"/>
    <w:rsid w:val="6B734A7B"/>
    <w:rsid w:val="6D1D2BA3"/>
    <w:rsid w:val="6E802991"/>
    <w:rsid w:val="6F8E0990"/>
    <w:rsid w:val="72A87C46"/>
    <w:rsid w:val="72E73C68"/>
    <w:rsid w:val="737D59BA"/>
    <w:rsid w:val="75D15AF6"/>
    <w:rsid w:val="776B5ABC"/>
    <w:rsid w:val="77702FEF"/>
    <w:rsid w:val="77C37683"/>
    <w:rsid w:val="79B54811"/>
    <w:rsid w:val="79FF515B"/>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hint="eastAsia" w:ascii="宋体" w:hAnsi="宋体" w:eastAsia="宋体"/>
      <w:kern w:val="0"/>
      <w:sz w:val="24"/>
      <w:szCs w:val="24"/>
    </w:rPr>
  </w:style>
  <w:style w:type="character" w:styleId="9">
    <w:name w:val="page number"/>
    <w:unhideWhenUsed/>
    <w:qFormat/>
    <w:uiPriority w:val="0"/>
    <w:rPr>
      <w:rFonts w:hint="default"/>
      <w:sz w:val="24"/>
      <w:szCs w:val="24"/>
    </w:rPr>
  </w:style>
  <w:style w:type="character" w:customStyle="1" w:styleId="10">
    <w:name w:val="批注框文本 Char"/>
    <w:basedOn w:val="8"/>
    <w:link w:val="3"/>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页眉 Char"/>
    <w:basedOn w:val="8"/>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14071</Words>
  <Characters>14781</Characters>
  <Lines>63</Lines>
  <Paragraphs>18</Paragraphs>
  <TotalTime>7</TotalTime>
  <ScaleCrop>false</ScaleCrop>
  <LinksUpToDate>false</LinksUpToDate>
  <CharactersWithSpaces>15229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2024-08-12T10:57:10Z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E16BCC6119194D8E93DFF52498E2BABE</vt:lpwstr>
  </property>
</Properties>
</file>