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/>
          <w:sz w:val="2"/>
          <w:szCs w:val="24"/>
        </w:rPr>
      </w:pPr>
      <w:bookmarkStart w:id="0" w:name="_GoBack"/>
      <w:bookmarkEnd w:id="0"/>
    </w:p>
    <w:tbl>
      <w:tblPr>
        <w:tblStyle w:val="5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1110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岳阳市城市管理和综合执法局本级2023年度</w:t>
            </w:r>
          </w:p>
          <w:p>
            <w:pPr>
              <w:spacing w:line="1110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单位预算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2023年单位预算说明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2023年单位预算公开表格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22、单位整体支出绩效目标表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2023年单位预算说明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一、单位基本概况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市城市管理和综合执法局主要承担市容环境卫生、园林绿化、城管执法、市政公共设施维护、路灯亮化、渣土运输（道路破占）、户外广告、城镇燃气、停车管理等职能。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局机关编制人数48人，设置15个内设机构，内设机构分别是局机关内设办公室、信访维稳科、政策法规科、行政审批科、城市管理考评科、市容环境卫生管理科、垃圾分类管理科、园林绿化科、规划技术科、地下管线科、基础设施建设管理科、燃气管理科（安全管理科）、户外广告管理科、计划财务审计科、人事科。按章程设置机关党委、机关纪委，按相关规定设置城市管理工会、离退休人员管理服务科等，共19个科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二、单位预算单位构成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本单位预算仅含本级预算。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三、单位收支总体情况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2023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2023年度本单位收入预算1373.24万元，其中，一般公共预算拨款1373.24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2023年收入较去年增加146.26万元，主要是因为人员经费的正常增长，以及新增主城区防洪工作经费，本年收入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2023年本单位支出预算1373.24万元，其中，208社会保障和就业支出56.81万元，210卫生健康支出44.08万元，212城乡社区支出1217.34万元，221住房保障支出55.01万元，支出较去年增加146.26万元，主要是因为人员经费的正常增长，以及新增主城区防洪工作经费，本年支出增加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2023年一般公共预算拨款支出预算1373.24万元，其中，208社会保障和就业支出56.81万元，占4.14%；210卫生健康支出44.08万元，占3.21%；212城乡社区支出1217.34万元，占88.65%；221住房保障支出55.01万元，占4.01%；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一）基本支出：2023年基本支出年初预算数为908.24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二）项目支出：2023年项目支出年初预算数为465.00万元（数据来源见表20），是指单位为完成特定行政工作任务或事业发展目标而发生的支出，包括有关业务工作经费、运行维护经费、其他事业发展资金等。其中：2023年度主城区防涝工作经费专项支出20.00万元，主要用于排除内涝安全隐患、发现渍水险情及时高效处理、做好岳阳楼区、岳阳经开区和南湖风景区防涝排渍保障工作等方面,城管事务管理经费专项支出131.00万元，主要用于城市综合管理及安全工作、城区主要路段综合升级管理、城市综合管理宣传、公安城管执法大队工作、垃圾无害化处理设施建设、燃气市场管理、户外广告整治工作、《岳阳市地下管线管理条例》立法服务、禁炮工作等方面,城管系统考评经费专项支出28.00万元，主要用于城市标准化管理考评奖金、工作经费、人员工资、车辆租赁维修等方面,城市管理应急机动经费专项支出224.00万元，主要用于快速处理城市管理中出现的突发性问题、完成市委市政府交办的临时性中心工作和重大服务保障工作等方面,非税收入执收成本专项支出62.00万元，主要用于保障局机关中心工作（城管秩序、环境卫生、园林绿化、市政设施维护、路灯、燃气、停车管理及渣土运输等日常管理工作）和其他重大城市管理工作任务顺利开展完成等方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2023年度本单位无政府性基金安排的支出，所以公开的附件15-17（政府性基金预算）为空。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本单位2023年机关运行经费当年一般公共预算拨款148.83万元（数据来源见表12），比上一年</w:t>
            </w:r>
            <w:r>
              <w:rPr>
                <w:rFonts w:hint="eastAsia" w:ascii="宋体" w:hAnsi="宋体" w:cs="Times New Roman"/>
                <w:sz w:val="32"/>
                <w:szCs w:val="24"/>
                <w:lang w:val="en-US" w:eastAsia="zh-CN"/>
              </w:rPr>
              <w:t>增加14.67万元，增加13.28%，主要原因是单位公用经费正常增长。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本单位2023年“三公”经费预算数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/>
                <w:sz w:val="32"/>
                <w:szCs w:val="24"/>
              </w:rPr>
              <w:t>.00万元（数据来源见表14），其中，公务接待费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32"/>
                <w:szCs w:val="24"/>
              </w:rPr>
              <w:t>.00万元，因公出国（境）费0.00万元，公务用车购置及运行费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32"/>
                <w:szCs w:val="24"/>
              </w:rPr>
              <w:t>.00万元（其中，公务用车购置费0.00万元，公务用车运行费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32"/>
                <w:szCs w:val="24"/>
              </w:rPr>
              <w:t>.00万元）。2023年三公经费预算较上年减少23.32万元，主要原因是单位落实厉行节约制度严控“三公”经费支出，公务接待费和公务用车运行经费相应减少。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本单位2023年会议费预算0.30万元（数据来源见表13会议费、培训费），拟召开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32"/>
                <w:szCs w:val="24"/>
              </w:rPr>
              <w:t>次会议，人数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sz w:val="32"/>
                <w:szCs w:val="24"/>
              </w:rPr>
              <w:t>人，内容为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局系统表彰大会</w:t>
            </w:r>
            <w:r>
              <w:rPr>
                <w:rFonts w:hint="eastAsia" w:ascii="宋体" w:hAnsi="宋体"/>
                <w:sz w:val="32"/>
                <w:szCs w:val="24"/>
              </w:rPr>
              <w:t>；培训费预算0.00万元，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2023年度本单位未计划安排培训，</w:t>
            </w:r>
            <w:r>
              <w:rPr>
                <w:rFonts w:hint="eastAsia" w:ascii="宋体" w:hAnsi="宋体"/>
                <w:sz w:val="32"/>
                <w:szCs w:val="24"/>
              </w:rPr>
              <w:t>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本单位2023年政府采购预算总额1518.85万元（部分资金由财政代编预算安排），其中工程类676.85万元，货物类465.00万元，服务类377.00万元。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截至上年底，本单位共有车辆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辆。单位价值50万元以上通用设备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 xml:space="preserve">台。 </w:t>
            </w:r>
          </w:p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2023年拟报废处置车辆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辆，其中：报废处置领导干部用车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辆，报废处置一般公务用车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辆，报废处置其他用车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辆，报废处置单位价值50万元以上通用设备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台，报废处置单位价值100万元以上通用设备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台。拟新增配置车辆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辆。</w:t>
            </w:r>
          </w:p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2023年拟新增配备领导干部用车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辆，新增配备单位价值50万元以上通用设备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台。2023年度本单位未计划处置或新增车辆、设备等。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  本单位所有支出实行绩效目标管理。纳入2023年单位整体支出绩效目标的金额为1373.24万元，其中，基本支出908.24万元，项目支出465.00万元，详见文尾附表中单位预算公开表格的表21-22。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2023年单位预算公开表格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22、单位整体支出绩效目标表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</w:tbl>
    <w:p>
      <w:pPr>
        <w:rPr>
          <w:rFonts w:hint="default"/>
          <w:sz w:val="24"/>
          <w:szCs w:val="24"/>
        </w:rPr>
      </w:pPr>
    </w:p>
    <w:sectPr>
      <w:pgSz w:w="18708" w:h="15840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972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color w:val="000000"/>
      <w:sz w:val="24"/>
      <w:szCs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b/>
      <w:color w:val="000000"/>
      <w:sz w:val="26"/>
      <w:szCs w:val="24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2024-08-19T02:31:01Z</dcterms:created>
  <dc:creator>AOC</dc:creator>
  <cp:lastModifiedBy>王木木</cp:lastModifiedBy>
  <dcterms:modified xsi:type="dcterms:W3CDTF">2024-08-19T02:31:21Z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BC667BBC929D42DC8D61C24835607E71</vt:lpwstr>
  </property>
</Properties>
</file>