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89E03">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68BEEE1">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23188EF">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049725B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D9A965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73C2E8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3F6292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3EAD281E">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A9E415B">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9536956">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33</w:t>
            </w:r>
          </w:p>
        </w:tc>
        <w:tc>
          <w:tcPr>
            <w:tcW w:w="2240" w:type="dxa"/>
            <w:gridSpan w:val="2"/>
            <w:tcBorders>
              <w:top w:val="single" w:color="auto" w:sz="4" w:space="0"/>
              <w:left w:val="nil"/>
              <w:bottom w:val="single" w:color="auto" w:sz="4" w:space="0"/>
              <w:right w:val="single" w:color="auto" w:sz="4" w:space="0"/>
            </w:tcBorders>
            <w:noWrap w:val="0"/>
            <w:vAlign w:val="center"/>
          </w:tcPr>
          <w:p w14:paraId="6D872EB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1FC6D2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79.79%</w:t>
            </w:r>
            <w:r>
              <w:rPr>
                <w:rFonts w:hint="eastAsia" w:ascii="仿宋_GB2312" w:hAnsi="仿宋_GB2312" w:eastAsia="仿宋_GB2312" w:cs="仿宋_GB2312"/>
                <w:sz w:val="20"/>
                <w:szCs w:val="20"/>
                <w:highlight w:val="none"/>
              </w:rPr>
              <w:t>　</w:t>
            </w:r>
          </w:p>
        </w:tc>
      </w:tr>
      <w:tr w14:paraId="0ACE69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A25BA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683534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E436A4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FB0614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12A618A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283392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A46536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0.62</w:t>
            </w:r>
          </w:p>
        </w:tc>
        <w:tc>
          <w:tcPr>
            <w:tcW w:w="2240" w:type="dxa"/>
            <w:gridSpan w:val="2"/>
            <w:tcBorders>
              <w:top w:val="single" w:color="auto" w:sz="4" w:space="0"/>
              <w:left w:val="nil"/>
              <w:bottom w:val="single" w:color="auto" w:sz="4" w:space="0"/>
              <w:right w:val="single" w:color="000000" w:sz="4" w:space="0"/>
            </w:tcBorders>
            <w:noWrap w:val="0"/>
            <w:vAlign w:val="center"/>
          </w:tcPr>
          <w:p w14:paraId="177AB63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eastAsia="仿宋_GB2312"/>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14:paraId="4303D42F">
            <w:pPr>
              <w:widowControl/>
              <w:spacing w:line="360" w:lineRule="exact"/>
              <w:jc w:val="center"/>
              <w:rPr>
                <w:rFonts w:hint="eastAsia" w:ascii="仿宋_GB2312" w:hAnsi="仿宋_GB2312" w:eastAsia="宋体" w:cs="仿宋_GB2312"/>
                <w:sz w:val="20"/>
                <w:szCs w:val="20"/>
                <w:highlight w:val="none"/>
                <w:lang w:val="en-US" w:eastAsia="zh-CN"/>
              </w:rPr>
            </w:pPr>
            <w:r>
              <w:rPr>
                <w:rFonts w:hint="eastAsia"/>
              </w:rPr>
              <w:t>1.2</w:t>
            </w:r>
            <w:r>
              <w:rPr>
                <w:rFonts w:hint="eastAsia"/>
                <w:lang w:val="en-US" w:eastAsia="zh-CN"/>
              </w:rPr>
              <w:t>1</w:t>
            </w:r>
          </w:p>
        </w:tc>
      </w:tr>
      <w:tr w14:paraId="04192F5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719FD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C4ADE2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DBD3EE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2B69803F">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0.9</w:t>
            </w:r>
            <w:r>
              <w:rPr>
                <w:rFonts w:hint="eastAsia" w:ascii="仿宋_GB2312" w:hAnsi="仿宋_GB2312" w:eastAsia="仿宋_GB2312" w:cs="仿宋_GB2312"/>
                <w:sz w:val="20"/>
                <w:szCs w:val="20"/>
                <w:highlight w:val="none"/>
                <w:lang w:val="en-US" w:eastAsia="zh-CN"/>
              </w:rPr>
              <w:t>6</w:t>
            </w:r>
          </w:p>
        </w:tc>
      </w:tr>
      <w:tr w14:paraId="2DC3F26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2CA1D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D160C1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D7ED4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AE48BE">
            <w:pPr>
              <w:widowControl/>
              <w:spacing w:line="360" w:lineRule="exact"/>
              <w:jc w:val="center"/>
              <w:rPr>
                <w:rFonts w:hint="eastAsia" w:ascii="仿宋_GB2312" w:hAnsi="仿宋_GB2312" w:eastAsia="仿宋_GB2312" w:cs="仿宋_GB2312"/>
                <w:sz w:val="20"/>
                <w:szCs w:val="20"/>
                <w:highlight w:val="none"/>
              </w:rPr>
            </w:pPr>
          </w:p>
        </w:tc>
      </w:tr>
      <w:tr w14:paraId="0D30DF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1D1F9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7E1EF4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0.32</w:t>
            </w:r>
          </w:p>
        </w:tc>
        <w:tc>
          <w:tcPr>
            <w:tcW w:w="2240" w:type="dxa"/>
            <w:gridSpan w:val="2"/>
            <w:tcBorders>
              <w:top w:val="single" w:color="auto" w:sz="4" w:space="0"/>
              <w:left w:val="nil"/>
              <w:bottom w:val="single" w:color="auto" w:sz="4" w:space="0"/>
              <w:right w:val="single" w:color="000000" w:sz="4" w:space="0"/>
            </w:tcBorders>
            <w:noWrap w:val="0"/>
            <w:vAlign w:val="center"/>
          </w:tcPr>
          <w:p w14:paraId="70D1536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1103CAC8">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0.9</w:t>
            </w:r>
            <w:r>
              <w:rPr>
                <w:rFonts w:hint="eastAsia" w:ascii="仿宋_GB2312" w:hAnsi="仿宋_GB2312" w:eastAsia="仿宋_GB2312" w:cs="仿宋_GB2312"/>
                <w:sz w:val="20"/>
                <w:szCs w:val="20"/>
                <w:highlight w:val="none"/>
                <w:lang w:val="en-US" w:eastAsia="zh-CN"/>
              </w:rPr>
              <w:t>6</w:t>
            </w:r>
          </w:p>
        </w:tc>
      </w:tr>
      <w:tr w14:paraId="3C03E7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42FE8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E2D3A80">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D322BCF">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DECA8A">
            <w:pPr>
              <w:widowControl/>
              <w:spacing w:line="360" w:lineRule="exact"/>
              <w:jc w:val="center"/>
              <w:rPr>
                <w:rFonts w:hint="eastAsia" w:ascii="仿宋_GB2312" w:hAnsi="仿宋_GB2312" w:eastAsia="仿宋_GB2312" w:cs="仿宋_GB2312"/>
                <w:sz w:val="20"/>
                <w:szCs w:val="20"/>
                <w:highlight w:val="none"/>
              </w:rPr>
            </w:pPr>
          </w:p>
        </w:tc>
      </w:tr>
      <w:tr w14:paraId="75A81E3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DF363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2BB57A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0.26</w:t>
            </w:r>
          </w:p>
        </w:tc>
        <w:tc>
          <w:tcPr>
            <w:tcW w:w="2240" w:type="dxa"/>
            <w:gridSpan w:val="2"/>
            <w:tcBorders>
              <w:top w:val="single" w:color="auto" w:sz="4" w:space="0"/>
              <w:left w:val="nil"/>
              <w:bottom w:val="single" w:color="auto" w:sz="4" w:space="0"/>
              <w:right w:val="single" w:color="000000" w:sz="4" w:space="0"/>
            </w:tcBorders>
            <w:noWrap w:val="0"/>
            <w:vAlign w:val="center"/>
          </w:tcPr>
          <w:p w14:paraId="7B86B72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3BCC851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0.25</w:t>
            </w:r>
          </w:p>
        </w:tc>
      </w:tr>
      <w:tr w14:paraId="4B1C878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ED1F8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4C8806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83.03</w:t>
            </w:r>
          </w:p>
        </w:tc>
        <w:tc>
          <w:tcPr>
            <w:tcW w:w="2240" w:type="dxa"/>
            <w:gridSpan w:val="2"/>
            <w:tcBorders>
              <w:top w:val="single" w:color="auto" w:sz="4" w:space="0"/>
              <w:left w:val="nil"/>
              <w:bottom w:val="single" w:color="auto" w:sz="4" w:space="0"/>
              <w:right w:val="single" w:color="000000" w:sz="4" w:space="0"/>
            </w:tcBorders>
            <w:noWrap w:val="0"/>
            <w:vAlign w:val="center"/>
          </w:tcPr>
          <w:p w14:paraId="6904376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0DF84DA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398.63</w:t>
            </w:r>
          </w:p>
        </w:tc>
      </w:tr>
      <w:tr w14:paraId="6BF7F5C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DDA5E9">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AA9CC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24.07</w:t>
            </w:r>
          </w:p>
        </w:tc>
        <w:tc>
          <w:tcPr>
            <w:tcW w:w="2240" w:type="dxa"/>
            <w:gridSpan w:val="2"/>
            <w:tcBorders>
              <w:top w:val="single" w:color="auto" w:sz="4" w:space="0"/>
              <w:left w:val="nil"/>
              <w:bottom w:val="single" w:color="auto" w:sz="4" w:space="0"/>
              <w:right w:val="single" w:color="000000" w:sz="4" w:space="0"/>
            </w:tcBorders>
            <w:noWrap w:val="0"/>
            <w:vAlign w:val="center"/>
          </w:tcPr>
          <w:p w14:paraId="771AF1C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shd w:val="clear" w:color="auto" w:fill="FFFFFF"/>
            <w:noWrap w:val="0"/>
            <w:vAlign w:val="center"/>
          </w:tcPr>
          <w:p w14:paraId="04AE40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33.03</w:t>
            </w:r>
          </w:p>
        </w:tc>
      </w:tr>
      <w:tr w14:paraId="5E9781A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C37D37">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2414B7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CC58F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20124E5">
            <w:pPr>
              <w:widowControl/>
              <w:spacing w:line="360" w:lineRule="exact"/>
              <w:jc w:val="center"/>
              <w:rPr>
                <w:rFonts w:hint="eastAsia" w:ascii="仿宋_GB2312" w:hAnsi="仿宋_GB2312" w:eastAsia="仿宋_GB2312" w:cs="仿宋_GB2312"/>
                <w:sz w:val="20"/>
                <w:szCs w:val="20"/>
                <w:highlight w:val="none"/>
              </w:rPr>
            </w:pPr>
          </w:p>
        </w:tc>
      </w:tr>
      <w:tr w14:paraId="6645ED0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44E2E0">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、污染减排生态环境执法监察</w:t>
            </w:r>
          </w:p>
        </w:tc>
        <w:tc>
          <w:tcPr>
            <w:tcW w:w="2038" w:type="dxa"/>
            <w:gridSpan w:val="2"/>
            <w:tcBorders>
              <w:top w:val="single" w:color="auto" w:sz="4" w:space="0"/>
              <w:left w:val="nil"/>
              <w:bottom w:val="single" w:color="auto" w:sz="4" w:space="0"/>
              <w:right w:val="single" w:color="000000" w:sz="4" w:space="0"/>
            </w:tcBorders>
            <w:noWrap w:val="0"/>
            <w:vAlign w:val="center"/>
          </w:tcPr>
          <w:p w14:paraId="139A747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1B1843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shd w:val="clear" w:color="auto" w:fill="FFFFFF"/>
            <w:noWrap w:val="0"/>
            <w:vAlign w:val="center"/>
          </w:tcPr>
          <w:p w14:paraId="29986F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71.71</w:t>
            </w:r>
          </w:p>
        </w:tc>
      </w:tr>
      <w:tr w14:paraId="462579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CDF755">
            <w:pPr>
              <w:widowControl/>
              <w:spacing w:line="360" w:lineRule="exact"/>
              <w:ind w:firstLine="200" w:firstLineChars="1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4、大气污染防治</w:t>
            </w:r>
          </w:p>
        </w:tc>
        <w:tc>
          <w:tcPr>
            <w:tcW w:w="2038" w:type="dxa"/>
            <w:gridSpan w:val="2"/>
            <w:tcBorders>
              <w:top w:val="single" w:color="auto" w:sz="4" w:space="0"/>
              <w:left w:val="nil"/>
              <w:bottom w:val="single" w:color="auto" w:sz="4" w:space="0"/>
              <w:right w:val="single" w:color="000000" w:sz="4" w:space="0"/>
            </w:tcBorders>
            <w:noWrap w:val="0"/>
            <w:vAlign w:val="center"/>
          </w:tcPr>
          <w:p w14:paraId="4E962061">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F47FC3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shd w:val="clear" w:color="auto" w:fill="FFFFFF"/>
            <w:noWrap w:val="0"/>
            <w:vAlign w:val="center"/>
          </w:tcPr>
          <w:p w14:paraId="04AB04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r>
      <w:tr w14:paraId="3872EBB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8D33B6">
            <w:pPr>
              <w:widowControl/>
              <w:spacing w:line="360" w:lineRule="exact"/>
              <w:ind w:firstLine="200" w:firstLineChars="1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01776D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58.76</w:t>
            </w:r>
          </w:p>
        </w:tc>
        <w:tc>
          <w:tcPr>
            <w:tcW w:w="2240" w:type="dxa"/>
            <w:gridSpan w:val="2"/>
            <w:tcBorders>
              <w:top w:val="single" w:color="auto" w:sz="4" w:space="0"/>
              <w:left w:val="nil"/>
              <w:bottom w:val="single" w:color="auto" w:sz="4" w:space="0"/>
              <w:right w:val="single" w:color="000000" w:sz="4" w:space="0"/>
            </w:tcBorders>
            <w:noWrap w:val="0"/>
            <w:vAlign w:val="center"/>
          </w:tcPr>
          <w:p w14:paraId="5A4A0D3F">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shd w:val="clear" w:color="auto" w:fill="FFFFFF"/>
            <w:noWrap w:val="0"/>
            <w:vAlign w:val="center"/>
          </w:tcPr>
          <w:p w14:paraId="40F743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243.92</w:t>
            </w:r>
          </w:p>
        </w:tc>
      </w:tr>
      <w:tr w14:paraId="5494A41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DDDF5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5DBB6BCA">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2A6D73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45FED86">
            <w:pPr>
              <w:widowControl/>
              <w:spacing w:line="360" w:lineRule="exact"/>
              <w:jc w:val="center"/>
              <w:rPr>
                <w:rFonts w:hint="eastAsia" w:ascii="仿宋_GB2312" w:hAnsi="仿宋_GB2312" w:eastAsia="仿宋_GB2312" w:cs="仿宋_GB2312"/>
                <w:sz w:val="20"/>
                <w:szCs w:val="20"/>
                <w:highlight w:val="none"/>
              </w:rPr>
            </w:pPr>
          </w:p>
        </w:tc>
      </w:tr>
      <w:tr w14:paraId="7551DF3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AADCFC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37F17BDE">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8CD283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292FB6E">
            <w:pPr>
              <w:widowControl/>
              <w:spacing w:line="360" w:lineRule="exact"/>
              <w:jc w:val="center"/>
              <w:rPr>
                <w:rFonts w:hint="eastAsia" w:ascii="仿宋_GB2312" w:hAnsi="仿宋_GB2312" w:eastAsia="仿宋_GB2312" w:cs="仿宋_GB2312"/>
                <w:sz w:val="20"/>
                <w:szCs w:val="20"/>
                <w:highlight w:val="none"/>
              </w:rPr>
            </w:pPr>
          </w:p>
        </w:tc>
      </w:tr>
      <w:tr w14:paraId="1A2C359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8CC7A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19803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404.77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233780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72.41</w:t>
            </w:r>
          </w:p>
        </w:tc>
        <w:tc>
          <w:tcPr>
            <w:tcW w:w="2041" w:type="dxa"/>
            <w:gridSpan w:val="2"/>
            <w:tcBorders>
              <w:top w:val="single" w:color="auto" w:sz="4" w:space="0"/>
              <w:left w:val="nil"/>
              <w:bottom w:val="single" w:color="auto" w:sz="4" w:space="0"/>
              <w:right w:val="single" w:color="000000" w:sz="4" w:space="0"/>
            </w:tcBorders>
            <w:noWrap w:val="0"/>
            <w:vAlign w:val="center"/>
          </w:tcPr>
          <w:p w14:paraId="66F0D0F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72.1</w:t>
            </w:r>
            <w:r>
              <w:rPr>
                <w:rFonts w:hint="eastAsia" w:ascii="仿宋_GB2312" w:hAnsi="仿宋_GB2312" w:eastAsia="仿宋_GB2312" w:cs="仿宋_GB2312"/>
                <w:sz w:val="20"/>
                <w:szCs w:val="20"/>
                <w:highlight w:val="none"/>
              </w:rPr>
              <w:t>　</w:t>
            </w:r>
          </w:p>
        </w:tc>
      </w:tr>
      <w:tr w14:paraId="22160EF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1F55B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18B7D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10.3　</w:t>
            </w:r>
          </w:p>
        </w:tc>
        <w:tc>
          <w:tcPr>
            <w:tcW w:w="2240" w:type="dxa"/>
            <w:gridSpan w:val="2"/>
            <w:tcBorders>
              <w:top w:val="single" w:color="auto" w:sz="4" w:space="0"/>
              <w:left w:val="nil"/>
              <w:bottom w:val="single" w:color="auto" w:sz="4" w:space="0"/>
              <w:right w:val="single" w:color="000000" w:sz="4" w:space="0"/>
            </w:tcBorders>
            <w:noWrap w:val="0"/>
            <w:vAlign w:val="center"/>
          </w:tcPr>
          <w:p w14:paraId="74BAD6A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　</w:t>
            </w:r>
          </w:p>
        </w:tc>
        <w:tc>
          <w:tcPr>
            <w:tcW w:w="2041" w:type="dxa"/>
            <w:gridSpan w:val="2"/>
            <w:tcBorders>
              <w:top w:val="single" w:color="auto" w:sz="4" w:space="0"/>
              <w:left w:val="nil"/>
              <w:bottom w:val="single" w:color="auto" w:sz="4" w:space="0"/>
              <w:right w:val="single" w:color="000000" w:sz="4" w:space="0"/>
            </w:tcBorders>
            <w:noWrap w:val="0"/>
            <w:vAlign w:val="center"/>
          </w:tcPr>
          <w:p w14:paraId="1B21550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　</w:t>
            </w:r>
          </w:p>
        </w:tc>
      </w:tr>
      <w:tr w14:paraId="40E4841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EE16A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D4732E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7.12　</w:t>
            </w:r>
          </w:p>
        </w:tc>
        <w:tc>
          <w:tcPr>
            <w:tcW w:w="2240" w:type="dxa"/>
            <w:gridSpan w:val="2"/>
            <w:tcBorders>
              <w:top w:val="single" w:color="auto" w:sz="4" w:space="0"/>
              <w:left w:val="nil"/>
              <w:bottom w:val="single" w:color="auto" w:sz="4" w:space="0"/>
              <w:right w:val="single" w:color="000000" w:sz="4" w:space="0"/>
            </w:tcBorders>
            <w:noWrap w:val="0"/>
            <w:vAlign w:val="center"/>
          </w:tcPr>
          <w:p w14:paraId="0C4360D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　</w:t>
            </w:r>
          </w:p>
        </w:tc>
        <w:tc>
          <w:tcPr>
            <w:tcW w:w="2041" w:type="dxa"/>
            <w:gridSpan w:val="2"/>
            <w:tcBorders>
              <w:top w:val="single" w:color="auto" w:sz="4" w:space="0"/>
              <w:left w:val="nil"/>
              <w:bottom w:val="single" w:color="auto" w:sz="4" w:space="0"/>
              <w:right w:val="single" w:color="000000" w:sz="4" w:space="0"/>
            </w:tcBorders>
            <w:noWrap w:val="0"/>
            <w:vAlign w:val="center"/>
          </w:tcPr>
          <w:p w14:paraId="2FBC58B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6.88　</w:t>
            </w:r>
          </w:p>
        </w:tc>
      </w:tr>
      <w:tr w14:paraId="2D4403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D4FC1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4BC04A0">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62F690A">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833586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0740829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1CBB3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1C7E532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2B56DC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219.54　</w:t>
            </w:r>
          </w:p>
        </w:tc>
        <w:tc>
          <w:tcPr>
            <w:tcW w:w="2041" w:type="dxa"/>
            <w:gridSpan w:val="2"/>
            <w:tcBorders>
              <w:top w:val="single" w:color="auto" w:sz="4" w:space="0"/>
              <w:left w:val="nil"/>
              <w:bottom w:val="single" w:color="auto" w:sz="4" w:space="0"/>
              <w:right w:val="single" w:color="000000" w:sz="4" w:space="0"/>
            </w:tcBorders>
            <w:noWrap w:val="0"/>
            <w:vAlign w:val="center"/>
          </w:tcPr>
          <w:p w14:paraId="24DE0CE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270.64</w:t>
            </w:r>
            <w:r>
              <w:rPr>
                <w:rFonts w:hint="eastAsia" w:ascii="仿宋_GB2312" w:hAnsi="仿宋_GB2312" w:eastAsia="仿宋_GB2312" w:cs="仿宋_GB2312"/>
                <w:sz w:val="20"/>
                <w:szCs w:val="20"/>
                <w:highlight w:val="none"/>
              </w:rPr>
              <w:t>　</w:t>
            </w:r>
          </w:p>
        </w:tc>
      </w:tr>
      <w:tr w14:paraId="4DBD8B7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CFE1E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D8A202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A1304D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64.82　</w:t>
            </w:r>
          </w:p>
        </w:tc>
        <w:tc>
          <w:tcPr>
            <w:tcW w:w="2041" w:type="dxa"/>
            <w:gridSpan w:val="2"/>
            <w:tcBorders>
              <w:top w:val="single" w:color="auto" w:sz="4" w:space="0"/>
              <w:left w:val="nil"/>
              <w:bottom w:val="single" w:color="auto" w:sz="4" w:space="0"/>
              <w:right w:val="single" w:color="000000" w:sz="4" w:space="0"/>
            </w:tcBorders>
            <w:noWrap w:val="0"/>
            <w:vAlign w:val="center"/>
          </w:tcPr>
          <w:p w14:paraId="6A27207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7386362">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7F2C7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6C282E0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A4B075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3C379BB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2C77BD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A42A85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3DB5CF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FFE8200">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FAE3125">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2920C22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3B97298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3082ED4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23F2753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62CC331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1347BD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9DC346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B8D8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586E3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275044DF">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C1BBB08">
      <w:pPr>
        <w:widowControl/>
        <w:spacing w:afterLines="0" w:line="400" w:lineRule="exact"/>
        <w:jc w:val="left"/>
        <w:rPr>
          <w:rFonts w:hint="default" w:ascii="Times New Roman" w:hAnsi="Times New Roman" w:eastAsia="仿宋_GB2312" w:cs="Times New Roman"/>
          <w:sz w:val="22"/>
          <w:highlight w:val="none"/>
        </w:rPr>
      </w:pPr>
    </w:p>
    <w:p w14:paraId="2EB0F568">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620319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998"/>
        <w:gridCol w:w="1095"/>
        <w:gridCol w:w="1063"/>
        <w:gridCol w:w="1622"/>
        <w:gridCol w:w="1225"/>
        <w:gridCol w:w="1273"/>
        <w:gridCol w:w="596"/>
        <w:gridCol w:w="816"/>
        <w:gridCol w:w="1391"/>
      </w:tblGrid>
      <w:tr w14:paraId="50E29D5F">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69A211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74" w:type="dxa"/>
            <w:gridSpan w:val="8"/>
            <w:tcBorders>
              <w:top w:val="single" w:color="auto" w:sz="4" w:space="0"/>
              <w:left w:val="nil"/>
              <w:bottom w:val="single" w:color="auto" w:sz="4" w:space="0"/>
              <w:right w:val="single" w:color="auto" w:sz="4" w:space="0"/>
            </w:tcBorders>
            <w:noWrap w:val="0"/>
            <w:vAlign w:val="center"/>
          </w:tcPr>
          <w:p w14:paraId="5200E82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岳阳市生态环境局岳阳楼分局　</w:t>
            </w:r>
          </w:p>
        </w:tc>
      </w:tr>
      <w:tr w14:paraId="173BA128">
        <w:tblPrEx>
          <w:tblCellMar>
            <w:top w:w="0" w:type="dxa"/>
            <w:left w:w="108" w:type="dxa"/>
            <w:bottom w:w="0" w:type="dxa"/>
            <w:right w:w="108" w:type="dxa"/>
          </w:tblCellMar>
        </w:tblPrEx>
        <w:trPr>
          <w:jc w:val="center"/>
        </w:trPr>
        <w:tc>
          <w:tcPr>
            <w:tcW w:w="1005" w:type="dxa"/>
            <w:vMerge w:val="restart"/>
            <w:tcBorders>
              <w:top w:val="nil"/>
              <w:left w:val="single" w:color="auto" w:sz="4" w:space="0"/>
              <w:right w:val="single" w:color="auto" w:sz="4" w:space="0"/>
            </w:tcBorders>
            <w:noWrap w:val="0"/>
            <w:vAlign w:val="center"/>
          </w:tcPr>
          <w:p w14:paraId="0A4668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1098C3F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80" w:type="dxa"/>
            <w:gridSpan w:val="2"/>
            <w:tcBorders>
              <w:top w:val="nil"/>
              <w:left w:val="nil"/>
              <w:bottom w:val="single" w:color="auto" w:sz="4" w:space="0"/>
              <w:right w:val="single" w:color="auto" w:sz="4" w:space="0"/>
            </w:tcBorders>
            <w:noWrap w:val="0"/>
            <w:vAlign w:val="center"/>
          </w:tcPr>
          <w:p w14:paraId="21DEEEBC">
            <w:pPr>
              <w:spacing w:line="240" w:lineRule="exact"/>
              <w:jc w:val="center"/>
              <w:rPr>
                <w:rFonts w:hint="eastAsia" w:ascii="仿宋_GB2312" w:hAnsi="仿宋_GB2312" w:eastAsia="仿宋_GB2312" w:cs="仿宋_GB2312"/>
                <w:sz w:val="20"/>
                <w:szCs w:val="20"/>
                <w:highlight w:val="none"/>
              </w:rPr>
            </w:pPr>
          </w:p>
        </w:tc>
        <w:tc>
          <w:tcPr>
            <w:tcW w:w="1638" w:type="dxa"/>
            <w:tcBorders>
              <w:top w:val="nil"/>
              <w:left w:val="nil"/>
              <w:bottom w:val="single" w:color="auto" w:sz="4" w:space="0"/>
              <w:right w:val="single" w:color="auto" w:sz="4" w:space="0"/>
            </w:tcBorders>
            <w:noWrap w:val="0"/>
            <w:vAlign w:val="center"/>
          </w:tcPr>
          <w:p w14:paraId="1335398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31" w:type="dxa"/>
            <w:tcBorders>
              <w:top w:val="nil"/>
              <w:left w:val="nil"/>
              <w:bottom w:val="single" w:color="auto" w:sz="4" w:space="0"/>
              <w:right w:val="single" w:color="auto" w:sz="4" w:space="0"/>
            </w:tcBorders>
            <w:noWrap w:val="0"/>
            <w:vAlign w:val="center"/>
          </w:tcPr>
          <w:p w14:paraId="03030A0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82" w:type="dxa"/>
            <w:tcBorders>
              <w:top w:val="nil"/>
              <w:left w:val="nil"/>
              <w:bottom w:val="single" w:color="auto" w:sz="4" w:space="0"/>
              <w:right w:val="single" w:color="auto" w:sz="4" w:space="0"/>
            </w:tcBorders>
            <w:noWrap w:val="0"/>
            <w:vAlign w:val="center"/>
          </w:tcPr>
          <w:p w14:paraId="19FC9F5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598" w:type="dxa"/>
            <w:tcBorders>
              <w:top w:val="nil"/>
              <w:left w:val="nil"/>
              <w:bottom w:val="single" w:color="auto" w:sz="4" w:space="0"/>
              <w:right w:val="single" w:color="auto" w:sz="4" w:space="0"/>
            </w:tcBorders>
            <w:noWrap w:val="0"/>
            <w:vAlign w:val="center"/>
          </w:tcPr>
          <w:p w14:paraId="6890928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40" w:type="dxa"/>
            <w:tcBorders>
              <w:top w:val="nil"/>
              <w:left w:val="nil"/>
              <w:bottom w:val="single" w:color="auto" w:sz="4" w:space="0"/>
              <w:right w:val="single" w:color="auto" w:sz="4" w:space="0"/>
            </w:tcBorders>
            <w:noWrap w:val="0"/>
            <w:vAlign w:val="center"/>
          </w:tcPr>
          <w:p w14:paraId="2CCF260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05" w:type="dxa"/>
            <w:tcBorders>
              <w:top w:val="nil"/>
              <w:left w:val="nil"/>
              <w:bottom w:val="single" w:color="auto" w:sz="4" w:space="0"/>
              <w:right w:val="single" w:color="auto" w:sz="4" w:space="0"/>
            </w:tcBorders>
            <w:noWrap w:val="0"/>
            <w:vAlign w:val="center"/>
          </w:tcPr>
          <w:p w14:paraId="11E3D10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FE07E32">
        <w:tblPrEx>
          <w:tblCellMar>
            <w:top w:w="0" w:type="dxa"/>
            <w:left w:w="108" w:type="dxa"/>
            <w:bottom w:w="0" w:type="dxa"/>
            <w:right w:w="108" w:type="dxa"/>
          </w:tblCellMar>
        </w:tblPrEx>
        <w:trPr>
          <w:trHeight w:val="253" w:hRule="atLeast"/>
          <w:jc w:val="center"/>
        </w:trPr>
        <w:tc>
          <w:tcPr>
            <w:tcW w:w="1005" w:type="dxa"/>
            <w:vMerge w:val="continue"/>
            <w:tcBorders>
              <w:top w:val="nil"/>
              <w:left w:val="single" w:color="auto" w:sz="4" w:space="0"/>
              <w:right w:val="single" w:color="auto" w:sz="4" w:space="0"/>
            </w:tcBorders>
            <w:noWrap w:val="0"/>
            <w:vAlign w:val="center"/>
          </w:tcPr>
          <w:p w14:paraId="0A123AC8">
            <w:pPr>
              <w:widowControl/>
              <w:spacing w:line="240" w:lineRule="exact"/>
              <w:jc w:val="center"/>
              <w:rPr>
                <w:rFonts w:hint="eastAsia" w:ascii="仿宋_GB2312" w:hAnsi="仿宋_GB2312" w:eastAsia="仿宋_GB2312" w:cs="仿宋_GB2312"/>
                <w:color w:val="000000"/>
                <w:sz w:val="20"/>
                <w:szCs w:val="20"/>
                <w:highlight w:val="none"/>
              </w:rPr>
            </w:pPr>
          </w:p>
        </w:tc>
        <w:tc>
          <w:tcPr>
            <w:tcW w:w="2180" w:type="dxa"/>
            <w:gridSpan w:val="2"/>
            <w:tcBorders>
              <w:top w:val="nil"/>
              <w:left w:val="nil"/>
              <w:bottom w:val="single" w:color="auto" w:sz="4" w:space="0"/>
              <w:right w:val="single" w:color="auto" w:sz="4" w:space="0"/>
            </w:tcBorders>
            <w:noWrap w:val="0"/>
            <w:vAlign w:val="center"/>
          </w:tcPr>
          <w:p w14:paraId="55E8208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38" w:type="dxa"/>
            <w:tcBorders>
              <w:top w:val="nil"/>
              <w:left w:val="nil"/>
              <w:bottom w:val="single" w:color="auto" w:sz="4" w:space="0"/>
              <w:right w:val="single" w:color="auto" w:sz="4" w:space="0"/>
            </w:tcBorders>
            <w:noWrap w:val="0"/>
            <w:vAlign w:val="center"/>
          </w:tcPr>
          <w:p w14:paraId="27E4D48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465.75</w:t>
            </w:r>
          </w:p>
        </w:tc>
        <w:tc>
          <w:tcPr>
            <w:tcW w:w="1231" w:type="dxa"/>
            <w:tcBorders>
              <w:top w:val="nil"/>
              <w:left w:val="nil"/>
              <w:bottom w:val="single" w:color="auto" w:sz="4" w:space="0"/>
              <w:right w:val="single" w:color="auto" w:sz="4" w:space="0"/>
            </w:tcBorders>
            <w:noWrap w:val="0"/>
            <w:vAlign w:val="center"/>
          </w:tcPr>
          <w:p w14:paraId="73D24D5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1003.98</w:t>
            </w:r>
          </w:p>
        </w:tc>
        <w:tc>
          <w:tcPr>
            <w:tcW w:w="1282" w:type="dxa"/>
            <w:tcBorders>
              <w:top w:val="nil"/>
              <w:left w:val="nil"/>
              <w:bottom w:val="single" w:color="auto" w:sz="4" w:space="0"/>
              <w:right w:val="single" w:color="auto" w:sz="4" w:space="0"/>
            </w:tcBorders>
            <w:noWrap w:val="0"/>
            <w:vAlign w:val="center"/>
          </w:tcPr>
          <w:p w14:paraId="217B2C0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924.23</w:t>
            </w:r>
          </w:p>
        </w:tc>
        <w:tc>
          <w:tcPr>
            <w:tcW w:w="598" w:type="dxa"/>
            <w:tcBorders>
              <w:top w:val="nil"/>
              <w:left w:val="nil"/>
              <w:bottom w:val="single" w:color="auto" w:sz="4" w:space="0"/>
              <w:right w:val="single" w:color="auto" w:sz="4" w:space="0"/>
            </w:tcBorders>
            <w:noWrap w:val="0"/>
            <w:vAlign w:val="center"/>
          </w:tcPr>
          <w:p w14:paraId="332CB75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40" w:type="dxa"/>
            <w:tcBorders>
              <w:top w:val="nil"/>
              <w:left w:val="nil"/>
              <w:bottom w:val="single" w:color="auto" w:sz="4" w:space="0"/>
              <w:right w:val="single" w:color="auto" w:sz="4" w:space="0"/>
            </w:tcBorders>
            <w:noWrap w:val="0"/>
            <w:vAlign w:val="center"/>
          </w:tcPr>
          <w:p w14:paraId="6BA6224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92.06%</w:t>
            </w:r>
          </w:p>
        </w:tc>
        <w:tc>
          <w:tcPr>
            <w:tcW w:w="1405" w:type="dxa"/>
            <w:tcBorders>
              <w:top w:val="nil"/>
              <w:left w:val="nil"/>
              <w:bottom w:val="single" w:color="auto" w:sz="4" w:space="0"/>
              <w:right w:val="single" w:color="auto" w:sz="4" w:space="0"/>
            </w:tcBorders>
            <w:noWrap w:val="0"/>
            <w:vAlign w:val="center"/>
          </w:tcPr>
          <w:p w14:paraId="0B7D349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w:t>
            </w:r>
            <w:bookmarkStart w:id="0" w:name="_GoBack"/>
            <w:bookmarkEnd w:id="0"/>
            <w:r>
              <w:rPr>
                <w:rFonts w:hint="eastAsia" w:ascii="仿宋_GB2312" w:hAnsi="仿宋_GB2312" w:eastAsia="仿宋_GB2312" w:cs="仿宋_GB2312"/>
                <w:sz w:val="20"/>
                <w:szCs w:val="20"/>
                <w:highlight w:val="none"/>
                <w:lang w:val="en-US" w:eastAsia="zh-CN"/>
              </w:rPr>
              <w:t>1</w:t>
            </w:r>
          </w:p>
        </w:tc>
      </w:tr>
      <w:tr w14:paraId="4BAB38A0">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03C7E143">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3AD5C4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025" w:type="dxa"/>
            <w:gridSpan w:val="4"/>
            <w:tcBorders>
              <w:top w:val="nil"/>
              <w:left w:val="nil"/>
              <w:bottom w:val="single" w:color="auto" w:sz="4" w:space="0"/>
              <w:right w:val="single" w:color="auto" w:sz="4" w:space="0"/>
            </w:tcBorders>
            <w:noWrap w:val="0"/>
            <w:vAlign w:val="center"/>
          </w:tcPr>
          <w:p w14:paraId="07D3686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071757A3">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BC4F622">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0FF9F71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675.32</w:t>
            </w:r>
          </w:p>
        </w:tc>
        <w:tc>
          <w:tcPr>
            <w:tcW w:w="4025" w:type="dxa"/>
            <w:gridSpan w:val="4"/>
            <w:tcBorders>
              <w:top w:val="nil"/>
              <w:left w:val="nil"/>
              <w:bottom w:val="single" w:color="auto" w:sz="4" w:space="0"/>
              <w:right w:val="single" w:color="auto" w:sz="4" w:space="0"/>
            </w:tcBorders>
            <w:noWrap w:val="0"/>
            <w:vAlign w:val="center"/>
          </w:tcPr>
          <w:p w14:paraId="14D264F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525.27</w:t>
            </w:r>
          </w:p>
        </w:tc>
      </w:tr>
      <w:tr w14:paraId="1174AEF4">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1088773A">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51F41EF7">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025" w:type="dxa"/>
            <w:gridSpan w:val="4"/>
            <w:tcBorders>
              <w:top w:val="nil"/>
              <w:left w:val="nil"/>
              <w:bottom w:val="single" w:color="auto" w:sz="4" w:space="0"/>
              <w:right w:val="single" w:color="auto" w:sz="4" w:space="0"/>
            </w:tcBorders>
            <w:noWrap w:val="0"/>
            <w:vAlign w:val="center"/>
          </w:tcPr>
          <w:p w14:paraId="07987DF8">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398.65</w:t>
            </w:r>
          </w:p>
        </w:tc>
      </w:tr>
      <w:tr w14:paraId="262CA30E">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6B8DC817">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76435F4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p>
        </w:tc>
        <w:tc>
          <w:tcPr>
            <w:tcW w:w="4025" w:type="dxa"/>
            <w:gridSpan w:val="4"/>
            <w:tcBorders>
              <w:top w:val="nil"/>
              <w:left w:val="nil"/>
              <w:bottom w:val="single" w:color="auto" w:sz="4" w:space="0"/>
              <w:right w:val="single" w:color="auto" w:sz="4" w:space="0"/>
            </w:tcBorders>
            <w:noWrap w:val="0"/>
            <w:vAlign w:val="center"/>
          </w:tcPr>
          <w:p w14:paraId="029EF475">
            <w:pPr>
              <w:widowControl/>
              <w:spacing w:line="240" w:lineRule="exact"/>
              <w:jc w:val="left"/>
              <w:rPr>
                <w:rFonts w:hint="eastAsia" w:ascii="仿宋_GB2312" w:hAnsi="仿宋_GB2312" w:eastAsia="仿宋_GB2312" w:cs="仿宋_GB2312"/>
                <w:color w:val="000000"/>
                <w:sz w:val="20"/>
                <w:szCs w:val="20"/>
                <w:highlight w:val="none"/>
              </w:rPr>
            </w:pPr>
          </w:p>
        </w:tc>
      </w:tr>
      <w:tr w14:paraId="2580FF2D">
        <w:tblPrEx>
          <w:tblCellMar>
            <w:top w:w="0" w:type="dxa"/>
            <w:left w:w="108" w:type="dxa"/>
            <w:bottom w:w="0" w:type="dxa"/>
            <w:right w:w="108" w:type="dxa"/>
          </w:tblCellMar>
        </w:tblPrEx>
        <w:trPr>
          <w:jc w:val="center"/>
        </w:trPr>
        <w:tc>
          <w:tcPr>
            <w:tcW w:w="1005" w:type="dxa"/>
            <w:vMerge w:val="continue"/>
            <w:tcBorders>
              <w:left w:val="single" w:color="auto" w:sz="4" w:space="0"/>
              <w:bottom w:val="single" w:color="000000" w:sz="4" w:space="0"/>
              <w:right w:val="single" w:color="auto" w:sz="4" w:space="0"/>
            </w:tcBorders>
            <w:noWrap w:val="0"/>
            <w:vAlign w:val="center"/>
          </w:tcPr>
          <w:p w14:paraId="2F0C6F66">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7D55F30F">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294.61</w:t>
            </w:r>
          </w:p>
        </w:tc>
        <w:tc>
          <w:tcPr>
            <w:tcW w:w="4025" w:type="dxa"/>
            <w:gridSpan w:val="4"/>
            <w:tcBorders>
              <w:top w:val="nil"/>
              <w:left w:val="nil"/>
              <w:bottom w:val="single" w:color="auto" w:sz="4" w:space="0"/>
              <w:right w:val="single" w:color="auto" w:sz="4" w:space="0"/>
            </w:tcBorders>
            <w:noWrap w:val="0"/>
            <w:vAlign w:val="center"/>
          </w:tcPr>
          <w:p w14:paraId="3E481228">
            <w:pPr>
              <w:widowControl/>
              <w:spacing w:line="240" w:lineRule="exact"/>
              <w:jc w:val="left"/>
              <w:rPr>
                <w:rFonts w:hint="eastAsia" w:ascii="仿宋_GB2312" w:hAnsi="仿宋_GB2312" w:eastAsia="仿宋_GB2312" w:cs="仿宋_GB2312"/>
                <w:color w:val="000000"/>
                <w:sz w:val="20"/>
                <w:szCs w:val="20"/>
                <w:highlight w:val="none"/>
              </w:rPr>
            </w:pPr>
          </w:p>
        </w:tc>
      </w:tr>
      <w:tr w14:paraId="5064559D">
        <w:tblPrEx>
          <w:tblCellMar>
            <w:top w:w="0" w:type="dxa"/>
            <w:left w:w="108" w:type="dxa"/>
            <w:bottom w:w="0" w:type="dxa"/>
            <w:right w:w="108" w:type="dxa"/>
          </w:tblCellMar>
        </w:tblPrEx>
        <w:trPr>
          <w:jc w:val="center"/>
        </w:trPr>
        <w:tc>
          <w:tcPr>
            <w:tcW w:w="1005" w:type="dxa"/>
            <w:vMerge w:val="restart"/>
            <w:tcBorders>
              <w:top w:val="nil"/>
              <w:left w:val="single" w:color="auto" w:sz="4" w:space="0"/>
              <w:bottom w:val="single" w:color="000000" w:sz="4" w:space="0"/>
              <w:right w:val="single" w:color="auto" w:sz="4" w:space="0"/>
            </w:tcBorders>
            <w:noWrap w:val="0"/>
            <w:vAlign w:val="center"/>
          </w:tcPr>
          <w:p w14:paraId="14BEFC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49" w:type="dxa"/>
            <w:gridSpan w:val="4"/>
            <w:tcBorders>
              <w:top w:val="single" w:color="auto" w:sz="4" w:space="0"/>
              <w:left w:val="nil"/>
              <w:bottom w:val="single" w:color="auto" w:sz="4" w:space="0"/>
              <w:right w:val="single" w:color="000000" w:sz="4" w:space="0"/>
            </w:tcBorders>
            <w:noWrap w:val="0"/>
            <w:vAlign w:val="center"/>
          </w:tcPr>
          <w:p w14:paraId="54D010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25" w:type="dxa"/>
            <w:gridSpan w:val="4"/>
            <w:tcBorders>
              <w:top w:val="single" w:color="auto" w:sz="4" w:space="0"/>
              <w:left w:val="nil"/>
              <w:bottom w:val="single" w:color="auto" w:sz="4" w:space="0"/>
              <w:right w:val="single" w:color="auto" w:sz="4" w:space="0"/>
            </w:tcBorders>
            <w:noWrap w:val="0"/>
            <w:vAlign w:val="center"/>
          </w:tcPr>
          <w:p w14:paraId="73495C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D44AA90">
        <w:tblPrEx>
          <w:tblCellMar>
            <w:top w:w="0" w:type="dxa"/>
            <w:left w:w="108" w:type="dxa"/>
            <w:bottom w:w="0" w:type="dxa"/>
            <w:right w:w="108" w:type="dxa"/>
          </w:tblCellMar>
        </w:tblPrEx>
        <w:trPr>
          <w:trHeight w:val="1076" w:hRule="atLeast"/>
          <w:jc w:val="center"/>
        </w:trPr>
        <w:tc>
          <w:tcPr>
            <w:tcW w:w="1005" w:type="dxa"/>
            <w:vMerge w:val="continue"/>
            <w:tcBorders>
              <w:top w:val="nil"/>
              <w:left w:val="single" w:color="auto" w:sz="4" w:space="0"/>
              <w:bottom w:val="single" w:color="000000" w:sz="4" w:space="0"/>
              <w:right w:val="single" w:color="auto" w:sz="4" w:space="0"/>
            </w:tcBorders>
            <w:noWrap w:val="0"/>
            <w:vAlign w:val="center"/>
          </w:tcPr>
          <w:p w14:paraId="0C7820B8">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single" w:color="auto" w:sz="4" w:space="0"/>
              <w:left w:val="nil"/>
              <w:bottom w:val="single" w:color="auto" w:sz="4" w:space="0"/>
              <w:right w:val="single" w:color="000000" w:sz="4" w:space="0"/>
            </w:tcBorders>
            <w:noWrap w:val="0"/>
            <w:vAlign w:val="center"/>
          </w:tcPr>
          <w:p w14:paraId="4234F3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紧盯问题重点，持续抓好整销号；2、狠抓源头治理，聚力打好水质攻坚战；3、多举措全领域，强力打好蓝天保卫战；4、强化执法监管，防范生态污染事故；5、落实“双随机、一公开”日常执法规范有序，其他工作稳步开展。</w:t>
            </w:r>
          </w:p>
        </w:tc>
        <w:tc>
          <w:tcPr>
            <w:tcW w:w="4025" w:type="dxa"/>
            <w:gridSpan w:val="4"/>
            <w:tcBorders>
              <w:top w:val="single" w:color="auto" w:sz="4" w:space="0"/>
              <w:left w:val="nil"/>
              <w:bottom w:val="single" w:color="auto" w:sz="4" w:space="0"/>
              <w:right w:val="single" w:color="auto" w:sz="4" w:space="0"/>
            </w:tcBorders>
            <w:noWrap w:val="0"/>
            <w:vAlign w:val="center"/>
          </w:tcPr>
          <w:p w14:paraId="3905926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w:t>
            </w:r>
            <w:r>
              <w:rPr>
                <w:rFonts w:hint="eastAsia" w:ascii="仿宋_GB2312" w:hAnsi="仿宋_GB2312" w:eastAsia="仿宋_GB2312" w:cs="仿宋_GB2312"/>
                <w:color w:val="000000"/>
                <w:sz w:val="20"/>
                <w:szCs w:val="20"/>
                <w:highlight w:val="none"/>
                <w:lang w:val="en-US" w:eastAsia="zh-CN"/>
              </w:rPr>
              <w:t>完成100%</w:t>
            </w:r>
          </w:p>
        </w:tc>
      </w:tr>
      <w:tr w14:paraId="1E2C1431">
        <w:tblPrEx>
          <w:tblCellMar>
            <w:top w:w="0" w:type="dxa"/>
            <w:left w:w="108" w:type="dxa"/>
            <w:bottom w:w="0" w:type="dxa"/>
            <w:right w:w="108" w:type="dxa"/>
          </w:tblCellMar>
        </w:tblPrEx>
        <w:trPr>
          <w:trHeight w:val="551" w:hRule="atLeast"/>
          <w:jc w:val="center"/>
        </w:trPr>
        <w:tc>
          <w:tcPr>
            <w:tcW w:w="1005" w:type="dxa"/>
            <w:vMerge w:val="restart"/>
            <w:tcBorders>
              <w:top w:val="nil"/>
              <w:left w:val="single" w:color="auto" w:sz="4" w:space="0"/>
              <w:right w:val="single" w:color="auto" w:sz="4" w:space="0"/>
            </w:tcBorders>
            <w:noWrap w:val="0"/>
            <w:vAlign w:val="center"/>
          </w:tcPr>
          <w:p w14:paraId="5B888E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452D09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C2072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0ADAD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55F21A0">
            <w:pPr>
              <w:widowControl/>
              <w:spacing w:line="240" w:lineRule="exact"/>
              <w:jc w:val="center"/>
              <w:rPr>
                <w:rFonts w:hint="eastAsia" w:ascii="仿宋_GB2312" w:hAnsi="仿宋_GB2312" w:eastAsia="仿宋_GB2312" w:cs="仿宋_GB2312"/>
                <w:color w:val="000000"/>
                <w:sz w:val="20"/>
                <w:szCs w:val="20"/>
                <w:highlight w:val="none"/>
              </w:rPr>
            </w:pPr>
          </w:p>
        </w:tc>
        <w:tc>
          <w:tcPr>
            <w:tcW w:w="1104" w:type="dxa"/>
            <w:tcBorders>
              <w:top w:val="nil"/>
              <w:left w:val="nil"/>
              <w:bottom w:val="single" w:color="auto" w:sz="4" w:space="0"/>
              <w:right w:val="single" w:color="auto" w:sz="4" w:space="0"/>
            </w:tcBorders>
            <w:noWrap w:val="0"/>
            <w:vAlign w:val="center"/>
          </w:tcPr>
          <w:p w14:paraId="7074B8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6" w:type="dxa"/>
            <w:tcBorders>
              <w:top w:val="nil"/>
              <w:left w:val="nil"/>
              <w:bottom w:val="single" w:color="auto" w:sz="4" w:space="0"/>
              <w:right w:val="single" w:color="auto" w:sz="4" w:space="0"/>
            </w:tcBorders>
            <w:noWrap w:val="0"/>
            <w:vAlign w:val="center"/>
          </w:tcPr>
          <w:p w14:paraId="7959DC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38" w:type="dxa"/>
            <w:tcBorders>
              <w:top w:val="nil"/>
              <w:left w:val="nil"/>
              <w:bottom w:val="single" w:color="auto" w:sz="4" w:space="0"/>
              <w:right w:val="single" w:color="auto" w:sz="4" w:space="0"/>
            </w:tcBorders>
            <w:noWrap w:val="0"/>
            <w:vAlign w:val="center"/>
          </w:tcPr>
          <w:p w14:paraId="300890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31" w:type="dxa"/>
            <w:tcBorders>
              <w:top w:val="nil"/>
              <w:left w:val="nil"/>
              <w:bottom w:val="single" w:color="auto" w:sz="4" w:space="0"/>
              <w:right w:val="single" w:color="auto" w:sz="4" w:space="0"/>
            </w:tcBorders>
            <w:noWrap w:val="0"/>
            <w:vAlign w:val="center"/>
          </w:tcPr>
          <w:p w14:paraId="227622E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82" w:type="dxa"/>
            <w:tcBorders>
              <w:top w:val="nil"/>
              <w:left w:val="nil"/>
              <w:bottom w:val="single" w:color="auto" w:sz="4" w:space="0"/>
              <w:right w:val="single" w:color="auto" w:sz="4" w:space="0"/>
            </w:tcBorders>
            <w:noWrap w:val="0"/>
            <w:vAlign w:val="center"/>
          </w:tcPr>
          <w:p w14:paraId="130C6D5B">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598" w:type="dxa"/>
            <w:tcBorders>
              <w:top w:val="nil"/>
              <w:left w:val="nil"/>
              <w:bottom w:val="single" w:color="auto" w:sz="4" w:space="0"/>
              <w:right w:val="single" w:color="auto" w:sz="4" w:space="0"/>
            </w:tcBorders>
            <w:noWrap w:val="0"/>
            <w:vAlign w:val="center"/>
          </w:tcPr>
          <w:p w14:paraId="5EC7B1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40" w:type="dxa"/>
            <w:tcBorders>
              <w:top w:val="nil"/>
              <w:left w:val="nil"/>
              <w:bottom w:val="single" w:color="auto" w:sz="4" w:space="0"/>
              <w:right w:val="single" w:color="auto" w:sz="4" w:space="0"/>
            </w:tcBorders>
            <w:noWrap w:val="0"/>
            <w:vAlign w:val="center"/>
          </w:tcPr>
          <w:p w14:paraId="46A8C0D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05" w:type="dxa"/>
            <w:tcBorders>
              <w:top w:val="nil"/>
              <w:left w:val="nil"/>
              <w:bottom w:val="single" w:color="auto" w:sz="4" w:space="0"/>
              <w:right w:val="single" w:color="auto" w:sz="4" w:space="0"/>
            </w:tcBorders>
            <w:noWrap w:val="0"/>
            <w:vAlign w:val="center"/>
          </w:tcPr>
          <w:p w14:paraId="5372F29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2644442">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D724438">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restart"/>
            <w:tcBorders>
              <w:top w:val="nil"/>
              <w:left w:val="nil"/>
              <w:right w:val="single" w:color="auto" w:sz="4" w:space="0"/>
            </w:tcBorders>
            <w:noWrap w:val="0"/>
            <w:vAlign w:val="center"/>
          </w:tcPr>
          <w:p w14:paraId="298CFA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0069182">
            <w:pPr>
              <w:widowControl/>
              <w:spacing w:line="240" w:lineRule="exact"/>
              <w:jc w:val="center"/>
              <w:rPr>
                <w:rFonts w:hint="eastAsia" w:ascii="仿宋_GB2312" w:hAnsi="仿宋_GB2312" w:eastAsia="仿宋_GB2312" w:cs="仿宋_GB2312"/>
                <w:color w:val="000000"/>
                <w:sz w:val="20"/>
                <w:szCs w:val="20"/>
                <w:highlight w:val="none"/>
              </w:rPr>
            </w:pPr>
          </w:p>
          <w:p w14:paraId="43E19F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6" w:type="dxa"/>
            <w:vMerge w:val="restart"/>
            <w:tcBorders>
              <w:top w:val="nil"/>
              <w:left w:val="nil"/>
              <w:right w:val="single" w:color="auto" w:sz="4" w:space="0"/>
            </w:tcBorders>
            <w:noWrap w:val="0"/>
            <w:vAlign w:val="center"/>
          </w:tcPr>
          <w:p w14:paraId="1C68CF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38" w:type="dxa"/>
            <w:tcBorders>
              <w:top w:val="nil"/>
              <w:left w:val="nil"/>
              <w:bottom w:val="single" w:color="auto" w:sz="4" w:space="0"/>
              <w:right w:val="single" w:color="auto" w:sz="4" w:space="0"/>
            </w:tcBorders>
            <w:noWrap w:val="0"/>
            <w:vAlign w:val="center"/>
          </w:tcPr>
          <w:p w14:paraId="3FBFDB6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color w:val="000000"/>
                <w:sz w:val="20"/>
                <w:szCs w:val="20"/>
                <w:highlight w:val="none"/>
              </w:rPr>
              <w:t>柴油货车开展路检路查检查</w:t>
            </w:r>
          </w:p>
        </w:tc>
        <w:tc>
          <w:tcPr>
            <w:tcW w:w="1231" w:type="dxa"/>
            <w:tcBorders>
              <w:top w:val="nil"/>
              <w:left w:val="nil"/>
              <w:bottom w:val="single" w:color="auto" w:sz="4" w:space="0"/>
              <w:right w:val="single" w:color="auto" w:sz="4" w:space="0"/>
            </w:tcBorders>
            <w:noWrap w:val="0"/>
            <w:vAlign w:val="center"/>
          </w:tcPr>
          <w:p w14:paraId="0068623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94台</w:t>
            </w:r>
          </w:p>
        </w:tc>
        <w:tc>
          <w:tcPr>
            <w:tcW w:w="1282" w:type="dxa"/>
            <w:tcBorders>
              <w:top w:val="nil"/>
              <w:left w:val="nil"/>
              <w:bottom w:val="single" w:color="auto" w:sz="4" w:space="0"/>
              <w:right w:val="single" w:color="auto" w:sz="4" w:space="0"/>
            </w:tcBorders>
            <w:noWrap w:val="0"/>
            <w:vAlign w:val="center"/>
          </w:tcPr>
          <w:p w14:paraId="5354F09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94台</w:t>
            </w:r>
          </w:p>
        </w:tc>
        <w:tc>
          <w:tcPr>
            <w:tcW w:w="598" w:type="dxa"/>
            <w:tcBorders>
              <w:top w:val="nil"/>
              <w:left w:val="nil"/>
              <w:bottom w:val="single" w:color="auto" w:sz="4" w:space="0"/>
              <w:right w:val="single" w:color="auto" w:sz="4" w:space="0"/>
            </w:tcBorders>
            <w:noWrap w:val="0"/>
            <w:vAlign w:val="center"/>
          </w:tcPr>
          <w:p w14:paraId="4527A51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40" w:type="dxa"/>
            <w:tcBorders>
              <w:top w:val="nil"/>
              <w:left w:val="nil"/>
              <w:bottom w:val="single" w:color="auto" w:sz="4" w:space="0"/>
              <w:right w:val="single" w:color="auto" w:sz="4" w:space="0"/>
            </w:tcBorders>
            <w:noWrap w:val="0"/>
            <w:vAlign w:val="center"/>
          </w:tcPr>
          <w:p w14:paraId="244A6AB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094EEC3C">
            <w:pPr>
              <w:widowControl/>
              <w:spacing w:line="240" w:lineRule="exact"/>
              <w:jc w:val="center"/>
              <w:rPr>
                <w:rFonts w:hint="eastAsia" w:ascii="仿宋_GB2312" w:hAnsi="仿宋_GB2312" w:eastAsia="仿宋_GB2312" w:cs="仿宋_GB2312"/>
                <w:color w:val="000000"/>
                <w:sz w:val="20"/>
                <w:szCs w:val="20"/>
                <w:highlight w:val="none"/>
              </w:rPr>
            </w:pPr>
          </w:p>
        </w:tc>
      </w:tr>
      <w:tr w14:paraId="35103247">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CF63331">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left w:val="nil"/>
              <w:right w:val="single" w:color="auto" w:sz="4" w:space="0"/>
            </w:tcBorders>
            <w:noWrap w:val="0"/>
            <w:vAlign w:val="center"/>
          </w:tcPr>
          <w:p w14:paraId="302085B6">
            <w:pPr>
              <w:spacing w:line="240" w:lineRule="exact"/>
              <w:jc w:val="left"/>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20AA95AD">
            <w:pPr>
              <w:spacing w:line="240" w:lineRule="exact"/>
              <w:jc w:val="center"/>
              <w:rPr>
                <w:rFonts w:hint="eastAsia" w:ascii="仿宋_GB2312" w:hAnsi="仿宋_GB2312" w:eastAsia="仿宋_GB2312" w:cs="仿宋_GB2312"/>
                <w:color w:val="000000"/>
                <w:sz w:val="20"/>
                <w:szCs w:val="20"/>
                <w:highlight w:val="none"/>
              </w:rPr>
            </w:pPr>
          </w:p>
        </w:tc>
        <w:tc>
          <w:tcPr>
            <w:tcW w:w="1638" w:type="dxa"/>
            <w:tcBorders>
              <w:top w:val="nil"/>
              <w:left w:val="nil"/>
              <w:bottom w:val="single" w:color="auto" w:sz="4" w:space="0"/>
              <w:right w:val="single" w:color="auto" w:sz="4" w:space="0"/>
            </w:tcBorders>
            <w:noWrap w:val="0"/>
            <w:vAlign w:val="center"/>
          </w:tcPr>
          <w:p w14:paraId="23F61C6A">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受理各类环境信访件</w:t>
            </w:r>
            <w:r>
              <w:rPr>
                <w:rFonts w:hint="eastAsia" w:ascii="仿宋_GB2312" w:hAnsi="仿宋_GB2312" w:eastAsia="仿宋_GB2312" w:cs="仿宋_GB2312"/>
                <w:color w:val="000000"/>
                <w:sz w:val="20"/>
                <w:szCs w:val="20"/>
                <w:highlight w:val="none"/>
                <w:lang w:eastAsia="zh-CN"/>
              </w:rPr>
              <w:t>办结</w:t>
            </w:r>
          </w:p>
        </w:tc>
        <w:tc>
          <w:tcPr>
            <w:tcW w:w="1231" w:type="dxa"/>
            <w:tcBorders>
              <w:top w:val="nil"/>
              <w:left w:val="nil"/>
              <w:bottom w:val="single" w:color="auto" w:sz="4" w:space="0"/>
              <w:right w:val="single" w:color="auto" w:sz="4" w:space="0"/>
            </w:tcBorders>
            <w:noWrap w:val="0"/>
            <w:vAlign w:val="center"/>
          </w:tcPr>
          <w:p w14:paraId="0A5B6C8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96件</w:t>
            </w:r>
          </w:p>
        </w:tc>
        <w:tc>
          <w:tcPr>
            <w:tcW w:w="1282" w:type="dxa"/>
            <w:tcBorders>
              <w:top w:val="nil"/>
              <w:left w:val="nil"/>
              <w:bottom w:val="single" w:color="auto" w:sz="4" w:space="0"/>
              <w:right w:val="single" w:color="auto" w:sz="4" w:space="0"/>
            </w:tcBorders>
            <w:noWrap w:val="0"/>
            <w:vAlign w:val="center"/>
          </w:tcPr>
          <w:p w14:paraId="04FC5D9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96件</w:t>
            </w:r>
          </w:p>
        </w:tc>
        <w:tc>
          <w:tcPr>
            <w:tcW w:w="598" w:type="dxa"/>
            <w:tcBorders>
              <w:top w:val="nil"/>
              <w:left w:val="nil"/>
              <w:bottom w:val="single" w:color="auto" w:sz="4" w:space="0"/>
              <w:right w:val="single" w:color="auto" w:sz="4" w:space="0"/>
            </w:tcBorders>
            <w:noWrap w:val="0"/>
            <w:vAlign w:val="center"/>
          </w:tcPr>
          <w:p w14:paraId="462C9D5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40" w:type="dxa"/>
            <w:tcBorders>
              <w:top w:val="nil"/>
              <w:left w:val="nil"/>
              <w:bottom w:val="single" w:color="auto" w:sz="4" w:space="0"/>
              <w:right w:val="single" w:color="auto" w:sz="4" w:space="0"/>
            </w:tcBorders>
            <w:noWrap w:val="0"/>
            <w:vAlign w:val="center"/>
          </w:tcPr>
          <w:p w14:paraId="6ED4E02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1FACF8C1">
            <w:pPr>
              <w:widowControl/>
              <w:spacing w:line="240" w:lineRule="exact"/>
              <w:jc w:val="center"/>
              <w:rPr>
                <w:rFonts w:hint="eastAsia" w:ascii="仿宋_GB2312" w:hAnsi="仿宋_GB2312" w:eastAsia="仿宋_GB2312" w:cs="仿宋_GB2312"/>
                <w:color w:val="000000"/>
                <w:sz w:val="20"/>
                <w:szCs w:val="20"/>
                <w:highlight w:val="none"/>
              </w:rPr>
            </w:pPr>
          </w:p>
        </w:tc>
      </w:tr>
      <w:tr w14:paraId="312A5CFD">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1F00D647">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left w:val="nil"/>
              <w:right w:val="single" w:color="auto" w:sz="4" w:space="0"/>
            </w:tcBorders>
            <w:noWrap w:val="0"/>
            <w:vAlign w:val="center"/>
          </w:tcPr>
          <w:p w14:paraId="010434CA">
            <w:pPr>
              <w:spacing w:line="240" w:lineRule="exact"/>
              <w:jc w:val="left"/>
              <w:rPr>
                <w:rFonts w:hint="eastAsia" w:ascii="仿宋_GB2312" w:hAnsi="仿宋_GB2312" w:eastAsia="仿宋_GB2312" w:cs="仿宋_GB2312"/>
                <w:color w:val="000000"/>
                <w:sz w:val="20"/>
                <w:szCs w:val="20"/>
                <w:highlight w:val="none"/>
              </w:rPr>
            </w:pPr>
          </w:p>
        </w:tc>
        <w:tc>
          <w:tcPr>
            <w:tcW w:w="1076" w:type="dxa"/>
            <w:vMerge w:val="continue"/>
            <w:tcBorders>
              <w:left w:val="nil"/>
              <w:bottom w:val="single" w:color="auto" w:sz="4" w:space="0"/>
              <w:right w:val="single" w:color="auto" w:sz="4" w:space="0"/>
            </w:tcBorders>
            <w:noWrap w:val="0"/>
            <w:vAlign w:val="center"/>
          </w:tcPr>
          <w:p w14:paraId="50F21240">
            <w:pPr>
              <w:widowControl/>
              <w:spacing w:line="240" w:lineRule="exact"/>
              <w:jc w:val="center"/>
              <w:rPr>
                <w:rFonts w:hint="eastAsia" w:ascii="仿宋_GB2312" w:hAnsi="仿宋_GB2312" w:eastAsia="仿宋_GB2312" w:cs="仿宋_GB2312"/>
                <w:color w:val="000000"/>
                <w:sz w:val="20"/>
                <w:szCs w:val="20"/>
                <w:highlight w:val="none"/>
              </w:rPr>
            </w:pPr>
          </w:p>
        </w:tc>
        <w:tc>
          <w:tcPr>
            <w:tcW w:w="1638" w:type="dxa"/>
            <w:tcBorders>
              <w:top w:val="nil"/>
              <w:left w:val="nil"/>
              <w:bottom w:val="single" w:color="auto" w:sz="4" w:space="0"/>
              <w:right w:val="single" w:color="auto" w:sz="4" w:space="0"/>
            </w:tcBorders>
            <w:noWrap w:val="0"/>
            <w:vAlign w:val="center"/>
          </w:tcPr>
          <w:p w14:paraId="19383DD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宋体" w:eastAsia="仿宋_GB2312" w:cs="仿宋_GB2312"/>
                <w:i w:val="0"/>
                <w:iCs w:val="0"/>
                <w:color w:val="000000"/>
                <w:kern w:val="0"/>
                <w:sz w:val="20"/>
                <w:szCs w:val="20"/>
                <w:u w:val="none"/>
                <w:lang w:val="en-US" w:eastAsia="zh-CN" w:bidi="ar"/>
              </w:rPr>
              <w:t>完成的罚没款征缴任务</w:t>
            </w:r>
          </w:p>
        </w:tc>
        <w:tc>
          <w:tcPr>
            <w:tcW w:w="1231" w:type="dxa"/>
            <w:tcBorders>
              <w:top w:val="nil"/>
              <w:left w:val="nil"/>
              <w:bottom w:val="single" w:color="auto" w:sz="4" w:space="0"/>
              <w:right w:val="single" w:color="auto" w:sz="4" w:space="0"/>
            </w:tcBorders>
            <w:noWrap w:val="0"/>
            <w:vAlign w:val="center"/>
          </w:tcPr>
          <w:p w14:paraId="0EB1557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20万元</w:t>
            </w:r>
          </w:p>
        </w:tc>
        <w:tc>
          <w:tcPr>
            <w:tcW w:w="1282" w:type="dxa"/>
            <w:tcBorders>
              <w:top w:val="nil"/>
              <w:left w:val="nil"/>
              <w:bottom w:val="single" w:color="auto" w:sz="4" w:space="0"/>
              <w:right w:val="single" w:color="auto" w:sz="4" w:space="0"/>
            </w:tcBorders>
            <w:noWrap w:val="0"/>
            <w:vAlign w:val="center"/>
          </w:tcPr>
          <w:p w14:paraId="2C165BC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19.95</w:t>
            </w:r>
            <w:r>
              <w:rPr>
                <w:rFonts w:hint="eastAsia" w:ascii="仿宋_GB2312" w:hAnsi="仿宋_GB2312" w:eastAsia="仿宋_GB2312" w:cs="仿宋_GB2312"/>
                <w:color w:val="000000"/>
                <w:sz w:val="20"/>
                <w:szCs w:val="20"/>
                <w:highlight w:val="none"/>
                <w:lang w:val="en-US" w:eastAsia="zh-CN"/>
              </w:rPr>
              <w:t>万元</w:t>
            </w:r>
          </w:p>
        </w:tc>
        <w:tc>
          <w:tcPr>
            <w:tcW w:w="598" w:type="dxa"/>
            <w:tcBorders>
              <w:top w:val="nil"/>
              <w:left w:val="nil"/>
              <w:bottom w:val="single" w:color="auto" w:sz="4" w:space="0"/>
              <w:right w:val="single" w:color="auto" w:sz="4" w:space="0"/>
            </w:tcBorders>
            <w:noWrap w:val="0"/>
            <w:vAlign w:val="center"/>
          </w:tcPr>
          <w:p w14:paraId="12D8EE6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40" w:type="dxa"/>
            <w:tcBorders>
              <w:top w:val="nil"/>
              <w:left w:val="nil"/>
              <w:bottom w:val="single" w:color="auto" w:sz="4" w:space="0"/>
              <w:right w:val="single" w:color="auto" w:sz="4" w:space="0"/>
            </w:tcBorders>
            <w:noWrap w:val="0"/>
            <w:vAlign w:val="center"/>
          </w:tcPr>
          <w:p w14:paraId="670A146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5" w:type="dxa"/>
            <w:tcBorders>
              <w:top w:val="nil"/>
              <w:left w:val="nil"/>
              <w:bottom w:val="single" w:color="auto" w:sz="4" w:space="0"/>
              <w:right w:val="single" w:color="auto" w:sz="4" w:space="0"/>
            </w:tcBorders>
            <w:noWrap w:val="0"/>
            <w:vAlign w:val="center"/>
          </w:tcPr>
          <w:p w14:paraId="70443E9C">
            <w:pPr>
              <w:widowControl/>
              <w:spacing w:line="240" w:lineRule="exact"/>
              <w:jc w:val="center"/>
              <w:rPr>
                <w:rFonts w:hint="eastAsia" w:ascii="仿宋_GB2312" w:hAnsi="仿宋_GB2312" w:eastAsia="仿宋_GB2312" w:cs="仿宋_GB2312"/>
                <w:color w:val="000000"/>
                <w:sz w:val="20"/>
                <w:szCs w:val="20"/>
                <w:highlight w:val="none"/>
              </w:rPr>
            </w:pPr>
          </w:p>
        </w:tc>
      </w:tr>
      <w:tr w14:paraId="5FF9694B">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463F4B5">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left w:val="nil"/>
              <w:right w:val="single" w:color="auto" w:sz="4" w:space="0"/>
            </w:tcBorders>
            <w:noWrap w:val="0"/>
            <w:vAlign w:val="center"/>
          </w:tcPr>
          <w:p w14:paraId="3968D517">
            <w:pPr>
              <w:spacing w:line="240" w:lineRule="exact"/>
              <w:jc w:val="left"/>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79C62B1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1F5294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环境质量达标</w:t>
            </w:r>
          </w:p>
        </w:tc>
        <w:tc>
          <w:tcPr>
            <w:tcW w:w="1231" w:type="dxa"/>
            <w:tcBorders>
              <w:top w:val="nil"/>
              <w:left w:val="nil"/>
              <w:bottom w:val="single" w:color="auto" w:sz="4" w:space="0"/>
              <w:right w:val="single" w:color="auto" w:sz="4" w:space="0"/>
            </w:tcBorders>
            <w:noWrap w:val="0"/>
            <w:vAlign w:val="center"/>
          </w:tcPr>
          <w:p w14:paraId="622391C3">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282" w:type="dxa"/>
            <w:tcBorders>
              <w:top w:val="nil"/>
              <w:left w:val="nil"/>
              <w:bottom w:val="single" w:color="auto" w:sz="4" w:space="0"/>
              <w:right w:val="single" w:color="auto" w:sz="4" w:space="0"/>
            </w:tcBorders>
            <w:noWrap w:val="0"/>
            <w:vAlign w:val="center"/>
          </w:tcPr>
          <w:p w14:paraId="1F07FE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598" w:type="dxa"/>
            <w:tcBorders>
              <w:top w:val="nil"/>
              <w:left w:val="nil"/>
              <w:bottom w:val="single" w:color="auto" w:sz="4" w:space="0"/>
              <w:right w:val="single" w:color="auto" w:sz="4" w:space="0"/>
            </w:tcBorders>
            <w:noWrap w:val="0"/>
            <w:vAlign w:val="center"/>
          </w:tcPr>
          <w:p w14:paraId="4A0FCC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40" w:type="dxa"/>
            <w:tcBorders>
              <w:top w:val="nil"/>
              <w:left w:val="nil"/>
              <w:bottom w:val="single" w:color="auto" w:sz="4" w:space="0"/>
              <w:right w:val="single" w:color="auto" w:sz="4" w:space="0"/>
            </w:tcBorders>
            <w:noWrap w:val="0"/>
            <w:vAlign w:val="center"/>
          </w:tcPr>
          <w:p w14:paraId="1108C0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09D056BC">
            <w:pPr>
              <w:widowControl/>
              <w:spacing w:line="240" w:lineRule="exact"/>
              <w:jc w:val="center"/>
              <w:rPr>
                <w:rFonts w:hint="eastAsia" w:ascii="仿宋_GB2312" w:hAnsi="仿宋_GB2312" w:eastAsia="仿宋_GB2312" w:cs="仿宋_GB2312"/>
                <w:color w:val="000000"/>
                <w:sz w:val="20"/>
                <w:szCs w:val="20"/>
                <w:highlight w:val="none"/>
              </w:rPr>
            </w:pPr>
          </w:p>
        </w:tc>
      </w:tr>
      <w:tr w14:paraId="33444F6B">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0FD6E530">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left w:val="nil"/>
              <w:right w:val="single" w:color="auto" w:sz="4" w:space="0"/>
            </w:tcBorders>
            <w:noWrap w:val="0"/>
            <w:vAlign w:val="center"/>
          </w:tcPr>
          <w:p w14:paraId="6833F07F">
            <w:pPr>
              <w:spacing w:line="240" w:lineRule="exact"/>
              <w:jc w:val="left"/>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D6F1936">
            <w:pPr>
              <w:spacing w:line="240" w:lineRule="exact"/>
              <w:jc w:val="center"/>
              <w:rPr>
                <w:rFonts w:hint="eastAsia" w:ascii="仿宋_GB2312" w:hAnsi="仿宋_GB2312" w:eastAsia="仿宋_GB2312" w:cs="仿宋_GB2312"/>
                <w:color w:val="000000"/>
                <w:sz w:val="20"/>
                <w:szCs w:val="20"/>
                <w:highlight w:val="none"/>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B5E64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完成任务率</w:t>
            </w:r>
          </w:p>
        </w:tc>
        <w:tc>
          <w:tcPr>
            <w:tcW w:w="1231" w:type="dxa"/>
            <w:tcBorders>
              <w:top w:val="nil"/>
              <w:left w:val="nil"/>
              <w:bottom w:val="single" w:color="auto" w:sz="4" w:space="0"/>
              <w:right w:val="single" w:color="auto" w:sz="4" w:space="0"/>
            </w:tcBorders>
            <w:noWrap w:val="0"/>
            <w:vAlign w:val="center"/>
          </w:tcPr>
          <w:p w14:paraId="355D57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82" w:type="dxa"/>
            <w:tcBorders>
              <w:top w:val="nil"/>
              <w:left w:val="nil"/>
              <w:bottom w:val="single" w:color="auto" w:sz="4" w:space="0"/>
              <w:right w:val="single" w:color="auto" w:sz="4" w:space="0"/>
            </w:tcBorders>
            <w:noWrap w:val="0"/>
            <w:vAlign w:val="center"/>
          </w:tcPr>
          <w:p w14:paraId="54424E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598" w:type="dxa"/>
            <w:tcBorders>
              <w:top w:val="nil"/>
              <w:left w:val="nil"/>
              <w:bottom w:val="single" w:color="auto" w:sz="4" w:space="0"/>
              <w:right w:val="single" w:color="auto" w:sz="4" w:space="0"/>
            </w:tcBorders>
            <w:noWrap w:val="0"/>
            <w:vAlign w:val="center"/>
          </w:tcPr>
          <w:p w14:paraId="69FEB91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40" w:type="dxa"/>
            <w:tcBorders>
              <w:top w:val="nil"/>
              <w:left w:val="nil"/>
              <w:bottom w:val="single" w:color="auto" w:sz="4" w:space="0"/>
              <w:right w:val="single" w:color="auto" w:sz="4" w:space="0"/>
            </w:tcBorders>
            <w:noWrap w:val="0"/>
            <w:vAlign w:val="center"/>
          </w:tcPr>
          <w:p w14:paraId="4705AA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5172F41A">
            <w:pPr>
              <w:widowControl/>
              <w:spacing w:line="240" w:lineRule="exact"/>
              <w:jc w:val="center"/>
              <w:rPr>
                <w:rFonts w:hint="eastAsia" w:ascii="仿宋_GB2312" w:hAnsi="仿宋_GB2312" w:eastAsia="仿宋_GB2312" w:cs="仿宋_GB2312"/>
                <w:color w:val="000000"/>
                <w:sz w:val="20"/>
                <w:szCs w:val="20"/>
                <w:highlight w:val="none"/>
              </w:rPr>
            </w:pPr>
          </w:p>
        </w:tc>
      </w:tr>
      <w:tr w14:paraId="5C6A0AF1">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6AF2A474">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left w:val="nil"/>
              <w:right w:val="single" w:color="auto" w:sz="4" w:space="0"/>
            </w:tcBorders>
            <w:noWrap w:val="0"/>
            <w:vAlign w:val="center"/>
          </w:tcPr>
          <w:p w14:paraId="432D8BEB">
            <w:pPr>
              <w:spacing w:line="240" w:lineRule="exact"/>
              <w:jc w:val="left"/>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32B6DA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75D99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按时完成各项指标任务</w:t>
            </w:r>
          </w:p>
        </w:tc>
        <w:tc>
          <w:tcPr>
            <w:tcW w:w="1231" w:type="dxa"/>
            <w:tcBorders>
              <w:top w:val="nil"/>
              <w:left w:val="nil"/>
              <w:bottom w:val="single" w:color="auto" w:sz="4" w:space="0"/>
              <w:right w:val="single" w:color="auto" w:sz="4" w:space="0"/>
            </w:tcBorders>
            <w:noWrap w:val="0"/>
            <w:vAlign w:val="center"/>
          </w:tcPr>
          <w:p w14:paraId="38C715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2024年度</w:t>
            </w:r>
          </w:p>
        </w:tc>
        <w:tc>
          <w:tcPr>
            <w:tcW w:w="1282" w:type="dxa"/>
            <w:tcBorders>
              <w:top w:val="nil"/>
              <w:left w:val="nil"/>
              <w:bottom w:val="single" w:color="auto" w:sz="4" w:space="0"/>
              <w:right w:val="single" w:color="auto" w:sz="4" w:space="0"/>
            </w:tcBorders>
            <w:noWrap w:val="0"/>
            <w:vAlign w:val="center"/>
          </w:tcPr>
          <w:p w14:paraId="5AA0A0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2024年度</w:t>
            </w:r>
          </w:p>
        </w:tc>
        <w:tc>
          <w:tcPr>
            <w:tcW w:w="598" w:type="dxa"/>
            <w:tcBorders>
              <w:top w:val="nil"/>
              <w:left w:val="nil"/>
              <w:bottom w:val="single" w:color="auto" w:sz="4" w:space="0"/>
              <w:right w:val="single" w:color="auto" w:sz="4" w:space="0"/>
            </w:tcBorders>
            <w:noWrap w:val="0"/>
            <w:vAlign w:val="center"/>
          </w:tcPr>
          <w:p w14:paraId="5584FE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40" w:type="dxa"/>
            <w:tcBorders>
              <w:top w:val="nil"/>
              <w:left w:val="nil"/>
              <w:bottom w:val="single" w:color="auto" w:sz="4" w:space="0"/>
              <w:right w:val="single" w:color="auto" w:sz="4" w:space="0"/>
            </w:tcBorders>
            <w:noWrap w:val="0"/>
            <w:vAlign w:val="center"/>
          </w:tcPr>
          <w:p w14:paraId="16FF0B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640774E3">
            <w:pPr>
              <w:widowControl/>
              <w:spacing w:line="240" w:lineRule="exact"/>
              <w:jc w:val="center"/>
              <w:rPr>
                <w:rFonts w:hint="eastAsia" w:ascii="仿宋_GB2312" w:hAnsi="仿宋_GB2312" w:eastAsia="仿宋_GB2312" w:cs="仿宋_GB2312"/>
                <w:color w:val="000000"/>
                <w:sz w:val="20"/>
                <w:szCs w:val="20"/>
                <w:highlight w:val="none"/>
              </w:rPr>
            </w:pPr>
          </w:p>
        </w:tc>
      </w:tr>
      <w:tr w14:paraId="2FA2FEDD">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2E9DBF6D">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left w:val="nil"/>
              <w:right w:val="single" w:color="auto" w:sz="4" w:space="0"/>
            </w:tcBorders>
            <w:noWrap w:val="0"/>
            <w:vAlign w:val="center"/>
          </w:tcPr>
          <w:p w14:paraId="5BA25AEF">
            <w:pPr>
              <w:spacing w:line="240" w:lineRule="exact"/>
              <w:jc w:val="left"/>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379CC96">
            <w:pPr>
              <w:spacing w:line="240" w:lineRule="exact"/>
              <w:jc w:val="center"/>
              <w:rPr>
                <w:rFonts w:hint="eastAsia" w:ascii="仿宋_GB2312" w:hAnsi="仿宋_GB2312" w:eastAsia="仿宋_GB2312" w:cs="仿宋_GB2312"/>
                <w:color w:val="000000"/>
                <w:sz w:val="20"/>
                <w:szCs w:val="20"/>
                <w:highlight w:val="none"/>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DCF9B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突发任务及时完成</w:t>
            </w:r>
          </w:p>
        </w:tc>
        <w:tc>
          <w:tcPr>
            <w:tcW w:w="1231" w:type="dxa"/>
            <w:tcBorders>
              <w:top w:val="nil"/>
              <w:left w:val="nil"/>
              <w:bottom w:val="single" w:color="auto" w:sz="4" w:space="0"/>
              <w:right w:val="single" w:color="auto" w:sz="4" w:space="0"/>
            </w:tcBorders>
            <w:noWrap w:val="0"/>
            <w:vAlign w:val="center"/>
          </w:tcPr>
          <w:p w14:paraId="363D9C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w:t>
            </w:r>
          </w:p>
        </w:tc>
        <w:tc>
          <w:tcPr>
            <w:tcW w:w="1282" w:type="dxa"/>
            <w:tcBorders>
              <w:top w:val="nil"/>
              <w:left w:val="nil"/>
              <w:bottom w:val="single" w:color="auto" w:sz="4" w:space="0"/>
              <w:right w:val="single" w:color="auto" w:sz="4" w:space="0"/>
            </w:tcBorders>
            <w:noWrap w:val="0"/>
            <w:vAlign w:val="center"/>
          </w:tcPr>
          <w:p w14:paraId="04B763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w:t>
            </w:r>
          </w:p>
        </w:tc>
        <w:tc>
          <w:tcPr>
            <w:tcW w:w="598" w:type="dxa"/>
            <w:tcBorders>
              <w:top w:val="nil"/>
              <w:left w:val="nil"/>
              <w:bottom w:val="single" w:color="auto" w:sz="4" w:space="0"/>
              <w:right w:val="single" w:color="auto" w:sz="4" w:space="0"/>
            </w:tcBorders>
            <w:noWrap w:val="0"/>
            <w:vAlign w:val="center"/>
          </w:tcPr>
          <w:p w14:paraId="79102AE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40" w:type="dxa"/>
            <w:tcBorders>
              <w:top w:val="nil"/>
              <w:left w:val="nil"/>
              <w:bottom w:val="single" w:color="auto" w:sz="4" w:space="0"/>
              <w:right w:val="single" w:color="auto" w:sz="4" w:space="0"/>
            </w:tcBorders>
            <w:noWrap w:val="0"/>
            <w:vAlign w:val="center"/>
          </w:tcPr>
          <w:p w14:paraId="7120C5F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1E25547F">
            <w:pPr>
              <w:widowControl/>
              <w:spacing w:line="240" w:lineRule="exact"/>
              <w:jc w:val="center"/>
              <w:rPr>
                <w:rFonts w:hint="eastAsia" w:ascii="仿宋_GB2312" w:hAnsi="仿宋_GB2312" w:eastAsia="仿宋_GB2312" w:cs="仿宋_GB2312"/>
                <w:color w:val="000000"/>
                <w:sz w:val="20"/>
                <w:szCs w:val="20"/>
                <w:highlight w:val="none"/>
              </w:rPr>
            </w:pPr>
          </w:p>
        </w:tc>
      </w:tr>
      <w:tr w14:paraId="3092B297">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57DBA633">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left w:val="nil"/>
              <w:bottom w:val="single" w:color="auto" w:sz="4" w:space="0"/>
              <w:right w:val="single" w:color="auto" w:sz="4" w:space="0"/>
            </w:tcBorders>
            <w:noWrap w:val="0"/>
            <w:vAlign w:val="center"/>
          </w:tcPr>
          <w:p w14:paraId="67B7F9D6">
            <w:pPr>
              <w:spacing w:line="240" w:lineRule="exact"/>
              <w:jc w:val="left"/>
              <w:rPr>
                <w:rFonts w:hint="eastAsia" w:ascii="仿宋_GB2312" w:hAnsi="仿宋_GB2312" w:eastAsia="仿宋_GB2312" w:cs="仿宋_GB2312"/>
                <w:color w:val="000000"/>
                <w:sz w:val="20"/>
                <w:szCs w:val="20"/>
                <w:highlight w:val="none"/>
              </w:rPr>
            </w:pPr>
          </w:p>
        </w:tc>
        <w:tc>
          <w:tcPr>
            <w:tcW w:w="1076" w:type="dxa"/>
            <w:tcBorders>
              <w:top w:val="nil"/>
              <w:left w:val="nil"/>
              <w:bottom w:val="single" w:color="auto" w:sz="4" w:space="0"/>
              <w:right w:val="single" w:color="auto" w:sz="4" w:space="0"/>
            </w:tcBorders>
            <w:noWrap w:val="0"/>
            <w:vAlign w:val="center"/>
          </w:tcPr>
          <w:p w14:paraId="1708BE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38" w:type="dxa"/>
            <w:tcBorders>
              <w:top w:val="nil"/>
              <w:left w:val="nil"/>
              <w:bottom w:val="single" w:color="auto" w:sz="4" w:space="0"/>
              <w:right w:val="single" w:color="auto" w:sz="4" w:space="0"/>
            </w:tcBorders>
            <w:noWrap w:val="0"/>
            <w:vAlign w:val="center"/>
          </w:tcPr>
          <w:p w14:paraId="150E6C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成本控制在预算内</w:t>
            </w:r>
          </w:p>
        </w:tc>
        <w:tc>
          <w:tcPr>
            <w:tcW w:w="1231" w:type="dxa"/>
            <w:tcBorders>
              <w:top w:val="nil"/>
              <w:left w:val="nil"/>
              <w:bottom w:val="single" w:color="auto" w:sz="4" w:space="0"/>
              <w:right w:val="single" w:color="auto" w:sz="4" w:space="0"/>
            </w:tcBorders>
            <w:noWrap w:val="0"/>
            <w:vAlign w:val="center"/>
          </w:tcPr>
          <w:p w14:paraId="0832F6FE">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≤1003.98万元</w:t>
            </w:r>
          </w:p>
        </w:tc>
        <w:tc>
          <w:tcPr>
            <w:tcW w:w="1282" w:type="dxa"/>
            <w:tcBorders>
              <w:top w:val="nil"/>
              <w:left w:val="nil"/>
              <w:bottom w:val="single" w:color="auto" w:sz="4" w:space="0"/>
              <w:right w:val="single" w:color="auto" w:sz="4" w:space="0"/>
            </w:tcBorders>
            <w:noWrap w:val="0"/>
            <w:vAlign w:val="center"/>
          </w:tcPr>
          <w:p w14:paraId="640EE295">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924.23</w:t>
            </w:r>
          </w:p>
        </w:tc>
        <w:tc>
          <w:tcPr>
            <w:tcW w:w="598" w:type="dxa"/>
            <w:tcBorders>
              <w:top w:val="nil"/>
              <w:left w:val="nil"/>
              <w:bottom w:val="single" w:color="auto" w:sz="4" w:space="0"/>
              <w:right w:val="single" w:color="auto" w:sz="4" w:space="0"/>
            </w:tcBorders>
            <w:noWrap w:val="0"/>
            <w:vAlign w:val="center"/>
          </w:tcPr>
          <w:p w14:paraId="6B9BD2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40" w:type="dxa"/>
            <w:tcBorders>
              <w:top w:val="nil"/>
              <w:left w:val="nil"/>
              <w:bottom w:val="single" w:color="auto" w:sz="4" w:space="0"/>
              <w:right w:val="single" w:color="auto" w:sz="4" w:space="0"/>
            </w:tcBorders>
            <w:noWrap w:val="0"/>
            <w:vAlign w:val="center"/>
          </w:tcPr>
          <w:p w14:paraId="5AB65A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5" w:type="dxa"/>
            <w:tcBorders>
              <w:top w:val="nil"/>
              <w:left w:val="nil"/>
              <w:bottom w:val="single" w:color="auto" w:sz="4" w:space="0"/>
              <w:right w:val="single" w:color="auto" w:sz="4" w:space="0"/>
            </w:tcBorders>
            <w:noWrap w:val="0"/>
            <w:vAlign w:val="center"/>
          </w:tcPr>
          <w:p w14:paraId="112EF9E3">
            <w:pPr>
              <w:widowControl/>
              <w:spacing w:line="240" w:lineRule="exact"/>
              <w:jc w:val="center"/>
              <w:rPr>
                <w:rFonts w:hint="eastAsia" w:ascii="仿宋_GB2312" w:hAnsi="仿宋_GB2312" w:eastAsia="仿宋_GB2312" w:cs="仿宋_GB2312"/>
                <w:color w:val="000000"/>
                <w:sz w:val="20"/>
                <w:szCs w:val="20"/>
                <w:highlight w:val="none"/>
              </w:rPr>
            </w:pPr>
          </w:p>
        </w:tc>
      </w:tr>
      <w:tr w14:paraId="0BB0664E">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5AA80AE5">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3BD0951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443896C">
            <w:pPr>
              <w:widowControl/>
              <w:spacing w:line="240" w:lineRule="exact"/>
              <w:jc w:val="center"/>
              <w:rPr>
                <w:rFonts w:hint="eastAsia" w:ascii="仿宋_GB2312" w:hAnsi="仿宋_GB2312" w:eastAsia="仿宋_GB2312" w:cs="仿宋_GB2312"/>
                <w:color w:val="000000"/>
                <w:sz w:val="20"/>
                <w:szCs w:val="20"/>
                <w:highlight w:val="none"/>
              </w:rPr>
            </w:pPr>
          </w:p>
          <w:p w14:paraId="11BC87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551824A">
            <w:pPr>
              <w:widowControl/>
              <w:spacing w:line="240" w:lineRule="exact"/>
              <w:jc w:val="center"/>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7A7CC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E000C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38" w:type="dxa"/>
            <w:tcBorders>
              <w:top w:val="nil"/>
              <w:left w:val="nil"/>
              <w:bottom w:val="single" w:color="auto" w:sz="4" w:space="0"/>
              <w:right w:val="single" w:color="auto" w:sz="4" w:space="0"/>
            </w:tcBorders>
            <w:noWrap w:val="0"/>
            <w:vAlign w:val="center"/>
          </w:tcPr>
          <w:p w14:paraId="498821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推动污染治理环保产业发展</w:t>
            </w:r>
          </w:p>
        </w:tc>
        <w:tc>
          <w:tcPr>
            <w:tcW w:w="1231" w:type="dxa"/>
            <w:tcBorders>
              <w:top w:val="nil"/>
              <w:left w:val="nil"/>
              <w:bottom w:val="single" w:color="auto" w:sz="4" w:space="0"/>
              <w:right w:val="single" w:color="auto" w:sz="4" w:space="0"/>
            </w:tcBorders>
            <w:noWrap w:val="0"/>
            <w:vAlign w:val="center"/>
          </w:tcPr>
          <w:p w14:paraId="78E2B6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1282" w:type="dxa"/>
            <w:tcBorders>
              <w:top w:val="nil"/>
              <w:left w:val="nil"/>
              <w:bottom w:val="single" w:color="auto" w:sz="4" w:space="0"/>
              <w:right w:val="single" w:color="auto" w:sz="4" w:space="0"/>
            </w:tcBorders>
            <w:noWrap w:val="0"/>
            <w:vAlign w:val="center"/>
          </w:tcPr>
          <w:p w14:paraId="716448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598" w:type="dxa"/>
            <w:tcBorders>
              <w:top w:val="nil"/>
              <w:left w:val="nil"/>
              <w:bottom w:val="single" w:color="auto" w:sz="4" w:space="0"/>
              <w:right w:val="single" w:color="auto" w:sz="4" w:space="0"/>
            </w:tcBorders>
            <w:noWrap w:val="0"/>
            <w:vAlign w:val="center"/>
          </w:tcPr>
          <w:p w14:paraId="54656B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40" w:type="dxa"/>
            <w:tcBorders>
              <w:top w:val="nil"/>
              <w:left w:val="nil"/>
              <w:bottom w:val="single" w:color="auto" w:sz="4" w:space="0"/>
              <w:right w:val="single" w:color="auto" w:sz="4" w:space="0"/>
            </w:tcBorders>
            <w:noWrap w:val="0"/>
            <w:vAlign w:val="center"/>
          </w:tcPr>
          <w:p w14:paraId="1D3FCA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4EFC159D">
            <w:pPr>
              <w:widowControl/>
              <w:spacing w:line="240" w:lineRule="exact"/>
              <w:jc w:val="center"/>
              <w:rPr>
                <w:rFonts w:hint="eastAsia" w:ascii="仿宋_GB2312" w:hAnsi="仿宋_GB2312" w:eastAsia="仿宋_GB2312" w:cs="仿宋_GB2312"/>
                <w:color w:val="000000"/>
                <w:sz w:val="20"/>
                <w:szCs w:val="20"/>
                <w:highlight w:val="none"/>
              </w:rPr>
            </w:pPr>
          </w:p>
        </w:tc>
      </w:tr>
      <w:tr w14:paraId="0DA61F37">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55ACB0BF">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14:paraId="40A9EF9D">
            <w:pPr>
              <w:spacing w:line="240" w:lineRule="exact"/>
              <w:jc w:val="center"/>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D2C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89559D">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益指标</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24270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提升了公众环保意识，提升生态环境保护社会影响度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48675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6B9B66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有所提升</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6B8A569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123601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8FD0ED5">
            <w:pPr>
              <w:widowControl/>
              <w:spacing w:line="240" w:lineRule="exact"/>
              <w:jc w:val="center"/>
              <w:rPr>
                <w:rFonts w:hint="eastAsia" w:ascii="仿宋_GB2312" w:hAnsi="仿宋_GB2312" w:eastAsia="仿宋_GB2312" w:cs="仿宋_GB2312"/>
                <w:color w:val="000000"/>
                <w:sz w:val="20"/>
                <w:szCs w:val="20"/>
                <w:highlight w:val="none"/>
              </w:rPr>
            </w:pPr>
          </w:p>
        </w:tc>
      </w:tr>
      <w:tr w14:paraId="36492B5E">
        <w:tblPrEx>
          <w:tblCellMar>
            <w:top w:w="0" w:type="dxa"/>
            <w:left w:w="108" w:type="dxa"/>
            <w:bottom w:w="0" w:type="dxa"/>
            <w:right w:w="108" w:type="dxa"/>
          </w:tblCellMar>
        </w:tblPrEx>
        <w:trPr>
          <w:trHeight w:val="430" w:hRule="atLeast"/>
          <w:jc w:val="center"/>
        </w:trPr>
        <w:tc>
          <w:tcPr>
            <w:tcW w:w="1005" w:type="dxa"/>
            <w:vMerge w:val="continue"/>
            <w:tcBorders>
              <w:left w:val="single" w:color="auto" w:sz="4" w:space="0"/>
              <w:right w:val="single" w:color="auto" w:sz="4" w:space="0"/>
            </w:tcBorders>
            <w:noWrap w:val="0"/>
            <w:vAlign w:val="center"/>
          </w:tcPr>
          <w:p w14:paraId="7223D993">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14:paraId="27C83ABE">
            <w:pPr>
              <w:spacing w:line="240" w:lineRule="exact"/>
              <w:jc w:val="center"/>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068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34CEC2A">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益指标</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06E76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区域内</w:t>
            </w:r>
            <w:r>
              <w:rPr>
                <w:rFonts w:hint="eastAsia" w:ascii="仿宋_GB2312" w:hAnsi="仿宋_GB2312" w:eastAsia="仿宋_GB2312" w:cs="仿宋_GB2312"/>
                <w:color w:val="000000"/>
                <w:sz w:val="20"/>
                <w:szCs w:val="20"/>
                <w:highlight w:val="none"/>
              </w:rPr>
              <w:t>生态环境考核</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E49AF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达标</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623D4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达标</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4EEE1D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4955C0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6D972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1597E5">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2E7978E3">
            <w:pPr>
              <w:spacing w:line="240" w:lineRule="exact"/>
              <w:jc w:val="left"/>
              <w:rPr>
                <w:rFonts w:hint="eastAsia" w:ascii="仿宋_GB2312" w:hAnsi="仿宋_GB2312" w:eastAsia="仿宋_GB2312" w:cs="仿宋_GB2312"/>
                <w:color w:val="000000"/>
                <w:sz w:val="20"/>
                <w:szCs w:val="20"/>
                <w:highlight w:val="none"/>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14:paraId="6E3CBD12">
            <w:pPr>
              <w:widowControl/>
              <w:spacing w:line="240" w:lineRule="exact"/>
              <w:jc w:val="center"/>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67CF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290DD5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绿色发展稳步推进</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006CE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A3D11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588747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59D0ED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67A491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6AAFDC">
        <w:tblPrEx>
          <w:tblCellMar>
            <w:top w:w="0" w:type="dxa"/>
            <w:left w:w="108" w:type="dxa"/>
            <w:bottom w:w="0" w:type="dxa"/>
            <w:right w:w="108" w:type="dxa"/>
          </w:tblCellMar>
        </w:tblPrEx>
        <w:trPr>
          <w:trHeight w:val="661" w:hRule="atLeast"/>
          <w:jc w:val="center"/>
        </w:trPr>
        <w:tc>
          <w:tcPr>
            <w:tcW w:w="1005" w:type="dxa"/>
            <w:vMerge w:val="continue"/>
            <w:tcBorders>
              <w:left w:val="single" w:color="auto" w:sz="4" w:space="0"/>
              <w:right w:val="single" w:color="auto" w:sz="4" w:space="0"/>
            </w:tcBorders>
            <w:noWrap w:val="0"/>
            <w:vAlign w:val="center"/>
          </w:tcPr>
          <w:p w14:paraId="60827524">
            <w:pPr>
              <w:spacing w:line="240" w:lineRule="exact"/>
              <w:jc w:val="left"/>
              <w:rPr>
                <w:rFonts w:hint="eastAsia" w:ascii="仿宋_GB2312" w:hAnsi="仿宋_GB2312" w:eastAsia="仿宋_GB2312" w:cs="仿宋_GB2312"/>
                <w:color w:val="000000"/>
                <w:sz w:val="20"/>
                <w:szCs w:val="20"/>
                <w:highlight w:val="none"/>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81E5B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294F7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4C22C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445410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38" w:type="dxa"/>
            <w:tcBorders>
              <w:top w:val="single" w:color="auto" w:sz="4" w:space="0"/>
              <w:left w:val="nil"/>
              <w:bottom w:val="single" w:color="auto" w:sz="4" w:space="0"/>
              <w:right w:val="single" w:color="auto" w:sz="4" w:space="0"/>
            </w:tcBorders>
            <w:noWrap w:val="0"/>
            <w:vAlign w:val="center"/>
          </w:tcPr>
          <w:p w14:paraId="5550D0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全体人民群众</w:t>
            </w:r>
          </w:p>
        </w:tc>
        <w:tc>
          <w:tcPr>
            <w:tcW w:w="1231" w:type="dxa"/>
            <w:tcBorders>
              <w:top w:val="single" w:color="auto" w:sz="4" w:space="0"/>
              <w:left w:val="nil"/>
              <w:bottom w:val="single" w:color="auto" w:sz="4" w:space="0"/>
              <w:right w:val="single" w:color="auto" w:sz="4" w:space="0"/>
            </w:tcBorders>
            <w:noWrap w:val="0"/>
            <w:vAlign w:val="center"/>
          </w:tcPr>
          <w:p w14:paraId="5993817F">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82" w:type="dxa"/>
            <w:tcBorders>
              <w:top w:val="single" w:color="auto" w:sz="4" w:space="0"/>
              <w:left w:val="nil"/>
              <w:bottom w:val="single" w:color="auto" w:sz="4" w:space="0"/>
              <w:right w:val="single" w:color="auto" w:sz="4" w:space="0"/>
            </w:tcBorders>
            <w:noWrap w:val="0"/>
            <w:vAlign w:val="center"/>
          </w:tcPr>
          <w:p w14:paraId="46CA1C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96%</w:t>
            </w:r>
          </w:p>
        </w:tc>
        <w:tc>
          <w:tcPr>
            <w:tcW w:w="598" w:type="dxa"/>
            <w:tcBorders>
              <w:top w:val="single" w:color="auto" w:sz="4" w:space="0"/>
              <w:left w:val="nil"/>
              <w:bottom w:val="single" w:color="auto" w:sz="4" w:space="0"/>
              <w:right w:val="single" w:color="auto" w:sz="4" w:space="0"/>
            </w:tcBorders>
            <w:noWrap w:val="0"/>
            <w:vAlign w:val="center"/>
          </w:tcPr>
          <w:p w14:paraId="64BD16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40" w:type="dxa"/>
            <w:tcBorders>
              <w:top w:val="single" w:color="auto" w:sz="4" w:space="0"/>
              <w:left w:val="nil"/>
              <w:bottom w:val="single" w:color="auto" w:sz="4" w:space="0"/>
              <w:right w:val="single" w:color="auto" w:sz="4" w:space="0"/>
            </w:tcBorders>
            <w:noWrap w:val="0"/>
            <w:vAlign w:val="center"/>
          </w:tcPr>
          <w:p w14:paraId="6D6A25B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5" w:type="dxa"/>
            <w:tcBorders>
              <w:top w:val="single" w:color="auto" w:sz="4" w:space="0"/>
              <w:left w:val="nil"/>
              <w:bottom w:val="single" w:color="auto" w:sz="4" w:space="0"/>
              <w:right w:val="single" w:color="auto" w:sz="4" w:space="0"/>
            </w:tcBorders>
            <w:noWrap w:val="0"/>
            <w:vAlign w:val="center"/>
          </w:tcPr>
          <w:p w14:paraId="7E456BBA">
            <w:pPr>
              <w:widowControl/>
              <w:spacing w:line="240" w:lineRule="exact"/>
              <w:jc w:val="left"/>
              <w:rPr>
                <w:rFonts w:hint="eastAsia" w:ascii="仿宋_GB2312" w:hAnsi="仿宋_GB2312" w:eastAsia="仿宋_GB2312" w:cs="仿宋_GB2312"/>
                <w:color w:val="000000"/>
                <w:sz w:val="20"/>
                <w:szCs w:val="20"/>
                <w:highlight w:val="none"/>
              </w:rPr>
            </w:pPr>
          </w:p>
        </w:tc>
      </w:tr>
      <w:tr w14:paraId="550D16DB">
        <w:tblPrEx>
          <w:tblCellMar>
            <w:top w:w="0" w:type="dxa"/>
            <w:left w:w="108" w:type="dxa"/>
            <w:bottom w:w="0" w:type="dxa"/>
            <w:right w:w="108" w:type="dxa"/>
          </w:tblCellMar>
        </w:tblPrEx>
        <w:trPr>
          <w:trHeight w:val="270" w:hRule="atLeast"/>
          <w:jc w:val="center"/>
        </w:trPr>
        <w:tc>
          <w:tcPr>
            <w:tcW w:w="7336" w:type="dxa"/>
            <w:gridSpan w:val="6"/>
            <w:tcBorders>
              <w:top w:val="single" w:color="auto" w:sz="4" w:space="0"/>
              <w:left w:val="single" w:color="auto" w:sz="4" w:space="0"/>
              <w:bottom w:val="single" w:color="auto" w:sz="4" w:space="0"/>
              <w:right w:val="single" w:color="000000" w:sz="4" w:space="0"/>
            </w:tcBorders>
            <w:noWrap w:val="0"/>
            <w:vAlign w:val="center"/>
          </w:tcPr>
          <w:p w14:paraId="3A7E77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598" w:type="dxa"/>
            <w:tcBorders>
              <w:top w:val="nil"/>
              <w:left w:val="nil"/>
              <w:bottom w:val="single" w:color="auto" w:sz="4" w:space="0"/>
              <w:right w:val="single" w:color="auto" w:sz="4" w:space="0"/>
            </w:tcBorders>
            <w:noWrap w:val="0"/>
            <w:vAlign w:val="center"/>
          </w:tcPr>
          <w:p w14:paraId="7419F7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40" w:type="dxa"/>
            <w:tcBorders>
              <w:top w:val="nil"/>
              <w:left w:val="nil"/>
              <w:bottom w:val="single" w:color="auto" w:sz="4" w:space="0"/>
              <w:right w:val="single" w:color="auto" w:sz="4" w:space="0"/>
            </w:tcBorders>
            <w:noWrap w:val="0"/>
            <w:vAlign w:val="center"/>
          </w:tcPr>
          <w:p w14:paraId="5F06418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05" w:type="dxa"/>
            <w:tcBorders>
              <w:top w:val="nil"/>
              <w:left w:val="nil"/>
              <w:bottom w:val="single" w:color="auto" w:sz="4" w:space="0"/>
              <w:right w:val="single" w:color="auto" w:sz="4" w:space="0"/>
            </w:tcBorders>
            <w:noWrap w:val="0"/>
            <w:vAlign w:val="center"/>
          </w:tcPr>
          <w:p w14:paraId="46BE099D">
            <w:pPr>
              <w:widowControl/>
              <w:spacing w:line="240" w:lineRule="exact"/>
              <w:jc w:val="left"/>
              <w:rPr>
                <w:rFonts w:hint="eastAsia" w:ascii="仿宋_GB2312" w:hAnsi="仿宋_GB2312" w:eastAsia="仿宋_GB2312" w:cs="仿宋_GB2312"/>
                <w:color w:val="000000"/>
                <w:sz w:val="20"/>
                <w:szCs w:val="20"/>
                <w:highlight w:val="none"/>
              </w:rPr>
            </w:pPr>
          </w:p>
        </w:tc>
      </w:tr>
    </w:tbl>
    <w:p w14:paraId="5B006F0E">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E82339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EC42AD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3DF1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1F83B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DFA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环境监察、监测等运行经费</w:t>
            </w:r>
          </w:p>
        </w:tc>
      </w:tr>
      <w:tr w14:paraId="67EFFB1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A0DA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385B2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8592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3C20E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岳阳市生态环境局岳阳楼分局</w:t>
            </w:r>
          </w:p>
        </w:tc>
      </w:tr>
      <w:tr w14:paraId="34F0DC9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C983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13B0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D3BA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0C70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6439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77CA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A83E5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9387D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2DE56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A996F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C0EDE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D047BF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2FF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B93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5AD2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3E73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243.92</w:t>
            </w:r>
          </w:p>
        </w:tc>
        <w:tc>
          <w:tcPr>
            <w:tcW w:w="1134" w:type="dxa"/>
            <w:tcBorders>
              <w:top w:val="nil"/>
              <w:left w:val="nil"/>
              <w:bottom w:val="single" w:color="auto" w:sz="4" w:space="0"/>
              <w:right w:val="single" w:color="auto" w:sz="4" w:space="0"/>
            </w:tcBorders>
            <w:noWrap w:val="0"/>
            <w:vAlign w:val="center"/>
          </w:tcPr>
          <w:p w14:paraId="0A30D6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243.92</w:t>
            </w:r>
          </w:p>
        </w:tc>
        <w:tc>
          <w:tcPr>
            <w:tcW w:w="828" w:type="dxa"/>
            <w:tcBorders>
              <w:top w:val="nil"/>
              <w:left w:val="nil"/>
              <w:bottom w:val="single" w:color="auto" w:sz="4" w:space="0"/>
              <w:right w:val="single" w:color="auto" w:sz="4" w:space="0"/>
            </w:tcBorders>
            <w:noWrap w:val="0"/>
            <w:vAlign w:val="center"/>
          </w:tcPr>
          <w:p w14:paraId="2DEE5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0B70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9F7D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1BA58CF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DBA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DFD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ADB2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ADB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243.92</w:t>
            </w:r>
          </w:p>
        </w:tc>
        <w:tc>
          <w:tcPr>
            <w:tcW w:w="1134" w:type="dxa"/>
            <w:tcBorders>
              <w:top w:val="nil"/>
              <w:left w:val="nil"/>
              <w:bottom w:val="single" w:color="auto" w:sz="4" w:space="0"/>
              <w:right w:val="single" w:color="auto" w:sz="4" w:space="0"/>
            </w:tcBorders>
            <w:noWrap w:val="0"/>
            <w:vAlign w:val="center"/>
          </w:tcPr>
          <w:p w14:paraId="3B0D23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243.92</w:t>
            </w:r>
          </w:p>
        </w:tc>
        <w:tc>
          <w:tcPr>
            <w:tcW w:w="828" w:type="dxa"/>
            <w:tcBorders>
              <w:top w:val="nil"/>
              <w:left w:val="nil"/>
              <w:bottom w:val="single" w:color="auto" w:sz="4" w:space="0"/>
              <w:right w:val="single" w:color="auto" w:sz="4" w:space="0"/>
            </w:tcBorders>
            <w:noWrap w:val="0"/>
            <w:vAlign w:val="center"/>
          </w:tcPr>
          <w:p w14:paraId="468D1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12A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976A8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B369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91DC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A5E57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1426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044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012C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C1B6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7A9C8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C176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0091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6B27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4017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33165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5BBC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37AFF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A79C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D86D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3B94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48688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725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5DE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E746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0D418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7AE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B4BDB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目标1：日常环境监管、执法工作；</w:t>
            </w:r>
          </w:p>
          <w:p w14:paraId="0731AD2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目标2：委托第三方进行执法性监督监测；</w:t>
            </w:r>
          </w:p>
          <w:p w14:paraId="5D9E40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目标3：环保迎检、应急处置经费；</w:t>
            </w:r>
          </w:p>
          <w:p w14:paraId="335266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1B2067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6EDA7C2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E7EB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4394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80E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DD06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BA1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617A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BE4E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EA2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5690B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E5CC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6F7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4774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CC7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52FE8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11F0D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FED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8A1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6BCF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14313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949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373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监测频次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635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每月一次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031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F5A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840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40D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BFC0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9E2E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65E2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6CF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962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DCA4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A04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5FC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4DD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D6A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533C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38EA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2251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77B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BC2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8C5D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267B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2EB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6E8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5C6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C1C3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E21C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880B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7A8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D345C7">
            <w:pPr>
              <w:spacing w:line="3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7EC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243.92万元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5F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243.92万元</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11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7F2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5FAB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0018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B902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5ED1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E39F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18F0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ADF79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AF1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2E9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1D9D4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5515E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2CCBB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3A642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5F8F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2F6EF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6C77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D9CD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F87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CAE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D25A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EB55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达到环境质量控制目标</w:t>
            </w:r>
          </w:p>
        </w:tc>
        <w:tc>
          <w:tcPr>
            <w:tcW w:w="1134" w:type="dxa"/>
            <w:tcBorders>
              <w:top w:val="nil"/>
              <w:left w:val="nil"/>
              <w:bottom w:val="single" w:color="auto" w:sz="4" w:space="0"/>
              <w:right w:val="single" w:color="auto" w:sz="4" w:space="0"/>
            </w:tcBorders>
            <w:noWrap w:val="0"/>
            <w:vAlign w:val="center"/>
          </w:tcPr>
          <w:p w14:paraId="2B7261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02F0E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0580B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597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A14EE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DCE6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DC8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690F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D7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F05B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7B1D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促进环境质量认知度</w:t>
            </w:r>
          </w:p>
        </w:tc>
        <w:tc>
          <w:tcPr>
            <w:tcW w:w="1134" w:type="dxa"/>
            <w:tcBorders>
              <w:top w:val="nil"/>
              <w:left w:val="nil"/>
              <w:bottom w:val="single" w:color="auto" w:sz="4" w:space="0"/>
              <w:right w:val="single" w:color="auto" w:sz="4" w:space="0"/>
            </w:tcBorders>
            <w:noWrap w:val="0"/>
            <w:vAlign w:val="center"/>
          </w:tcPr>
          <w:p w14:paraId="55F6D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有所促进</w:t>
            </w:r>
          </w:p>
        </w:tc>
        <w:tc>
          <w:tcPr>
            <w:tcW w:w="1134" w:type="dxa"/>
            <w:tcBorders>
              <w:top w:val="nil"/>
              <w:left w:val="nil"/>
              <w:bottom w:val="single" w:color="auto" w:sz="4" w:space="0"/>
              <w:right w:val="single" w:color="auto" w:sz="4" w:space="0"/>
            </w:tcBorders>
            <w:noWrap w:val="0"/>
            <w:vAlign w:val="center"/>
          </w:tcPr>
          <w:p w14:paraId="60CE1F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有所促进</w:t>
            </w:r>
          </w:p>
        </w:tc>
        <w:tc>
          <w:tcPr>
            <w:tcW w:w="828" w:type="dxa"/>
            <w:tcBorders>
              <w:top w:val="nil"/>
              <w:left w:val="nil"/>
              <w:bottom w:val="single" w:color="auto" w:sz="4" w:space="0"/>
              <w:right w:val="single" w:color="auto" w:sz="4" w:space="0"/>
            </w:tcBorders>
            <w:noWrap w:val="0"/>
            <w:vAlign w:val="center"/>
          </w:tcPr>
          <w:p w14:paraId="5D8A1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936E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3EBAE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F146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E0D6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3042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52A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004D2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7441A8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0EB12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3D25B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050DC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65B36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D082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187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26B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6F60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A7E3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C5C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EC4C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0A549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41877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713E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EAF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2AA1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3FF88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6C75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0894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6415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C5A1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EAF25A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BF0CD51">
      <w:pPr>
        <w:rPr>
          <w:rFonts w:hint="default" w:ascii="Times New Roman" w:hAnsi="Times New Roman" w:eastAsia="仿宋_GB2312" w:cs="Times New Roman"/>
          <w:sz w:val="18"/>
          <w:szCs w:val="18"/>
          <w:highlight w:val="none"/>
          <w:lang w:eastAsia="zh-CN"/>
        </w:rPr>
      </w:pPr>
    </w:p>
    <w:p w14:paraId="562F0FA7">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2FF766B4">
      <w:pPr>
        <w:rPr>
          <w:rFonts w:hint="default" w:ascii="Times New Roman" w:hAnsi="Times New Roman" w:eastAsia="仿宋_GB2312" w:cs="Times New Roman"/>
          <w:sz w:val="22"/>
          <w:szCs w:val="2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24183C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34FD7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81F1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27B2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6CAD0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大气污染防治</w:t>
            </w:r>
          </w:p>
        </w:tc>
      </w:tr>
      <w:tr w14:paraId="5779946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1AC2C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74931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291BD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E0FEA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岳阳市生态环境局岳阳楼分局</w:t>
            </w:r>
          </w:p>
        </w:tc>
      </w:tr>
      <w:tr w14:paraId="2C52E36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73B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08134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EE76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932AE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5484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EFD6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792AF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81A8A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BEB22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72118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57450F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DD3787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43A17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1C0F4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4DAB3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BDF2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11D93B1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14:paraId="3DE65A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0173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E024E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4D71EF19">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3383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79B1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6F4B7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D7951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30BBF2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50</w:t>
            </w:r>
          </w:p>
        </w:tc>
        <w:tc>
          <w:tcPr>
            <w:tcW w:w="828" w:type="dxa"/>
            <w:tcBorders>
              <w:top w:val="nil"/>
              <w:left w:val="nil"/>
              <w:bottom w:val="single" w:color="auto" w:sz="4" w:space="0"/>
              <w:right w:val="single" w:color="auto" w:sz="4" w:space="0"/>
            </w:tcBorders>
            <w:noWrap w:val="0"/>
            <w:vAlign w:val="center"/>
          </w:tcPr>
          <w:p w14:paraId="53C226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FBEC3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FADFD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FBE4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4534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10AB40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18C0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EF21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19D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D7AE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5A4EA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4AF1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80E22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C4E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019788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66C50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30E4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5B48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030D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8A2C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50F02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E5A22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28F98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40684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F13F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E3193C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20C5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D10A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排查涉气企业大气减排</w:t>
            </w:r>
          </w:p>
        </w:tc>
        <w:tc>
          <w:tcPr>
            <w:tcW w:w="4253" w:type="dxa"/>
            <w:gridSpan w:val="4"/>
            <w:tcBorders>
              <w:top w:val="single" w:color="auto" w:sz="4" w:space="0"/>
              <w:left w:val="nil"/>
              <w:bottom w:val="single" w:color="auto" w:sz="4" w:space="0"/>
              <w:right w:val="single" w:color="auto" w:sz="4" w:space="0"/>
            </w:tcBorders>
            <w:noWrap w:val="0"/>
            <w:vAlign w:val="center"/>
          </w:tcPr>
          <w:p w14:paraId="55F6A6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已完成</w:t>
            </w:r>
          </w:p>
        </w:tc>
      </w:tr>
      <w:tr w14:paraId="630FC39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0BCF8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BA34F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AA5A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9A191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290A9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9800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80C2D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106E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95D4F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5DB2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2720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6BE32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30DC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E411EB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83215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24C5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931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D091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55FA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AA1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E9B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排查涉气企业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3A3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4F0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275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BD7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0DAB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1EF6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4A52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0340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D9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370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87D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E3D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344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2E1E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33B2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079D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5DB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60CC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246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99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26F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6E24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89B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AD75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0F1F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8A6A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F30C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5E92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0F7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121CB9">
            <w:pPr>
              <w:spacing w:line="3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376B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ACC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D73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F24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7145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0950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958F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9728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54FAA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75A7C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5C10E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903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E898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67D2D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4602BB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58978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50411E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83B1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707B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30E1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FE3C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D627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8B7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DE19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6D721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w:t>
            </w:r>
          </w:p>
        </w:tc>
        <w:tc>
          <w:tcPr>
            <w:tcW w:w="1134" w:type="dxa"/>
            <w:tcBorders>
              <w:top w:val="nil"/>
              <w:left w:val="nil"/>
              <w:bottom w:val="single" w:color="auto" w:sz="4" w:space="0"/>
              <w:right w:val="single" w:color="auto" w:sz="4" w:space="0"/>
            </w:tcBorders>
            <w:noWrap w:val="0"/>
            <w:vAlign w:val="center"/>
          </w:tcPr>
          <w:p w14:paraId="42B90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7482B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08CC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A156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8E4EF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8983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9FDB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B056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F44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1697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866A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城区空气质量优良率</w:t>
            </w:r>
          </w:p>
        </w:tc>
        <w:tc>
          <w:tcPr>
            <w:tcW w:w="1134" w:type="dxa"/>
            <w:tcBorders>
              <w:top w:val="nil"/>
              <w:left w:val="nil"/>
              <w:bottom w:val="single" w:color="auto" w:sz="4" w:space="0"/>
              <w:right w:val="single" w:color="auto" w:sz="4" w:space="0"/>
            </w:tcBorders>
            <w:noWrap w:val="0"/>
            <w:vAlign w:val="center"/>
          </w:tcPr>
          <w:p w14:paraId="1CF07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≥86%</w:t>
            </w:r>
          </w:p>
        </w:tc>
        <w:tc>
          <w:tcPr>
            <w:tcW w:w="1134" w:type="dxa"/>
            <w:tcBorders>
              <w:top w:val="nil"/>
              <w:left w:val="nil"/>
              <w:bottom w:val="single" w:color="auto" w:sz="4" w:space="0"/>
              <w:right w:val="single" w:color="auto" w:sz="4" w:space="0"/>
            </w:tcBorders>
            <w:noWrap w:val="0"/>
            <w:vAlign w:val="center"/>
          </w:tcPr>
          <w:p w14:paraId="644B69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71EDA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CD17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55699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A28D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FB43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0922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5B50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54794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68B088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323F6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748BF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D1F0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7DA67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9330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2646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1B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97BB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A96F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ACAD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F9A4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6D298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051C8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9AA0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C7D6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E5FF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BD08D8">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7A41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D1DD9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D81C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B1035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27E2BA7">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F6A6830">
      <w:pPr>
        <w:rPr>
          <w:rFonts w:hint="default" w:ascii="Times New Roman" w:hAnsi="Times New Roman" w:eastAsia="仿宋_GB2312" w:cs="Times New Roman"/>
          <w:sz w:val="18"/>
          <w:szCs w:val="18"/>
          <w:highlight w:val="none"/>
          <w:lang w:eastAsia="zh-CN"/>
        </w:rPr>
      </w:pPr>
    </w:p>
    <w:p w14:paraId="6E7EF6E8">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534E5C7E">
      <w:pPr>
        <w:rPr>
          <w:rFonts w:hint="eastAsia" w:ascii="黑体" w:hAnsi="黑体" w:eastAsia="黑体" w:cs="黑体"/>
          <w:sz w:val="32"/>
          <w:szCs w:val="32"/>
          <w:highlight w:val="none"/>
        </w:rPr>
      </w:pPr>
    </w:p>
    <w:p w14:paraId="359827A8">
      <w:pPr>
        <w:rPr>
          <w:rFonts w:hint="default" w:ascii="Times New Roman" w:hAnsi="Times New Roman" w:eastAsia="仿宋_GB2312" w:cs="Times New Roman"/>
          <w:sz w:val="22"/>
          <w:szCs w:val="2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FD095B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67F33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F857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6A55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B152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污染减排生态环境执法监察</w:t>
            </w:r>
          </w:p>
        </w:tc>
      </w:tr>
      <w:tr w14:paraId="64C7055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E8AE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6FA7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2480A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397CE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岳阳市生态环境局岳阳楼分局</w:t>
            </w:r>
          </w:p>
        </w:tc>
      </w:tr>
      <w:tr w14:paraId="795024C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B587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94284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A40A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957D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5645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106A3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A35E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F40F0D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03527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E94825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2CED5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9A1E65C">
        <w:tblPrEx>
          <w:tblCellMar>
            <w:top w:w="0" w:type="dxa"/>
            <w:left w:w="108" w:type="dxa"/>
            <w:bottom w:w="0" w:type="dxa"/>
            <w:right w:w="108" w:type="dxa"/>
          </w:tblCellMar>
        </w:tblPrEx>
        <w:trPr>
          <w:trHeight w:val="19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BE4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3CAE9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2C6C1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7DC8A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71.71</w:t>
            </w:r>
          </w:p>
        </w:tc>
        <w:tc>
          <w:tcPr>
            <w:tcW w:w="1134" w:type="dxa"/>
            <w:tcBorders>
              <w:top w:val="nil"/>
              <w:left w:val="nil"/>
              <w:bottom w:val="single" w:color="auto" w:sz="4" w:space="0"/>
              <w:right w:val="single" w:color="auto" w:sz="4" w:space="0"/>
            </w:tcBorders>
            <w:noWrap w:val="0"/>
            <w:vAlign w:val="center"/>
          </w:tcPr>
          <w:p w14:paraId="28A121F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71.71</w:t>
            </w:r>
          </w:p>
        </w:tc>
        <w:tc>
          <w:tcPr>
            <w:tcW w:w="828" w:type="dxa"/>
            <w:tcBorders>
              <w:top w:val="nil"/>
              <w:left w:val="nil"/>
              <w:bottom w:val="single" w:color="auto" w:sz="4" w:space="0"/>
              <w:right w:val="single" w:color="auto" w:sz="4" w:space="0"/>
            </w:tcBorders>
            <w:noWrap w:val="0"/>
            <w:vAlign w:val="center"/>
          </w:tcPr>
          <w:p w14:paraId="23613A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4EE8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C2B9F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0AD336AF">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6EF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FB54E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99F1A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F16CE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71.71</w:t>
            </w:r>
          </w:p>
        </w:tc>
        <w:tc>
          <w:tcPr>
            <w:tcW w:w="1134" w:type="dxa"/>
            <w:tcBorders>
              <w:top w:val="nil"/>
              <w:left w:val="nil"/>
              <w:bottom w:val="single" w:color="auto" w:sz="4" w:space="0"/>
              <w:right w:val="single" w:color="auto" w:sz="4" w:space="0"/>
            </w:tcBorders>
            <w:noWrap w:val="0"/>
            <w:vAlign w:val="center"/>
          </w:tcPr>
          <w:p w14:paraId="5734B6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71.71</w:t>
            </w:r>
          </w:p>
        </w:tc>
        <w:tc>
          <w:tcPr>
            <w:tcW w:w="828" w:type="dxa"/>
            <w:tcBorders>
              <w:top w:val="nil"/>
              <w:left w:val="nil"/>
              <w:bottom w:val="single" w:color="auto" w:sz="4" w:space="0"/>
              <w:right w:val="single" w:color="auto" w:sz="4" w:space="0"/>
            </w:tcBorders>
            <w:noWrap w:val="0"/>
            <w:vAlign w:val="center"/>
          </w:tcPr>
          <w:p w14:paraId="1CDD5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4D7F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5E90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5AE5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1CE8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83DB61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8FF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2549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E1903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93D11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A088E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1D7C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AB7F9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F904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B5B04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1507A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76D4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2B84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D2495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6B8F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E99C1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8FAB5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6AF4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01E5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E7D50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2B74D2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4FE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0957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饮用水源和农村生活污水处理设施水质监测　　</w:t>
            </w:r>
          </w:p>
        </w:tc>
        <w:tc>
          <w:tcPr>
            <w:tcW w:w="4253" w:type="dxa"/>
            <w:gridSpan w:val="4"/>
            <w:tcBorders>
              <w:top w:val="single" w:color="auto" w:sz="4" w:space="0"/>
              <w:left w:val="nil"/>
              <w:bottom w:val="single" w:color="auto" w:sz="4" w:space="0"/>
              <w:right w:val="single" w:color="auto" w:sz="4" w:space="0"/>
            </w:tcBorders>
            <w:noWrap w:val="0"/>
            <w:vAlign w:val="center"/>
          </w:tcPr>
          <w:p w14:paraId="64809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已完成</w:t>
            </w:r>
          </w:p>
        </w:tc>
      </w:tr>
      <w:tr w14:paraId="046F810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970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9A48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631A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BFC6F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07FCB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7C60E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81CDA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E896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4487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CFBD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B2B6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887CD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6EAA6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72DA7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061EB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9A07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86730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5769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A7707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E04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C90E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排查新增排污口</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509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72E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ECE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4870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FFAB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CEE3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1691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03D7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C514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73F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7E73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0F8B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86D9E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F89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CE8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7277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9F4E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555C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2931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06FB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3F62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E12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A00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DF76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954B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BA3B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EAB0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A29D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EF8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4F0167">
            <w:pPr>
              <w:spacing w:line="3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23A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71.71万元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8D65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71.71万元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6F6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4B0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A911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FDA4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569B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7853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8EC33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36CED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FAF6F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0C91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3943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0A2FD8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0E3E1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6A663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19CAE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3F52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FFE8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5D45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D262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A7C4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E62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FC6D1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DFB5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w:t>
            </w:r>
          </w:p>
        </w:tc>
        <w:tc>
          <w:tcPr>
            <w:tcW w:w="1134" w:type="dxa"/>
            <w:tcBorders>
              <w:top w:val="nil"/>
              <w:left w:val="nil"/>
              <w:bottom w:val="single" w:color="auto" w:sz="4" w:space="0"/>
              <w:right w:val="single" w:color="auto" w:sz="4" w:space="0"/>
            </w:tcBorders>
            <w:noWrap w:val="0"/>
            <w:vAlign w:val="center"/>
          </w:tcPr>
          <w:p w14:paraId="0BB541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555CE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06549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F577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A1E0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8FDF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BAA4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FA6C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1A34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80C2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D3BA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城区空气质量优良率</w:t>
            </w:r>
          </w:p>
        </w:tc>
        <w:tc>
          <w:tcPr>
            <w:tcW w:w="1134" w:type="dxa"/>
            <w:tcBorders>
              <w:top w:val="nil"/>
              <w:left w:val="nil"/>
              <w:bottom w:val="single" w:color="auto" w:sz="4" w:space="0"/>
              <w:right w:val="single" w:color="auto" w:sz="4" w:space="0"/>
            </w:tcBorders>
            <w:noWrap w:val="0"/>
            <w:vAlign w:val="center"/>
          </w:tcPr>
          <w:p w14:paraId="6CE9B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≥86%</w:t>
            </w:r>
          </w:p>
        </w:tc>
        <w:tc>
          <w:tcPr>
            <w:tcW w:w="1134" w:type="dxa"/>
            <w:tcBorders>
              <w:top w:val="nil"/>
              <w:left w:val="nil"/>
              <w:bottom w:val="single" w:color="auto" w:sz="4" w:space="0"/>
              <w:right w:val="single" w:color="auto" w:sz="4" w:space="0"/>
            </w:tcBorders>
            <w:noWrap w:val="0"/>
            <w:vAlign w:val="center"/>
          </w:tcPr>
          <w:p w14:paraId="695CA0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664A4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51827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C06D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8901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A744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20BF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4BE0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6E7527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1D2DE2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1F3023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232F8B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0C19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8307B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D041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836C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16F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A0FD4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A2A28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12C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A274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44DBD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56C25A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50C8F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3EEA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F48C4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76C9A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77AF8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4D53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0BC09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FBDE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98087AA">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ADF1399">
      <w:pPr>
        <w:rPr>
          <w:rFonts w:hint="default" w:ascii="Times New Roman" w:hAnsi="Times New Roman" w:eastAsia="仿宋_GB2312" w:cs="Times New Roman"/>
          <w:sz w:val="18"/>
          <w:szCs w:val="18"/>
          <w:highlight w:val="none"/>
          <w:lang w:eastAsia="zh-CN"/>
        </w:rPr>
      </w:pPr>
    </w:p>
    <w:p w14:paraId="7D147C0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4C129455">
      <w:pPr>
        <w:pStyle w:val="2"/>
        <w:rPr>
          <w:rFonts w:hint="eastAsia"/>
        </w:rPr>
      </w:pPr>
    </w:p>
    <w:p w14:paraId="79442272">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2B47577A">
      <w:pPr>
        <w:jc w:val="center"/>
        <w:rPr>
          <w:rFonts w:hint="default" w:ascii="Times New Roman" w:hAnsi="Times New Roman" w:eastAsia="方正小标宋_GBK" w:cs="Times New Roman"/>
          <w:sz w:val="52"/>
          <w:szCs w:val="52"/>
          <w:highlight w:val="none"/>
        </w:rPr>
      </w:pPr>
    </w:p>
    <w:p w14:paraId="0B8B9EC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年度岳阳市生态环境局岳阳楼分局</w:t>
      </w:r>
    </w:p>
    <w:p w14:paraId="05C74D5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BD5C23F">
      <w:pPr>
        <w:jc w:val="center"/>
        <w:rPr>
          <w:rFonts w:hint="default" w:ascii="Times New Roman" w:hAnsi="Times New Roman" w:eastAsia="方正小标宋_GBK" w:cs="Times New Roman"/>
          <w:b/>
          <w:sz w:val="52"/>
          <w:szCs w:val="52"/>
          <w:highlight w:val="none"/>
        </w:rPr>
      </w:pPr>
    </w:p>
    <w:p w14:paraId="2D3B0236">
      <w:pPr>
        <w:jc w:val="center"/>
        <w:rPr>
          <w:rFonts w:hint="default" w:ascii="Times New Roman" w:hAnsi="Times New Roman" w:eastAsia="楷体_GB2312" w:cs="Times New Roman"/>
          <w:b/>
          <w:sz w:val="32"/>
          <w:szCs w:val="32"/>
          <w:highlight w:val="none"/>
        </w:rPr>
      </w:pPr>
    </w:p>
    <w:p w14:paraId="0B7AFF52">
      <w:pPr>
        <w:jc w:val="center"/>
        <w:rPr>
          <w:rFonts w:hint="default" w:ascii="Times New Roman" w:hAnsi="Times New Roman" w:eastAsia="楷体_GB2312" w:cs="Times New Roman"/>
          <w:b/>
          <w:sz w:val="32"/>
          <w:szCs w:val="32"/>
          <w:highlight w:val="none"/>
        </w:rPr>
      </w:pPr>
    </w:p>
    <w:p w14:paraId="3849E02B">
      <w:pPr>
        <w:jc w:val="center"/>
        <w:rPr>
          <w:rFonts w:hint="default" w:ascii="Times New Roman" w:hAnsi="Times New Roman" w:eastAsia="楷体_GB2312" w:cs="Times New Roman"/>
          <w:b/>
          <w:sz w:val="32"/>
          <w:szCs w:val="32"/>
          <w:highlight w:val="none"/>
        </w:rPr>
      </w:pPr>
    </w:p>
    <w:p w14:paraId="65C78EF5">
      <w:pPr>
        <w:jc w:val="center"/>
        <w:rPr>
          <w:rFonts w:hint="default" w:ascii="Times New Roman" w:hAnsi="Times New Roman" w:eastAsia="楷体_GB2312" w:cs="Times New Roman"/>
          <w:b/>
          <w:sz w:val="32"/>
          <w:szCs w:val="32"/>
          <w:highlight w:val="none"/>
        </w:rPr>
      </w:pPr>
    </w:p>
    <w:p w14:paraId="642F9792">
      <w:pPr>
        <w:jc w:val="center"/>
        <w:rPr>
          <w:rFonts w:hint="default" w:ascii="Times New Roman" w:hAnsi="Times New Roman" w:eastAsia="楷体_GB2312" w:cs="Times New Roman"/>
          <w:b/>
          <w:sz w:val="32"/>
          <w:szCs w:val="32"/>
          <w:highlight w:val="none"/>
        </w:rPr>
      </w:pPr>
    </w:p>
    <w:p w14:paraId="0A43DF9F">
      <w:pPr>
        <w:jc w:val="center"/>
        <w:rPr>
          <w:rFonts w:hint="default" w:ascii="Times New Roman" w:hAnsi="Times New Roman" w:eastAsia="楷体_GB2312" w:cs="Times New Roman"/>
          <w:b/>
          <w:sz w:val="32"/>
          <w:szCs w:val="32"/>
          <w:highlight w:val="none"/>
        </w:rPr>
      </w:pPr>
    </w:p>
    <w:p w14:paraId="5710C859">
      <w:pPr>
        <w:jc w:val="center"/>
        <w:rPr>
          <w:rFonts w:hint="default" w:ascii="Times New Roman" w:hAnsi="Times New Roman" w:eastAsia="黑体" w:cs="Times New Roman"/>
          <w:sz w:val="32"/>
          <w:szCs w:val="32"/>
          <w:highlight w:val="none"/>
        </w:rPr>
      </w:pPr>
    </w:p>
    <w:p w14:paraId="3B6590D8">
      <w:pPr>
        <w:jc w:val="center"/>
        <w:rPr>
          <w:rFonts w:hint="default" w:ascii="Times New Roman" w:hAnsi="Times New Roman" w:eastAsia="黑体" w:cs="Times New Roman"/>
          <w:sz w:val="32"/>
          <w:szCs w:val="32"/>
          <w:highlight w:val="none"/>
        </w:rPr>
      </w:pPr>
    </w:p>
    <w:p w14:paraId="4115CC6F">
      <w:pPr>
        <w:jc w:val="center"/>
        <w:rPr>
          <w:rFonts w:hint="default" w:ascii="Times New Roman" w:hAnsi="Times New Roman" w:eastAsia="黑体" w:cs="Times New Roman"/>
          <w:sz w:val="32"/>
          <w:szCs w:val="32"/>
          <w:highlight w:val="none"/>
        </w:rPr>
      </w:pPr>
    </w:p>
    <w:p w14:paraId="3018543D">
      <w:pPr>
        <w:jc w:val="both"/>
        <w:rPr>
          <w:rFonts w:hint="default" w:ascii="Times New Roman" w:hAnsi="Times New Roman" w:eastAsia="黑体" w:cs="Times New Roman"/>
          <w:sz w:val="32"/>
          <w:szCs w:val="32"/>
          <w:highlight w:val="none"/>
        </w:rPr>
      </w:pPr>
    </w:p>
    <w:p w14:paraId="7882CC3E">
      <w:pPr>
        <w:jc w:val="center"/>
        <w:rPr>
          <w:rFonts w:hint="default" w:ascii="Times New Roman" w:hAnsi="Times New Roman" w:eastAsia="黑体" w:cs="Times New Roman"/>
          <w:sz w:val="32"/>
          <w:szCs w:val="32"/>
          <w:highlight w:val="none"/>
        </w:rPr>
      </w:pPr>
    </w:p>
    <w:p w14:paraId="3DCF09B8">
      <w:pPr>
        <w:jc w:val="center"/>
        <w:rPr>
          <w:rFonts w:hint="default" w:ascii="Times New Roman" w:hAnsi="Times New Roman" w:eastAsia="黑体" w:cs="Times New Roman"/>
          <w:sz w:val="32"/>
          <w:szCs w:val="32"/>
          <w:highlight w:val="none"/>
        </w:rPr>
      </w:pPr>
    </w:p>
    <w:p w14:paraId="5AD86D3A">
      <w:pPr>
        <w:jc w:val="center"/>
        <w:rPr>
          <w:rFonts w:hint="default" w:ascii="Times New Roman" w:hAnsi="Times New Roman" w:eastAsia="黑体" w:cs="Times New Roman"/>
          <w:sz w:val="32"/>
          <w:szCs w:val="32"/>
          <w:highlight w:val="none"/>
        </w:rPr>
      </w:pPr>
    </w:p>
    <w:p w14:paraId="161D49F7">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651926A">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4D22A5C4">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56F32A61">
      <w:pPr>
        <w:ind w:firstLine="880" w:firstLineChars="200"/>
        <w:jc w:val="both"/>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年度岳阳市生态环境局岳阳楼分局</w:t>
      </w:r>
    </w:p>
    <w:p w14:paraId="053CB687">
      <w:pPr>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4244493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821696F">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DC9F260">
      <w:pPr>
        <w:pStyle w:val="2"/>
        <w:numPr>
          <w:ilvl w:val="0"/>
          <w:numId w:val="0"/>
        </w:numPr>
        <w:rPr>
          <w:rFonts w:hint="default" w:eastAsia="仿宋"/>
          <w:lang w:val="en-US" w:eastAsia="zh-CN"/>
        </w:rPr>
      </w:pPr>
      <w:r>
        <w:rPr>
          <w:rFonts w:hint="eastAsia"/>
          <w:lang w:val="en-US" w:eastAsia="zh-CN"/>
        </w:rPr>
        <w:t xml:space="preserve"> </w:t>
      </w:r>
      <w:r>
        <w:rPr>
          <w:rFonts w:hint="eastAsia" w:ascii="仿宋_GB2312" w:hAnsi="仿宋_GB2312" w:eastAsia="仿宋_GB2312" w:cs="仿宋_GB2312"/>
          <w:b w:val="0"/>
          <w:bCs/>
          <w:kern w:val="0"/>
          <w:sz w:val="32"/>
          <w:szCs w:val="32"/>
          <w:lang w:val="en-US" w:eastAsia="zh-CN" w:bidi="ar"/>
        </w:rPr>
        <w:t>    （一）职能职责</w:t>
      </w:r>
      <w:r>
        <w:rPr>
          <w:rFonts w:hint="eastAsia" w:ascii="仿宋_GB2312" w:hAnsi="仿宋_GB2312" w:eastAsia="仿宋_GB2312" w:cs="仿宋_GB2312"/>
          <w:b w:val="0"/>
          <w:bCs/>
          <w:kern w:val="0"/>
          <w:sz w:val="32"/>
          <w:szCs w:val="32"/>
          <w:lang w:val="en-US" w:eastAsia="zh-CN" w:bidi="ar"/>
        </w:rPr>
        <w:br w:type="textWrapping"/>
      </w:r>
      <w:r>
        <w:rPr>
          <w:rFonts w:hint="eastAsia" w:ascii="仿宋_GB2312" w:hAnsi="仿宋_GB2312" w:eastAsia="仿宋_GB2312" w:cs="仿宋_GB2312"/>
          <w:b w:val="0"/>
          <w:bCs/>
          <w:kern w:val="0"/>
          <w:sz w:val="32"/>
          <w:szCs w:val="32"/>
          <w:lang w:val="en-US" w:eastAsia="zh-CN" w:bidi="ar"/>
        </w:rPr>
        <w:t>     受岳阳市生态环境局委托，主要是贯彻落实环境保护政策，执行国家环保法律法规。负责辖区内环境规划、环境管理、环境宣传教育、环境监察等工作。</w:t>
      </w:r>
      <w:r>
        <w:rPr>
          <w:rFonts w:hint="eastAsia" w:ascii="仿宋_GB2312" w:hAnsi="仿宋_GB2312" w:eastAsia="仿宋_GB2312" w:cs="仿宋_GB2312"/>
          <w:b w:val="0"/>
          <w:bCs/>
          <w:kern w:val="0"/>
          <w:sz w:val="32"/>
          <w:szCs w:val="32"/>
          <w:lang w:val="en-US" w:eastAsia="zh-CN" w:bidi="ar"/>
        </w:rPr>
        <w:br w:type="textWrapping"/>
      </w:r>
      <w:r>
        <w:rPr>
          <w:rFonts w:hint="eastAsia" w:ascii="仿宋_GB2312" w:hAnsi="仿宋_GB2312" w:eastAsia="仿宋_GB2312" w:cs="仿宋_GB2312"/>
          <w:b w:val="0"/>
          <w:bCs/>
          <w:kern w:val="0"/>
          <w:sz w:val="32"/>
          <w:szCs w:val="32"/>
          <w:lang w:val="en-US" w:eastAsia="zh-CN" w:bidi="ar"/>
        </w:rPr>
        <w:t>     （二）机构设置</w:t>
      </w:r>
      <w:r>
        <w:rPr>
          <w:rFonts w:hint="eastAsia" w:ascii="仿宋_GB2312" w:hAnsi="仿宋_GB2312" w:eastAsia="仿宋_GB2312" w:cs="仿宋_GB2312"/>
          <w:b w:val="0"/>
          <w:bCs/>
          <w:kern w:val="0"/>
          <w:sz w:val="32"/>
          <w:szCs w:val="32"/>
          <w:lang w:val="en-US" w:eastAsia="zh-CN" w:bidi="ar"/>
        </w:rPr>
        <w:br w:type="textWrapping"/>
      </w:r>
      <w:r>
        <w:rPr>
          <w:rFonts w:hint="eastAsia" w:ascii="仿宋_GB2312" w:hAnsi="仿宋_GB2312" w:eastAsia="仿宋_GB2312" w:cs="仿宋_GB2312"/>
          <w:b w:val="0"/>
          <w:bCs/>
          <w:kern w:val="0"/>
          <w:sz w:val="32"/>
          <w:szCs w:val="32"/>
          <w:lang w:val="en-US" w:eastAsia="zh-CN" w:bidi="ar"/>
        </w:rPr>
        <w:t>      独立编制、核算机构数1个，核定编制数为33人，现在实有编制人员31人，其中全额事业编制31人。离退休人员13人，为岳阳市生态环境局的派出机构。</w:t>
      </w:r>
    </w:p>
    <w:p w14:paraId="5086D90B">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FBB8019">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
        </w:rPr>
      </w:pPr>
      <w:r>
        <w:rPr>
          <w:rFonts w:hint="default" w:ascii="仿宋_GB2312" w:hAnsi="仿宋_GB2312" w:eastAsia="仿宋_GB2312" w:cs="仿宋_GB2312"/>
          <w:b w:val="0"/>
          <w:bCs/>
          <w:kern w:val="0"/>
          <w:sz w:val="32"/>
          <w:szCs w:val="32"/>
          <w:lang w:val="en-US" w:eastAsia="zh-CN" w:bidi="ar"/>
        </w:rPr>
        <w:t>（一）基本支出情况</w:t>
      </w:r>
    </w:p>
    <w:p w14:paraId="0BD8E170">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firstLine="960" w:firstLineChars="300"/>
        <w:jc w:val="both"/>
        <w:textAlignment w:val="auto"/>
        <w:rPr>
          <w:rFonts w:hint="default"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2024年基本支出年初预算数为</w:t>
      </w:r>
      <w:r>
        <w:rPr>
          <w:rFonts w:hint="eastAsia" w:ascii="宋体" w:hAnsi="宋体"/>
          <w:sz w:val="32"/>
          <w:szCs w:val="24"/>
        </w:rPr>
        <w:t>465.75</w:t>
      </w:r>
      <w:r>
        <w:rPr>
          <w:rFonts w:hint="eastAsia" w:ascii="仿宋_GB2312" w:hAnsi="仿宋_GB2312" w:eastAsia="仿宋_GB2312" w:cs="仿宋_GB2312"/>
          <w:b w:val="0"/>
          <w:bCs/>
          <w:kern w:val="0"/>
          <w:sz w:val="32"/>
          <w:szCs w:val="32"/>
          <w:lang w:val="en-US" w:eastAsia="zh-CN" w:bidi="ar"/>
        </w:rPr>
        <w:t>万元，决算实际支出数为957.03万元。其中：人员经费453.47万元，主要包括：基本工资、津贴补贴、奖金、伙食补助费、绩效工资、机关事业单位基本养老保险缴费、职工基本医疗保险缴费、其他社会保障缴费、住房公积金、医疗费、退休费等；公用经费72.10万元，主要包括：办公费、印刷费、咨询费、水电费、邮电费、物业管理费、差旅费、维修（护）费、工会经费、公务接待费、劳务费、委托业务费、福利费、公务用车运行维护费、其他交通费用、其他商品和服务支出等。</w:t>
      </w:r>
    </w:p>
    <w:p w14:paraId="34EEBF8C">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SA"/>
        </w:rPr>
      </w:pPr>
      <w:r>
        <w:rPr>
          <w:rFonts w:hint="default" w:ascii="仿宋_GB2312" w:hAnsi="仿宋_GB2312" w:eastAsia="仿宋_GB2312" w:cs="仿宋_GB2312"/>
          <w:b w:val="0"/>
          <w:bCs/>
          <w:kern w:val="0"/>
          <w:sz w:val="32"/>
          <w:szCs w:val="32"/>
          <w:lang w:val="en-US" w:eastAsia="zh-CN" w:bidi="ar-SA"/>
        </w:rPr>
        <w:t>项目支出情况</w:t>
      </w:r>
    </w:p>
    <w:p w14:paraId="7CB7376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2024年项目支出年初预算数为5.00万元，决算实际支出数为398.65万元。主要用于办案费支出，环境监察、监测等运行经费，上级环保专项，污染防治攻坚防治经费，2023年单位指标结余等方面。</w:t>
      </w:r>
    </w:p>
    <w:p w14:paraId="17F9D65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kern w:val="0"/>
          <w:sz w:val="32"/>
          <w:szCs w:val="32"/>
          <w:lang w:val="en-US" w:eastAsia="zh-CN" w:bidi="ar-SA"/>
        </w:rPr>
      </w:pPr>
    </w:p>
    <w:p w14:paraId="6F4DEC8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三、政府性基金预算支出情况</w:t>
      </w:r>
    </w:p>
    <w:p w14:paraId="48EE013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eastAsia" w:ascii="仿宋_GB2312" w:hAnsi="仿宋_GB2312" w:eastAsia="仿宋_GB2312" w:cs="仿宋_GB2312"/>
          <w:kern w:val="0"/>
          <w:sz w:val="32"/>
          <w:szCs w:val="32"/>
          <w:lang w:val="en-US" w:eastAsia="zh-CN" w:bidi="ar-SA"/>
        </w:rPr>
        <w:t>2024年本单位无政府性基金预算安排的支出。</w:t>
      </w:r>
    </w:p>
    <w:p w14:paraId="3915CA11">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国有资本经营预算支出情</w:t>
      </w:r>
      <w:r>
        <w:rPr>
          <w:rFonts w:hint="eastAsia" w:ascii="Times New Roman" w:hAnsi="Times New Roman" w:eastAsia="黑体" w:cs="Times New Roman"/>
          <w:kern w:val="0"/>
          <w:sz w:val="32"/>
          <w:szCs w:val="32"/>
          <w:highlight w:val="none"/>
          <w:lang w:val="en-US" w:eastAsia="zh-CN" w:bidi="ar-SA"/>
        </w:rPr>
        <w:t>况</w:t>
      </w:r>
    </w:p>
    <w:p w14:paraId="343E120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rPr>
      </w:pPr>
      <w:r>
        <w:rPr>
          <w:rFonts w:hint="eastAsia" w:ascii="仿宋_GB2312" w:hAnsi="仿宋_GB2312" w:eastAsia="仿宋_GB2312" w:cs="仿宋_GB2312"/>
          <w:kern w:val="0"/>
          <w:sz w:val="32"/>
          <w:szCs w:val="32"/>
          <w:lang w:val="en-US" w:eastAsia="zh-CN" w:bidi="ar-SA"/>
        </w:rPr>
        <w:t>2024年本单位无国有资本经营预算安排的支出。</w:t>
      </w:r>
    </w:p>
    <w:p w14:paraId="42C8E0AC">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社会保险基金预算支出情况</w:t>
      </w:r>
    </w:p>
    <w:p w14:paraId="09AECBA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2024年本单位无社会保险基金预算安排的支出。</w:t>
      </w:r>
    </w:p>
    <w:p w14:paraId="1527779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7BD0BB4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 xml:space="preserve">1.履职效能情况分析 </w:t>
      </w:r>
    </w:p>
    <w:p w14:paraId="3778CCD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今年以来</w:t>
      </w:r>
      <w:r>
        <w:rPr>
          <w:rFonts w:hint="default" w:ascii="Times New Roman" w:hAnsi="Times New Roman" w:eastAsia="仿宋_GB2312" w:cs="Times New Roman"/>
          <w:color w:val="000000"/>
          <w:kern w:val="0"/>
          <w:sz w:val="32"/>
          <w:szCs w:val="32"/>
          <w:highlight w:val="none"/>
          <w:lang w:val="en-US" w:eastAsia="zh-CN" w:bidi="ar-SA"/>
        </w:rPr>
        <w:t>已下达行政处罚决定书8份，罚款19.95万元，其中不予处罚案件2起。同时，加强“行刑衔接”，联合公安、检察机关开展打击危险废物犯罪和重点排污单位在线监控数据造假等专项行动，办理四个配套办法类案件4起，其中查封扣押2起，移送拘留2起。启动办结生态损害赔偿案件4起，3起已办结。</w:t>
      </w:r>
    </w:p>
    <w:p w14:paraId="3570E5E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2.管理效率情况分析</w:t>
      </w:r>
    </w:p>
    <w:p w14:paraId="5958A35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 xml:space="preserve">预算编制完整，专项资金细化率、预算执行率达到标准，预算调整率偏高，主要原因是追加项目增加导致预算调整金额增加。收入支出管理规范，内控制度有效，资产管理规范，部门固定资产利用率符合目标，信息化建设和管理制度建设有效。 </w:t>
      </w:r>
    </w:p>
    <w:p w14:paraId="6BEAFEC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 xml:space="preserve">3.运行成本控制情况分析 </w:t>
      </w:r>
    </w:p>
    <w:p w14:paraId="32E505C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“三公经费”、公用经费均控制在预算范围内，项目支出有所超出预算，原因在于本年度市财政局拨付的专项资金。</w:t>
      </w:r>
    </w:p>
    <w:p w14:paraId="17F6991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4.服务满意度指标完成情况分析</w:t>
      </w:r>
    </w:p>
    <w:p w14:paraId="4C59A16A">
      <w:pPr>
        <w:widowControl w:val="0"/>
        <w:ind w:left="111" w:firstLine="599"/>
        <w:jc w:val="both"/>
        <w:rPr>
          <w:rFonts w:hint="eastAsia" w:ascii="仿宋_GB2312" w:hAnsi="宋体" w:eastAsia="仿宋_GB2312" w:cs="Times New Roman"/>
          <w:kern w:val="2"/>
          <w:sz w:val="32"/>
          <w:szCs w:val="32"/>
          <w:lang w:val="en-US" w:eastAsia="zh-CN" w:bidi="ar-SA"/>
        </w:rPr>
      </w:pPr>
      <w:r>
        <w:rPr>
          <w:rFonts w:hint="default" w:ascii="Times New Roman" w:hAnsi="Times New Roman" w:eastAsia="仿宋_GB2312" w:cs="Times New Roman"/>
          <w:color w:val="000000"/>
          <w:kern w:val="0"/>
          <w:sz w:val="32"/>
          <w:szCs w:val="32"/>
          <w:highlight w:val="none"/>
          <w:lang w:val="en-US" w:eastAsia="en-US" w:bidi="ar-SA"/>
        </w:rPr>
        <w:t>今年以来，执法大队共接受各类环境信访案件共2</w:t>
      </w:r>
      <w:r>
        <w:rPr>
          <w:rFonts w:hint="eastAsia" w:ascii="仿宋_GB2312" w:hAnsi="宋体" w:eastAsia="仿宋_GB2312" w:cs="Times New Roman"/>
          <w:color w:val="auto"/>
          <w:kern w:val="2"/>
          <w:sz w:val="32"/>
          <w:szCs w:val="32"/>
          <w:lang w:val="en-US" w:eastAsia="zh-CN" w:bidi="ar-SA"/>
        </w:rPr>
        <w:t>受理各类环境信访件96件，目前已全部办结，按时办结率</w:t>
      </w:r>
      <w:r>
        <w:rPr>
          <w:rFonts w:ascii="仿宋_GB2312" w:hAnsi="宋体" w:eastAsia="仿宋_GB2312" w:cs="Times New Roman"/>
          <w:color w:val="auto"/>
          <w:kern w:val="2"/>
          <w:sz w:val="32"/>
          <w:szCs w:val="32"/>
          <w:lang w:val="en-US" w:eastAsia="zh-CN" w:bidi="ar-SA"/>
        </w:rPr>
        <w:t>100%</w:t>
      </w:r>
      <w:r>
        <w:rPr>
          <w:rFonts w:hint="eastAsia" w:ascii="仿宋_GB2312" w:hAnsi="宋体" w:eastAsia="仿宋_GB2312" w:cs="Times New Roman"/>
          <w:kern w:val="2"/>
          <w:sz w:val="32"/>
          <w:szCs w:val="32"/>
          <w:lang w:val="en-US" w:eastAsia="zh-CN" w:bidi="ar-SA"/>
        </w:rPr>
        <w:t>。</w:t>
      </w:r>
    </w:p>
    <w:p w14:paraId="3053559F">
      <w:pPr>
        <w:widowControl w:val="0"/>
        <w:ind w:left="111" w:firstLine="599"/>
        <w:jc w:val="both"/>
        <w:rPr>
          <w:rFonts w:hint="default" w:ascii="Times New Roman" w:hAnsi="Times New Roman" w:eastAsia="仿宋_GB2312" w:cs="Times New Roman"/>
          <w:color w:val="000000"/>
          <w:kern w:val="0"/>
          <w:sz w:val="32"/>
          <w:szCs w:val="32"/>
          <w:highlight w:val="none"/>
          <w:lang w:val="en-US" w:eastAsia="en-US" w:bidi="ar-SA"/>
        </w:rPr>
      </w:pPr>
      <w:r>
        <w:rPr>
          <w:rFonts w:hint="eastAsia" w:ascii="Times New Roman" w:hAnsi="Times New Roman" w:eastAsia="仿宋_GB2312" w:cs="Times New Roman"/>
          <w:color w:val="000000"/>
          <w:kern w:val="0"/>
          <w:sz w:val="32"/>
          <w:szCs w:val="32"/>
          <w:highlight w:val="none"/>
          <w:lang w:val="en-US" w:eastAsia="zh-CN" w:bidi="ar-SA"/>
        </w:rPr>
        <w:t>5</w:t>
      </w:r>
      <w:r>
        <w:rPr>
          <w:rFonts w:hint="default" w:ascii="Times New Roman" w:hAnsi="Times New Roman" w:eastAsia="仿宋_GB2312" w:cs="Times New Roman"/>
          <w:color w:val="000000"/>
          <w:kern w:val="0"/>
          <w:sz w:val="32"/>
          <w:szCs w:val="32"/>
          <w:highlight w:val="none"/>
          <w:lang w:val="en-US" w:eastAsia="en-US" w:bidi="ar-SA"/>
        </w:rPr>
        <w:t>.可持续性影响情况分析</w:t>
      </w:r>
    </w:p>
    <w:p w14:paraId="11CC8D7B">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深入打好污染防治攻坚战，</w:t>
      </w:r>
      <w:r>
        <w:rPr>
          <w:rFonts w:hint="eastAsia" w:ascii="仿宋_GB2312" w:hAnsi="仿宋" w:eastAsia="仿宋_GB2312" w:cs="仿宋"/>
          <w:color w:val="000000"/>
          <w:kern w:val="0"/>
          <w:sz w:val="32"/>
          <w:szCs w:val="32"/>
          <w:lang w:val="en-US" w:eastAsia="zh-CN" w:bidi="ar-SA"/>
        </w:rPr>
        <w:t>严厉打击超标排放等违法行为，累计检查柴油货</w:t>
      </w:r>
      <w:r>
        <w:rPr>
          <w:rFonts w:hint="eastAsia" w:ascii="仿宋_GB2312" w:hAnsi="仿宋" w:eastAsia="仿宋_GB2312" w:cs="仿宋"/>
          <w:kern w:val="0"/>
          <w:sz w:val="32"/>
          <w:szCs w:val="32"/>
          <w:lang w:val="en-US" w:eastAsia="zh-CN" w:bidi="ar-SA"/>
        </w:rPr>
        <w:t>车94台次，其中4台超标车辆接受交警部门处罚</w:t>
      </w:r>
      <w:r>
        <w:rPr>
          <w:rFonts w:hint="default" w:ascii="Times New Roman" w:hAnsi="Times New Roman" w:eastAsia="仿宋_GB2312" w:cs="Times New Roman"/>
          <w:color w:val="000000"/>
          <w:kern w:val="0"/>
          <w:sz w:val="32"/>
          <w:szCs w:val="32"/>
          <w:highlight w:val="none"/>
          <w:lang w:val="en-US" w:eastAsia="zh-CN" w:bidi="ar-SA"/>
        </w:rPr>
        <w:t>。全力推进水环境保护工作，</w:t>
      </w:r>
      <w:r>
        <w:rPr>
          <w:rFonts w:hint="eastAsia" w:ascii="仿宋_GB2312" w:hAnsi="仿宋" w:eastAsia="仿宋_GB2312" w:cs="仿宋_GB2312"/>
          <w:color w:val="000000"/>
          <w:kern w:val="0"/>
          <w:sz w:val="32"/>
          <w:szCs w:val="32"/>
          <w:lang w:val="en-US" w:eastAsia="zh-CN" w:bidi="ar-SA"/>
          <w14:textFill>
            <w14:solidFill>
              <w14:srgbClr w14:val="000000">
                <w14:lumMod w14:val="95000"/>
                <w14:lumOff w14:val="5000"/>
              </w14:srgbClr>
            </w14:solidFill>
          </w14:textFill>
        </w:rPr>
        <w:t>辖区共排查出长江入河排口92个，需要整治的问题排口48个，已完成整治43个，力争在今年底前完成整改并销号。重点入河（湖）排污口28个，其中需要整治的问题排口10个</w:t>
      </w:r>
      <w:r>
        <w:rPr>
          <w:rFonts w:hint="default" w:ascii="Times New Roman" w:hAnsi="Times New Roman" w:eastAsia="仿宋_GB2312" w:cs="Times New Roman"/>
          <w:color w:val="000000"/>
          <w:kern w:val="0"/>
          <w:sz w:val="32"/>
          <w:szCs w:val="32"/>
          <w:highlight w:val="none"/>
          <w:lang w:val="en-US" w:eastAsia="zh-CN" w:bidi="ar-SA"/>
        </w:rPr>
        <w:t>。着力落实净土保卫工作，</w:t>
      </w:r>
      <w:r>
        <w:rPr>
          <w:rFonts w:hint="eastAsia" w:ascii="仿宋_GB2312" w:hAnsi="仿宋" w:eastAsia="仿宋_GB2312" w:cs="仿宋_GB2312"/>
          <w:color w:val="000000"/>
          <w:kern w:val="0"/>
          <w:sz w:val="32"/>
          <w:szCs w:val="32"/>
          <w:lang w:val="en-US" w:eastAsia="zh-CN" w:bidi="ar-SA"/>
          <w14:textFill>
            <w14:solidFill>
              <w14:srgbClr w14:val="000000">
                <w14:lumMod w14:val="95000"/>
                <w14:lumOff w14:val="5000"/>
              </w14:srgbClr>
            </w14:solidFill>
          </w14:textFill>
        </w:rPr>
        <w:t>开展涉重金属企业排查，完成中国航发长江动力有限公司、岳阳景隆机械制造有限公司涉重金属污染现场排查。摸排辖区农村生活污水治理及农村环境整治情况，完成农村生态环境监管信息系统填报工作。</w:t>
      </w:r>
    </w:p>
    <w:p w14:paraId="539C3F9B">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B2BA09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环境质量改善仍任重道远，中心城区综合质量不能稳定达标，空气质量优良率难以达到考核目标要求，国家水质考核断面总磷浓度改善不明显，水质考核PM2.5浓度不能稳定达标，水环境、大气环境质量管控措施还有待进一步细化加强。</w:t>
      </w:r>
    </w:p>
    <w:p w14:paraId="5FC618D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2、环境违法行为仍屡禁不止，我区已连续两年发生非法遗弃处置危险废物案件，部分企业和居民的生态环保意识还不够强，环法宣教工作还需进一步加大力度。</w:t>
      </w:r>
    </w:p>
    <w:p w14:paraId="2396756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突出环境问题整改仍需继续努力，中央环保督察交办的25个信访件现已办结16个、阶段办结9个、1个正在办理中，省环保督察交办的信访件22个现已办结20个、阶段办结2个。突出环境问题整改压力大、任务重、时间紧，中央、省环保督察及长江经济带警示片反馈披露问题还有16个未完成整改销号。</w:t>
      </w:r>
    </w:p>
    <w:p w14:paraId="680B966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4A2E5A6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（一）</w:t>
      </w:r>
      <w:r>
        <w:rPr>
          <w:rFonts w:hint="eastAsia" w:ascii="Times New Roman" w:hAnsi="Times New Roman" w:eastAsia="仿宋_GB2312" w:cs="Times New Roman"/>
          <w:color w:val="000000"/>
          <w:sz w:val="32"/>
          <w:szCs w:val="32"/>
          <w:highlight w:val="none"/>
          <w:lang w:val="en-US" w:eastAsia="zh-CN"/>
        </w:rPr>
        <w:t>着力</w:t>
      </w:r>
      <w:r>
        <w:rPr>
          <w:rFonts w:hint="eastAsia" w:ascii="Times New Roman" w:hAnsi="Times New Roman" w:eastAsia="仿宋_GB2312" w:cs="Times New Roman"/>
          <w:color w:val="000000"/>
          <w:sz w:val="32"/>
          <w:szCs w:val="32"/>
          <w:highlight w:val="none"/>
        </w:rPr>
        <w:t>推进</w:t>
      </w:r>
      <w:r>
        <w:rPr>
          <w:rFonts w:hint="eastAsia" w:ascii="Times New Roman" w:hAnsi="Times New Roman" w:eastAsia="仿宋_GB2312" w:cs="Times New Roman"/>
          <w:color w:val="000000"/>
          <w:sz w:val="32"/>
          <w:szCs w:val="32"/>
          <w:highlight w:val="none"/>
          <w:lang w:val="en-US" w:eastAsia="zh-CN"/>
        </w:rPr>
        <w:t>国家级</w:t>
      </w:r>
      <w:r>
        <w:rPr>
          <w:rFonts w:hint="eastAsia" w:ascii="Times New Roman" w:hAnsi="Times New Roman" w:eastAsia="仿宋_GB2312" w:cs="Times New Roman"/>
          <w:color w:val="000000"/>
          <w:sz w:val="32"/>
          <w:szCs w:val="32"/>
          <w:highlight w:val="none"/>
        </w:rPr>
        <w:t>生态示范区创建工作。对标</w:t>
      </w:r>
      <w:r>
        <w:rPr>
          <w:rFonts w:hint="eastAsia" w:ascii="Times New Roman" w:hAnsi="Times New Roman" w:eastAsia="仿宋_GB2312" w:cs="Times New Roman"/>
          <w:color w:val="000000"/>
          <w:sz w:val="32"/>
          <w:szCs w:val="32"/>
          <w:highlight w:val="none"/>
          <w:lang w:val="en-US" w:eastAsia="zh-CN"/>
        </w:rPr>
        <w:t>国家级</w:t>
      </w:r>
      <w:r>
        <w:rPr>
          <w:rFonts w:hint="eastAsia" w:ascii="Times New Roman" w:hAnsi="Times New Roman" w:eastAsia="仿宋_GB2312" w:cs="Times New Roman"/>
          <w:color w:val="000000"/>
          <w:sz w:val="32"/>
          <w:szCs w:val="32"/>
          <w:highlight w:val="none"/>
        </w:rPr>
        <w:t>生态文明建设示范区各项任务指标，协同技术材料组仔细审核各部门单位提供资料的指标完成情况，及时查缺补漏、补齐短板。大力开展污染防治法规、生态环境保护相关知识的宣传教育，引导企业组织和个人共同履行环境保护责任，在全社会牢固树立生态文明理念，形成全社会共同参与生态文明示范建设的良好氛围。</w:t>
      </w:r>
    </w:p>
    <w:p w14:paraId="5D5CF99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（二）着力推进蓝天、净土、碧水攻坚战。</w:t>
      </w:r>
      <w:r>
        <w:rPr>
          <w:rFonts w:hint="default" w:ascii="Times New Roman" w:hAnsi="Times New Roman" w:eastAsia="仿宋_GB2312" w:cs="Times New Roman"/>
          <w:color w:val="000000"/>
          <w:sz w:val="32"/>
          <w:szCs w:val="32"/>
          <w:highlight w:val="none"/>
          <w:lang w:val="en-US" w:eastAsia="zh-CN"/>
        </w:rPr>
        <w:t>一是打好“碧水”攻坚战。深入开展</w:t>
      </w:r>
      <w:r>
        <w:rPr>
          <w:rFonts w:hint="eastAsia" w:ascii="Times New Roman" w:hAnsi="Times New Roman" w:eastAsia="仿宋_GB2312" w:cs="Times New Roman"/>
          <w:color w:val="000000"/>
          <w:sz w:val="32"/>
          <w:szCs w:val="32"/>
          <w:highlight w:val="none"/>
          <w:lang w:val="en-US" w:eastAsia="zh-CN"/>
        </w:rPr>
        <w:t>排污口</w:t>
      </w:r>
      <w:r>
        <w:rPr>
          <w:rFonts w:hint="default" w:ascii="Times New Roman" w:hAnsi="Times New Roman" w:eastAsia="仿宋_GB2312" w:cs="Times New Roman"/>
          <w:color w:val="000000"/>
          <w:sz w:val="32"/>
          <w:szCs w:val="32"/>
          <w:highlight w:val="none"/>
          <w:lang w:val="en-US" w:eastAsia="zh-CN"/>
        </w:rPr>
        <w:t>整治工作，</w:t>
      </w:r>
      <w:r>
        <w:rPr>
          <w:rFonts w:hint="eastAsia" w:ascii="Times New Roman" w:hAnsi="Times New Roman" w:eastAsia="仿宋_GB2312" w:cs="Times New Roman"/>
          <w:color w:val="000000"/>
          <w:sz w:val="32"/>
          <w:szCs w:val="32"/>
          <w:highlight w:val="none"/>
          <w:lang w:val="en-US" w:eastAsia="zh-CN"/>
        </w:rPr>
        <w:t>续推动入河排污口排查整治相关工作。在力争2024年全面完成长江入河排污口和部分重点河湖排污口整治工作的前提下，做好2025年重点河湖入河排污口的整治、验收、销号工作。开展入河排污口全覆盖行动的后续工作</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同时</w:t>
      </w:r>
      <w:r>
        <w:rPr>
          <w:rFonts w:hint="default" w:ascii="Times New Roman" w:hAnsi="Times New Roman" w:eastAsia="仿宋_GB2312" w:cs="Times New Roman"/>
          <w:color w:val="000000"/>
          <w:sz w:val="32"/>
          <w:szCs w:val="32"/>
          <w:highlight w:val="none"/>
          <w:lang w:val="en-US" w:eastAsia="zh-CN"/>
        </w:rPr>
        <w:t>加强涉水企业监管，减少企业偷排废水的风险隐患。二是打好“蓝天”保卫战。全面加强工业企业、移动源和扬尘污染防治。加强企业异味精细化管控，推行“一企一策”模式，确保废气环境信访大幅下降、PM2.5浓度持续下降、空气优良天数比率持续上升。具体做好</w:t>
      </w:r>
      <w:r>
        <w:rPr>
          <w:rFonts w:hint="eastAsia"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lang w:val="en-US" w:eastAsia="zh-CN"/>
        </w:rPr>
        <w:t>方面工作：加强微环境治理，针对</w:t>
      </w:r>
      <w:r>
        <w:rPr>
          <w:rFonts w:hint="eastAsia" w:ascii="Times New Roman" w:hAnsi="Times New Roman" w:eastAsia="仿宋_GB2312" w:cs="Times New Roman"/>
          <w:color w:val="000000"/>
          <w:sz w:val="32"/>
          <w:szCs w:val="32"/>
          <w:highlight w:val="none"/>
          <w:lang w:val="en-US" w:eastAsia="zh-CN"/>
        </w:rPr>
        <w:t>南湖风景区</w:t>
      </w:r>
      <w:r>
        <w:rPr>
          <w:rFonts w:hint="default" w:ascii="Times New Roman" w:hAnsi="Times New Roman" w:eastAsia="仿宋_GB2312" w:cs="Times New Roman"/>
          <w:color w:val="000000"/>
          <w:sz w:val="32"/>
          <w:szCs w:val="32"/>
          <w:highlight w:val="none"/>
          <w:lang w:val="en-US" w:eastAsia="zh-CN"/>
        </w:rPr>
        <w:t>国控点位周边，在交通、餐饮、路面保洁、居民生活等方面，会同</w:t>
      </w:r>
      <w:r>
        <w:rPr>
          <w:rFonts w:hint="eastAsia" w:ascii="Times New Roman" w:hAnsi="Times New Roman" w:eastAsia="仿宋_GB2312" w:cs="Times New Roman"/>
          <w:color w:val="000000"/>
          <w:sz w:val="32"/>
          <w:szCs w:val="32"/>
          <w:highlight w:val="none"/>
          <w:lang w:val="en-US" w:eastAsia="zh-CN"/>
        </w:rPr>
        <w:t>环卫</w:t>
      </w:r>
      <w:r>
        <w:rPr>
          <w:rFonts w:hint="default" w:ascii="Times New Roman" w:hAnsi="Times New Roman" w:eastAsia="仿宋_GB2312" w:cs="Times New Roman"/>
          <w:color w:val="000000"/>
          <w:sz w:val="32"/>
          <w:szCs w:val="32"/>
          <w:highlight w:val="none"/>
          <w:lang w:val="en-US" w:eastAsia="zh-CN"/>
        </w:rPr>
        <w:t>、城管等部门进行综合防治，</w:t>
      </w:r>
      <w:r>
        <w:rPr>
          <w:rFonts w:hint="eastAsia" w:ascii="Times New Roman" w:hAnsi="Times New Roman" w:eastAsia="仿宋_GB2312" w:cs="Times New Roman"/>
          <w:color w:val="000000"/>
          <w:sz w:val="32"/>
          <w:szCs w:val="32"/>
          <w:highlight w:val="none"/>
          <w:lang w:val="en-US" w:eastAsia="zh-CN"/>
        </w:rPr>
        <w:t>对周边餐饮门店开展常态化巡查，在抑尘方面每天开展洒水降尘，</w:t>
      </w:r>
      <w:r>
        <w:rPr>
          <w:rFonts w:hint="default" w:ascii="Times New Roman" w:hAnsi="Times New Roman" w:eastAsia="仿宋_GB2312" w:cs="Times New Roman"/>
          <w:color w:val="000000"/>
          <w:sz w:val="32"/>
          <w:szCs w:val="32"/>
          <w:highlight w:val="none"/>
          <w:lang w:val="en-US" w:eastAsia="zh-CN"/>
        </w:rPr>
        <w:t>积极探索微环境改善措施。强化涉气企业监管，以包装印刷产业整治为模板，开展全区喷涂行业</w:t>
      </w:r>
      <w:r>
        <w:rPr>
          <w:rFonts w:hint="eastAsia" w:ascii="Times New Roman" w:hAnsi="Times New Roman" w:eastAsia="仿宋_GB2312" w:cs="Times New Roman"/>
          <w:color w:val="000000"/>
          <w:sz w:val="32"/>
          <w:szCs w:val="32"/>
          <w:highlight w:val="none"/>
          <w:lang w:val="en-US" w:eastAsia="zh-CN"/>
        </w:rPr>
        <w:t>集中</w:t>
      </w:r>
      <w:r>
        <w:rPr>
          <w:rFonts w:hint="default" w:ascii="Times New Roman" w:hAnsi="Times New Roman" w:eastAsia="仿宋_GB2312" w:cs="Times New Roman"/>
          <w:color w:val="000000"/>
          <w:sz w:val="32"/>
          <w:szCs w:val="32"/>
          <w:highlight w:val="none"/>
          <w:lang w:val="en-US" w:eastAsia="zh-CN"/>
        </w:rPr>
        <w:t>整治</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在全区范围内减少臭氧前置源。同时针对重点涉气企业实施“一企一策”整治，开展颗粒物排放大户的深度治理。</w:t>
      </w:r>
      <w:r>
        <w:rPr>
          <w:rFonts w:hint="eastAsia" w:ascii="Times New Roman" w:hAnsi="Times New Roman" w:eastAsia="仿宋_GB2312" w:cs="Times New Roman"/>
          <w:color w:val="000000"/>
          <w:sz w:val="32"/>
          <w:szCs w:val="32"/>
          <w:highlight w:val="none"/>
          <w:lang w:val="en-US" w:eastAsia="zh-CN"/>
        </w:rPr>
        <w:t>开展治本工作，针对南湖风景区站点已不能真实反映我市中心城区空气质量状况，更同时影响我市空气质量在全国排名，我局已开展站点搬迁工作前期比对及技术论证工作。</w:t>
      </w:r>
      <w:r>
        <w:rPr>
          <w:rFonts w:hint="default" w:ascii="Times New Roman" w:hAnsi="Times New Roman" w:eastAsia="仿宋_GB2312" w:cs="Times New Roman"/>
          <w:color w:val="000000"/>
          <w:sz w:val="32"/>
          <w:szCs w:val="32"/>
          <w:highlight w:val="none"/>
          <w:lang w:val="en-US" w:eastAsia="zh-CN"/>
        </w:rPr>
        <w:t>三是打好“净土”修复战。全面开展重点行业企业用地污染状况调查，组织开展重点区域和地块土壤污染检测修复，健全土壤污染防控体系。</w:t>
      </w:r>
      <w:r>
        <w:rPr>
          <w:rFonts w:hint="eastAsia" w:ascii="Times New Roman" w:hAnsi="Times New Roman" w:eastAsia="仿宋_GB2312" w:cs="Times New Roman"/>
          <w:color w:val="000000"/>
          <w:sz w:val="32"/>
          <w:szCs w:val="32"/>
          <w:highlight w:val="none"/>
          <w:lang w:val="en-US" w:eastAsia="zh-CN"/>
        </w:rPr>
        <w:t>对接市局加快对际华3517地块治理，争取今年12月15日前完成。</w:t>
      </w:r>
    </w:p>
    <w:p w14:paraId="471A270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三）着力推进上级环保督察反馈问题整改。严格对照中央、省环保督察反馈问题清单，紧盯时间节点，督促相关部门落实整改措施，确保按期保质销号，强化督察督办，积极配合区委、区政府督查室、区洞庭清波办开展督导检查，坚决杜绝敷衍整改、虚假整改等情况发生。强化工作统筹，加大攻坚力度，以常态化的调度机制全力抓好问题整改，确保各项整改任务按时序推进并如期销号。</w:t>
      </w:r>
    </w:p>
    <w:p w14:paraId="041AD56A">
      <w:pPr>
        <w:widowControl w:val="0"/>
        <w:spacing w:after="120"/>
        <w:ind w:firstLine="210" w:firstLineChars="100"/>
        <w:jc w:val="both"/>
        <w:textAlignment w:val="baseline"/>
        <w:rPr>
          <w:rFonts w:ascii="Calibri" w:hAnsi="Calibri" w:eastAsia="宋体" w:cs="Times New Roman"/>
          <w:kern w:val="2"/>
          <w:sz w:val="21"/>
          <w:szCs w:val="24"/>
          <w:lang w:val="en-US" w:eastAsia="zh-CN" w:bidi="ar-SA"/>
        </w:rPr>
      </w:pPr>
    </w:p>
    <w:p w14:paraId="5AC7B408">
      <w:pPr>
        <w:pStyle w:val="2"/>
        <w:rPr>
          <w:rFonts w:hint="default"/>
        </w:rPr>
      </w:pPr>
    </w:p>
    <w:p w14:paraId="027046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118030C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2BD6757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109C95B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A9BF9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159B5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1A13EA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B7611D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2B6582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030041BE">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7825C105">
      <w:pPr>
        <w:spacing w:before="313" w:beforeLines="10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14:paraId="352924C5">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EB7B68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248FF68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28997F8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6BB4FF9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80A8B7E">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261779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5274941B">
            <w:pPr>
              <w:spacing w:line="300" w:lineRule="exact"/>
              <w:jc w:val="center"/>
              <w:rPr>
                <w:rFonts w:hint="default" w:ascii="Times New Roman" w:hAnsi="Times New Roman" w:eastAsia="仿宋_GB2312" w:cs="Times New Roman"/>
                <w:sz w:val="20"/>
                <w:szCs w:val="20"/>
                <w:highlight w:val="none"/>
              </w:rPr>
            </w:pPr>
          </w:p>
          <w:p w14:paraId="3D32490B">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246B79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6D873D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84AD73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2002D7F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6BD6751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00CA3F8E">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14:paraId="4E5265A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3315C1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ED6016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208A6AD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00B157D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B2455A1">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14:paraId="06191BB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558BED1B">
            <w:pPr>
              <w:spacing w:line="300" w:lineRule="exact"/>
              <w:jc w:val="center"/>
              <w:rPr>
                <w:rFonts w:hint="default" w:ascii="Times New Roman" w:hAnsi="Times New Roman" w:eastAsia="仿宋_GB2312" w:cs="Times New Roman"/>
                <w:sz w:val="20"/>
                <w:szCs w:val="20"/>
                <w:highlight w:val="none"/>
              </w:rPr>
            </w:pPr>
          </w:p>
          <w:p w14:paraId="5C52351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5FF24BC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F13458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60CA2835">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0782047C">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23EEC642">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82AC61E">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F6A3F9F">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26C5EE2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059C639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03CA837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11E0F6F1">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725D391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4C7E1F4E">
            <w:pPr>
              <w:spacing w:line="300" w:lineRule="exact"/>
              <w:jc w:val="center"/>
              <w:rPr>
                <w:rFonts w:hint="default" w:ascii="Times New Roman" w:hAnsi="Times New Roman" w:eastAsia="仿宋_GB2312" w:cs="Times New Roman"/>
                <w:sz w:val="20"/>
                <w:szCs w:val="20"/>
                <w:highlight w:val="none"/>
              </w:rPr>
            </w:pPr>
          </w:p>
          <w:p w14:paraId="7390FB3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11622F0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71555F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2BAED1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331085E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2BB7D507">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5E53D6D">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741FD18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2E38C26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0B81CE6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3DFB04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6B42F99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DB5EA0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B36374C">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F6D033B">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383D49B">
            <w:pPr>
              <w:jc w:val="center"/>
              <w:rPr>
                <w:rFonts w:hint="default" w:ascii="Times New Roman" w:hAnsi="Times New Roman" w:eastAsia="宋体" w:cs="Times New Roman"/>
                <w:highlight w:val="none"/>
              </w:rPr>
            </w:pPr>
          </w:p>
          <w:p w14:paraId="1113F09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1E2C81B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CF9838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75849F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46A43BF">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971EC7C">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5506EA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50F906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1821BA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5E13565F">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833D79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71E851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31E9DCD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1055BACE">
      <w:pPr>
        <w:spacing w:line="20" w:lineRule="exact"/>
        <w:ind w:firstLine="0"/>
        <w:jc w:val="left"/>
        <w:rPr>
          <w:rFonts w:ascii="仿宋_GB2312" w:eastAsia="仿宋_GB2312" w:cs="Times New Roman"/>
          <w:sz w:val="32"/>
          <w:szCs w:val="32"/>
        </w:rPr>
      </w:pPr>
    </w:p>
    <w:p w14:paraId="42C2FA3A"/>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5C34">
    <w:pPr>
      <w:pStyle w:val="3"/>
      <w:framePr w:wrap="around" w:vAnchor="text" w:hAnchor="margin" w:xAlign="outside" w:y="1"/>
      <w:rPr>
        <w:rStyle w:val="6"/>
        <w:rFonts w:eastAsia="宋体" w:cs="Times New Roman"/>
        <w:sz w:val="24"/>
        <w:szCs w:val="24"/>
      </w:rPr>
    </w:pPr>
    <w:r>
      <w:rPr>
        <w:rStyle w:val="6"/>
        <w:rFonts w:hint="eastAsia" w:eastAsia="宋体" w:cs="Times New Roman"/>
        <w:kern w:val="2"/>
        <w:sz w:val="24"/>
        <w:szCs w:val="24"/>
      </w:rPr>
      <w:t xml:space="preserve">— </w:t>
    </w:r>
    <w:r>
      <w:rPr>
        <w:rFonts w:eastAsia="宋体" w:cs="Times New Roman"/>
        <w:sz w:val="24"/>
        <w:szCs w:val="24"/>
      </w:rPr>
      <w:fldChar w:fldCharType="begin"/>
    </w:r>
    <w:r>
      <w:rPr>
        <w:rStyle w:val="6"/>
        <w:rFonts w:eastAsia="宋体" w:cs="Times New Roman"/>
        <w:kern w:val="2"/>
        <w:sz w:val="24"/>
        <w:szCs w:val="24"/>
      </w:rPr>
      <w:instrText xml:space="preserve">PAGE  </w:instrText>
    </w:r>
    <w:r>
      <w:rPr>
        <w:rFonts w:eastAsia="宋体" w:cs="Times New Roman"/>
        <w:sz w:val="24"/>
        <w:szCs w:val="24"/>
      </w:rPr>
      <w:fldChar w:fldCharType="separate"/>
    </w:r>
    <w:r>
      <w:rPr>
        <w:rStyle w:val="6"/>
        <w:rFonts w:eastAsia="宋体" w:cs="Times New Roman"/>
        <w:kern w:val="2"/>
        <w:sz w:val="24"/>
        <w:szCs w:val="24"/>
      </w:rPr>
      <w:t>1</w:t>
    </w:r>
    <w:r>
      <w:rPr>
        <w:rFonts w:eastAsia="宋体" w:cs="Times New Roman"/>
        <w:sz w:val="24"/>
        <w:szCs w:val="24"/>
      </w:rPr>
      <w:fldChar w:fldCharType="end"/>
    </w:r>
    <w:r>
      <w:rPr>
        <w:rStyle w:val="6"/>
        <w:rFonts w:hint="eastAsia" w:eastAsia="宋体" w:cs="Times New Roman"/>
        <w:kern w:val="2"/>
        <w:sz w:val="24"/>
        <w:szCs w:val="24"/>
      </w:rPr>
      <w:t xml:space="preserve"> —</w:t>
    </w:r>
  </w:p>
  <w:p w14:paraId="0D216405">
    <w:pPr>
      <w:pStyle w:val="3"/>
      <w:ind w:right="360" w:firstLine="360"/>
      <w:rPr>
        <w:rFonts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5F89">
    <w:pPr>
      <w:pStyle w:val="3"/>
      <w:framePr w:wrap="around" w:vAnchor="text" w:hAnchor="margin" w:xAlign="outside" w:y="1"/>
      <w:rPr>
        <w:rStyle w:val="6"/>
        <w:rFonts w:eastAsia="宋体" w:cs="Times New Roman"/>
      </w:rPr>
    </w:pPr>
    <w:r>
      <w:rPr>
        <w:rFonts w:eastAsia="宋体" w:cs="Times New Roman"/>
      </w:rPr>
      <w:fldChar w:fldCharType="begin"/>
    </w:r>
    <w:r>
      <w:rPr>
        <w:rStyle w:val="6"/>
        <w:rFonts w:eastAsia="宋体" w:cs="Times New Roman"/>
        <w:kern w:val="2"/>
        <w:sz w:val="21"/>
        <w:szCs w:val="24"/>
      </w:rPr>
      <w:instrText xml:space="preserve">PAGE  </w:instrText>
    </w:r>
    <w:r>
      <w:rPr>
        <w:rFonts w:eastAsia="宋体" w:cs="Times New Roman"/>
      </w:rPr>
      <w:fldChar w:fldCharType="end"/>
    </w:r>
  </w:p>
  <w:p w14:paraId="2CE8E564">
    <w:pPr>
      <w:pStyle w:val="3"/>
      <w:ind w:right="360" w:firstLine="360"/>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6EE3A"/>
    <w:multiLevelType w:val="singleLevel"/>
    <w:tmpl w:val="9986EE3A"/>
    <w:lvl w:ilvl="0" w:tentative="0">
      <w:start w:val="1"/>
      <w:numFmt w:val="chineseCounting"/>
      <w:suff w:val="nothing"/>
      <w:lvlText w:val="%1、"/>
      <w:lvlJc w:val="left"/>
      <w:rPr>
        <w:rFonts w:hint="eastAsia"/>
      </w:rPr>
    </w:lvl>
  </w:abstractNum>
  <w:abstractNum w:abstractNumId="1">
    <w:nsid w:val="258855DE"/>
    <w:multiLevelType w:val="singleLevel"/>
    <w:tmpl w:val="258855DE"/>
    <w:lvl w:ilvl="0" w:tentative="0">
      <w:start w:val="2"/>
      <w:numFmt w:val="chineseCounting"/>
      <w:suff w:val="nothing"/>
      <w:lvlText w:val="（%1）"/>
      <w:lvlJc w:val="left"/>
      <w:rPr>
        <w:rFonts w:hint="eastAsia"/>
      </w:rPr>
    </w:lvl>
  </w:abstractNum>
  <w:abstractNum w:abstractNumId="2">
    <w:nsid w:val="472DDDE8"/>
    <w:multiLevelType w:val="singleLevel"/>
    <w:tmpl w:val="472DDDE8"/>
    <w:lvl w:ilvl="0" w:tentative="0">
      <w:start w:val="4"/>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57B47"/>
    <w:rsid w:val="00481283"/>
    <w:rsid w:val="0E321624"/>
    <w:rsid w:val="14080AAF"/>
    <w:rsid w:val="1C1E7F2D"/>
    <w:rsid w:val="26541E80"/>
    <w:rsid w:val="2D947006"/>
    <w:rsid w:val="2DBC426D"/>
    <w:rsid w:val="2EDA2117"/>
    <w:rsid w:val="33151970"/>
    <w:rsid w:val="345F515F"/>
    <w:rsid w:val="3767417F"/>
    <w:rsid w:val="46457B47"/>
    <w:rsid w:val="48953389"/>
    <w:rsid w:val="4BED2AE8"/>
    <w:rsid w:val="4EB104B0"/>
    <w:rsid w:val="6A7E25F5"/>
    <w:rsid w:val="6E274D51"/>
    <w:rsid w:val="6E313E22"/>
    <w:rsid w:val="79FF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character" w:styleId="6">
    <w:name w:val="page number"/>
    <w:qFormat/>
    <w:uiPriority w:val="0"/>
  </w:style>
  <w:style w:type="paragraph" w:styleId="7">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1108</Words>
  <Characters>1336</Characters>
  <Lines>0</Lines>
  <Paragraphs>0</Paragraphs>
  <TotalTime>14</TotalTime>
  <ScaleCrop>false</ScaleCrop>
  <LinksUpToDate>false</LinksUpToDate>
  <CharactersWithSpaces>1486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2025-06-09T10:23:00Z</dcterms:created>
  <dc:creator>严碧琪</dc:creator>
  <cp:lastModifiedBy>严碧琪</cp:lastModifiedBy>
  <dcterms:modified xsi:type="dcterms:W3CDTF">2025-06-20T02:56:18Z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8008C3C34B8046F59A4D47E020869A12_11</vt:lpwstr>
  </property>
  <property fmtid="{D5CDD505-2E9C-101B-9397-08002B2CF9AE}" pid="4" name="KSOTemplateDocerSaveRecord">
    <vt:lpwstr>eyJoZGlkIjoiNjgxZmIyZGM1NjlmYzFmNTczZGVkNWYyNWIwMGFjMmUiLCJ1c2VySWQiOiIyOTMyNjEyNDMifQ==</vt:lpwstr>
  </property>
</Properties>
</file>