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5742B">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5410AED">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31FD6A2">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C9785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1BD32B7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FCA106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7981F1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0A37521B">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32F3195">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782140D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85</w:t>
            </w:r>
          </w:p>
        </w:tc>
        <w:tc>
          <w:tcPr>
            <w:tcW w:w="2240" w:type="dxa"/>
            <w:gridSpan w:val="2"/>
            <w:tcBorders>
              <w:top w:val="single" w:color="auto" w:sz="4" w:space="0"/>
              <w:left w:val="nil"/>
              <w:bottom w:val="single" w:color="auto" w:sz="4" w:space="0"/>
              <w:right w:val="single" w:color="auto" w:sz="4" w:space="0"/>
            </w:tcBorders>
            <w:noWrap w:val="0"/>
            <w:vAlign w:val="center"/>
          </w:tcPr>
          <w:p w14:paraId="44FC68D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083465B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100.00%</w:t>
            </w:r>
            <w:r>
              <w:rPr>
                <w:rFonts w:hint="eastAsia" w:ascii="仿宋_GB2312" w:hAnsi="仿宋_GB2312" w:eastAsia="仿宋_GB2312" w:cs="仿宋_GB2312"/>
                <w:sz w:val="20"/>
                <w:szCs w:val="20"/>
                <w:highlight w:val="none"/>
              </w:rPr>
              <w:t>　</w:t>
            </w:r>
          </w:p>
        </w:tc>
      </w:tr>
      <w:tr w14:paraId="4CBE8E0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16AF4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4E32F92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eastAsia="zh-CN"/>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lang w:eastAsia="zh-CN"/>
              </w:rPr>
              <w:t>年</w:t>
            </w:r>
            <w:r>
              <w:rPr>
                <w:rFonts w:hint="eastAsia" w:ascii="仿宋_GB2312" w:hAnsi="仿宋_GB2312" w:eastAsia="仿宋_GB2312" w:cs="仿宋_GB2312"/>
                <w:b/>
                <w:bCs/>
                <w:sz w:val="20"/>
                <w:szCs w:val="20"/>
                <w:highlight w:val="none"/>
              </w:rPr>
              <w:t>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AC800F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C877DC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63052AB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479DE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61EAA62">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11.85</w:t>
            </w:r>
          </w:p>
        </w:tc>
        <w:tc>
          <w:tcPr>
            <w:tcW w:w="2240" w:type="dxa"/>
            <w:gridSpan w:val="2"/>
            <w:tcBorders>
              <w:top w:val="single" w:color="auto" w:sz="4" w:space="0"/>
              <w:left w:val="nil"/>
              <w:bottom w:val="single" w:color="auto" w:sz="4" w:space="0"/>
              <w:right w:val="single" w:color="000000" w:sz="4" w:space="0"/>
            </w:tcBorders>
            <w:noWrap w:val="0"/>
            <w:vAlign w:val="center"/>
          </w:tcPr>
          <w:p w14:paraId="09E3837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14.00</w:t>
            </w:r>
          </w:p>
        </w:tc>
        <w:tc>
          <w:tcPr>
            <w:tcW w:w="2041" w:type="dxa"/>
            <w:gridSpan w:val="2"/>
            <w:tcBorders>
              <w:top w:val="single" w:color="auto" w:sz="4" w:space="0"/>
              <w:left w:val="nil"/>
              <w:bottom w:val="single" w:color="auto" w:sz="4" w:space="0"/>
              <w:right w:val="single" w:color="000000" w:sz="4" w:space="0"/>
            </w:tcBorders>
            <w:noWrap w:val="0"/>
            <w:vAlign w:val="center"/>
          </w:tcPr>
          <w:p w14:paraId="352942D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7.68</w:t>
            </w:r>
          </w:p>
        </w:tc>
      </w:tr>
      <w:tr w14:paraId="3F5F8FB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D5CD8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5620D521">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8.62</w:t>
            </w:r>
          </w:p>
        </w:tc>
        <w:tc>
          <w:tcPr>
            <w:tcW w:w="2240" w:type="dxa"/>
            <w:gridSpan w:val="2"/>
            <w:tcBorders>
              <w:top w:val="single" w:color="auto" w:sz="4" w:space="0"/>
              <w:left w:val="nil"/>
              <w:bottom w:val="single" w:color="auto" w:sz="4" w:space="0"/>
              <w:right w:val="single" w:color="000000" w:sz="4" w:space="0"/>
            </w:tcBorders>
            <w:noWrap w:val="0"/>
            <w:vAlign w:val="center"/>
          </w:tcPr>
          <w:p w14:paraId="7A50EAA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9.00</w:t>
            </w:r>
          </w:p>
        </w:tc>
        <w:tc>
          <w:tcPr>
            <w:tcW w:w="2041" w:type="dxa"/>
            <w:gridSpan w:val="2"/>
            <w:tcBorders>
              <w:top w:val="single" w:color="auto" w:sz="4" w:space="0"/>
              <w:left w:val="nil"/>
              <w:bottom w:val="single" w:color="auto" w:sz="4" w:space="0"/>
              <w:right w:val="single" w:color="000000" w:sz="4" w:space="0"/>
            </w:tcBorders>
            <w:noWrap w:val="0"/>
            <w:vAlign w:val="center"/>
          </w:tcPr>
          <w:p w14:paraId="2E8844F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5.82</w:t>
            </w:r>
          </w:p>
        </w:tc>
      </w:tr>
      <w:tr w14:paraId="049414B9">
        <w:tblPrEx>
          <w:tblCellMar>
            <w:top w:w="0" w:type="dxa"/>
            <w:left w:w="108" w:type="dxa"/>
            <w:bottom w:w="0" w:type="dxa"/>
            <w:right w:w="108" w:type="dxa"/>
          </w:tblCellMar>
        </w:tblPrEx>
        <w:trPr>
          <w:trHeight w:val="37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6CA280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1867F96">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59B577E0">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49427A5">
            <w:pPr>
              <w:widowControl/>
              <w:spacing w:line="360" w:lineRule="exact"/>
              <w:jc w:val="center"/>
              <w:rPr>
                <w:rFonts w:hint="eastAsia" w:ascii="仿宋_GB2312" w:hAnsi="仿宋_GB2312" w:eastAsia="仿宋_GB2312" w:cs="仿宋_GB2312"/>
                <w:sz w:val="20"/>
                <w:szCs w:val="20"/>
                <w:highlight w:val="none"/>
              </w:rPr>
            </w:pPr>
          </w:p>
        </w:tc>
      </w:tr>
      <w:tr w14:paraId="2960677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B3223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FDB7896">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8.62</w:t>
            </w:r>
          </w:p>
        </w:tc>
        <w:tc>
          <w:tcPr>
            <w:tcW w:w="2240" w:type="dxa"/>
            <w:gridSpan w:val="2"/>
            <w:tcBorders>
              <w:top w:val="single" w:color="auto" w:sz="4" w:space="0"/>
              <w:left w:val="nil"/>
              <w:bottom w:val="single" w:color="auto" w:sz="4" w:space="0"/>
              <w:right w:val="single" w:color="000000" w:sz="4" w:space="0"/>
            </w:tcBorders>
            <w:noWrap w:val="0"/>
            <w:vAlign w:val="center"/>
          </w:tcPr>
          <w:p w14:paraId="25869CC9">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9.00</w:t>
            </w:r>
          </w:p>
        </w:tc>
        <w:tc>
          <w:tcPr>
            <w:tcW w:w="2041" w:type="dxa"/>
            <w:gridSpan w:val="2"/>
            <w:tcBorders>
              <w:top w:val="single" w:color="auto" w:sz="4" w:space="0"/>
              <w:left w:val="nil"/>
              <w:bottom w:val="single" w:color="auto" w:sz="4" w:space="0"/>
              <w:right w:val="single" w:color="000000" w:sz="4" w:space="0"/>
            </w:tcBorders>
            <w:noWrap w:val="0"/>
            <w:vAlign w:val="center"/>
          </w:tcPr>
          <w:p w14:paraId="36D61EC0">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5.82</w:t>
            </w:r>
          </w:p>
        </w:tc>
      </w:tr>
      <w:tr w14:paraId="5411B3D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EFA51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677CB96">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02F2FC21">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67924DB">
            <w:pPr>
              <w:widowControl/>
              <w:spacing w:line="360" w:lineRule="exact"/>
              <w:jc w:val="center"/>
              <w:rPr>
                <w:rFonts w:hint="eastAsia" w:ascii="仿宋_GB2312" w:hAnsi="仿宋_GB2312" w:eastAsia="仿宋_GB2312" w:cs="仿宋_GB2312"/>
                <w:sz w:val="20"/>
                <w:szCs w:val="20"/>
                <w:highlight w:val="none"/>
              </w:rPr>
            </w:pPr>
          </w:p>
        </w:tc>
      </w:tr>
      <w:tr w14:paraId="03D751B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E504C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16FC8B3">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3.23</w:t>
            </w:r>
          </w:p>
        </w:tc>
        <w:tc>
          <w:tcPr>
            <w:tcW w:w="2240" w:type="dxa"/>
            <w:gridSpan w:val="2"/>
            <w:tcBorders>
              <w:top w:val="single" w:color="auto" w:sz="4" w:space="0"/>
              <w:left w:val="nil"/>
              <w:bottom w:val="single" w:color="auto" w:sz="4" w:space="0"/>
              <w:right w:val="single" w:color="000000" w:sz="4" w:space="0"/>
            </w:tcBorders>
            <w:noWrap w:val="0"/>
            <w:vAlign w:val="center"/>
          </w:tcPr>
          <w:p w14:paraId="51BC9C9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5.00</w:t>
            </w:r>
          </w:p>
        </w:tc>
        <w:tc>
          <w:tcPr>
            <w:tcW w:w="2041" w:type="dxa"/>
            <w:gridSpan w:val="2"/>
            <w:tcBorders>
              <w:top w:val="single" w:color="auto" w:sz="4" w:space="0"/>
              <w:left w:val="nil"/>
              <w:bottom w:val="single" w:color="auto" w:sz="4" w:space="0"/>
              <w:right w:val="single" w:color="000000" w:sz="4" w:space="0"/>
            </w:tcBorders>
            <w:noWrap w:val="0"/>
            <w:vAlign w:val="center"/>
          </w:tcPr>
          <w:p w14:paraId="0E1F466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1.86</w:t>
            </w:r>
          </w:p>
        </w:tc>
      </w:tr>
      <w:tr w14:paraId="17A7ADC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C0F22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5CC0A26">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1754.01</w:t>
            </w:r>
          </w:p>
        </w:tc>
        <w:tc>
          <w:tcPr>
            <w:tcW w:w="2240" w:type="dxa"/>
            <w:gridSpan w:val="2"/>
            <w:tcBorders>
              <w:top w:val="single" w:color="auto" w:sz="4" w:space="0"/>
              <w:left w:val="nil"/>
              <w:bottom w:val="single" w:color="auto" w:sz="4" w:space="0"/>
              <w:right w:val="single" w:color="000000" w:sz="4" w:space="0"/>
            </w:tcBorders>
            <w:noWrap w:val="0"/>
            <w:vAlign w:val="center"/>
          </w:tcPr>
          <w:p w14:paraId="202DC36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227.68</w:t>
            </w:r>
          </w:p>
        </w:tc>
        <w:tc>
          <w:tcPr>
            <w:tcW w:w="2041" w:type="dxa"/>
            <w:gridSpan w:val="2"/>
            <w:tcBorders>
              <w:top w:val="single" w:color="auto" w:sz="4" w:space="0"/>
              <w:left w:val="nil"/>
              <w:bottom w:val="single" w:color="auto" w:sz="4" w:space="0"/>
              <w:right w:val="single" w:color="000000" w:sz="4" w:space="0"/>
            </w:tcBorders>
            <w:noWrap w:val="0"/>
            <w:vAlign w:val="center"/>
          </w:tcPr>
          <w:p w14:paraId="1D0960A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980.94</w:t>
            </w:r>
          </w:p>
        </w:tc>
      </w:tr>
      <w:tr w14:paraId="003E7B4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1E31786">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1、</w:t>
            </w:r>
            <w:r>
              <w:rPr>
                <w:rFonts w:hint="eastAsia" w:ascii="仿宋_GB2312" w:hAnsi="仿宋_GB2312" w:eastAsia="仿宋_GB2312" w:cs="仿宋_GB2312"/>
                <w:sz w:val="20"/>
                <w:szCs w:val="20"/>
                <w:highlight w:val="none"/>
                <w:lang w:val="en-US" w:eastAsia="zh-CN"/>
              </w:rPr>
              <w:t>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F66953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E716EF5">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1CB7D91">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4388721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3D8030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B9B8C9D">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9886949">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3685113">
            <w:pPr>
              <w:widowControl/>
              <w:spacing w:line="360" w:lineRule="exact"/>
              <w:jc w:val="center"/>
              <w:rPr>
                <w:rFonts w:hint="eastAsia" w:ascii="仿宋_GB2312" w:hAnsi="仿宋_GB2312" w:eastAsia="仿宋_GB2312" w:cs="仿宋_GB2312"/>
                <w:sz w:val="20"/>
                <w:szCs w:val="20"/>
                <w:highlight w:val="none"/>
                <w:lang w:val="en-US" w:eastAsia="zh-CN"/>
              </w:rPr>
            </w:pPr>
          </w:p>
        </w:tc>
      </w:tr>
      <w:tr w14:paraId="110CB27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40AC2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3、专项资金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47D6851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1754.01</w:t>
            </w:r>
          </w:p>
        </w:tc>
        <w:tc>
          <w:tcPr>
            <w:tcW w:w="2240" w:type="dxa"/>
            <w:gridSpan w:val="2"/>
            <w:tcBorders>
              <w:top w:val="single" w:color="auto" w:sz="4" w:space="0"/>
              <w:left w:val="nil"/>
              <w:bottom w:val="single" w:color="auto" w:sz="4" w:space="0"/>
              <w:right w:val="single" w:color="000000" w:sz="4" w:space="0"/>
            </w:tcBorders>
            <w:noWrap w:val="0"/>
            <w:vAlign w:val="center"/>
          </w:tcPr>
          <w:p w14:paraId="5F62506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227.68</w:t>
            </w:r>
          </w:p>
        </w:tc>
        <w:tc>
          <w:tcPr>
            <w:tcW w:w="2041" w:type="dxa"/>
            <w:gridSpan w:val="2"/>
            <w:tcBorders>
              <w:top w:val="single" w:color="auto" w:sz="4" w:space="0"/>
              <w:left w:val="nil"/>
              <w:bottom w:val="single" w:color="auto" w:sz="4" w:space="0"/>
              <w:right w:val="single" w:color="000000" w:sz="4" w:space="0"/>
            </w:tcBorders>
            <w:noWrap w:val="0"/>
            <w:vAlign w:val="center"/>
          </w:tcPr>
          <w:p w14:paraId="4BF2799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980.94</w:t>
            </w:r>
          </w:p>
        </w:tc>
      </w:tr>
      <w:tr w14:paraId="4888C40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13D4AFE">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办案费支出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C885DF9">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12.73</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4E530DA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11.00</w:t>
            </w:r>
          </w:p>
        </w:tc>
        <w:tc>
          <w:tcPr>
            <w:tcW w:w="2041" w:type="dxa"/>
            <w:gridSpan w:val="2"/>
            <w:tcBorders>
              <w:top w:val="single" w:color="auto" w:sz="4" w:space="0"/>
              <w:left w:val="nil"/>
              <w:bottom w:val="single" w:color="auto" w:sz="4" w:space="0"/>
              <w:right w:val="single" w:color="000000" w:sz="4" w:space="0"/>
            </w:tcBorders>
            <w:noWrap w:val="0"/>
            <w:vAlign w:val="center"/>
          </w:tcPr>
          <w:p w14:paraId="5EF6203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53.75</w:t>
            </w:r>
          </w:p>
        </w:tc>
      </w:tr>
      <w:tr w14:paraId="708640C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B03B6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环境监测、监控及监察能力建设</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F15CBC4">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126.89</w:t>
            </w:r>
          </w:p>
        </w:tc>
        <w:tc>
          <w:tcPr>
            <w:tcW w:w="2240" w:type="dxa"/>
            <w:gridSpan w:val="2"/>
            <w:tcBorders>
              <w:top w:val="single" w:color="auto" w:sz="4" w:space="0"/>
              <w:left w:val="nil"/>
              <w:bottom w:val="single" w:color="auto" w:sz="4" w:space="0"/>
              <w:right w:val="single" w:color="000000" w:sz="4" w:space="0"/>
            </w:tcBorders>
            <w:noWrap w:val="0"/>
            <w:vAlign w:val="center"/>
          </w:tcPr>
          <w:p w14:paraId="79BC884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66.00</w:t>
            </w:r>
          </w:p>
        </w:tc>
        <w:tc>
          <w:tcPr>
            <w:tcW w:w="2041" w:type="dxa"/>
            <w:gridSpan w:val="2"/>
            <w:tcBorders>
              <w:top w:val="single" w:color="auto" w:sz="4" w:space="0"/>
              <w:left w:val="nil"/>
              <w:bottom w:val="single" w:color="auto" w:sz="4" w:space="0"/>
              <w:right w:val="single" w:color="000000" w:sz="4" w:space="0"/>
            </w:tcBorders>
            <w:noWrap w:val="0"/>
            <w:vAlign w:val="center"/>
          </w:tcPr>
          <w:p w14:paraId="17D766C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64.86</w:t>
            </w:r>
          </w:p>
        </w:tc>
      </w:tr>
      <w:tr w14:paraId="3DCE94A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DE032E">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环境监察、监测等运行经费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3802751">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50.46</w:t>
            </w:r>
          </w:p>
        </w:tc>
        <w:tc>
          <w:tcPr>
            <w:tcW w:w="2240" w:type="dxa"/>
            <w:gridSpan w:val="2"/>
            <w:tcBorders>
              <w:top w:val="single" w:color="auto" w:sz="4" w:space="0"/>
              <w:left w:val="nil"/>
              <w:bottom w:val="single" w:color="auto" w:sz="4" w:space="0"/>
              <w:right w:val="single" w:color="000000" w:sz="4" w:space="0"/>
            </w:tcBorders>
            <w:noWrap w:val="0"/>
            <w:vAlign w:val="center"/>
          </w:tcPr>
          <w:p w14:paraId="584A6ED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150.68</w:t>
            </w:r>
          </w:p>
        </w:tc>
        <w:tc>
          <w:tcPr>
            <w:tcW w:w="2041" w:type="dxa"/>
            <w:gridSpan w:val="2"/>
            <w:tcBorders>
              <w:top w:val="single" w:color="auto" w:sz="4" w:space="0"/>
              <w:left w:val="nil"/>
              <w:bottom w:val="single" w:color="auto" w:sz="4" w:space="0"/>
              <w:right w:val="single" w:color="000000" w:sz="4" w:space="0"/>
            </w:tcBorders>
            <w:noWrap w:val="0"/>
            <w:vAlign w:val="center"/>
          </w:tcPr>
          <w:p w14:paraId="60FEFCB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130.56</w:t>
            </w:r>
          </w:p>
        </w:tc>
      </w:tr>
      <w:tr w14:paraId="3A530A4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34E9C5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eastAsia="zh-CN"/>
              </w:rPr>
              <w:t>业务工作</w:t>
            </w:r>
            <w:r>
              <w:rPr>
                <w:rFonts w:hint="eastAsia" w:ascii="仿宋_GB2312" w:hAnsi="仿宋_GB2312" w:eastAsia="仿宋_GB2312" w:cs="仿宋_GB2312"/>
                <w:sz w:val="20"/>
                <w:szCs w:val="20"/>
                <w:highlight w:val="none"/>
              </w:rPr>
              <w:t>专项</w:t>
            </w:r>
            <w:r>
              <w:rPr>
                <w:rFonts w:hint="eastAsia" w:ascii="仿宋_GB2312" w:hAnsi="仿宋_GB2312" w:eastAsia="仿宋_GB2312" w:cs="仿宋_GB2312"/>
                <w:sz w:val="20"/>
                <w:szCs w:val="20"/>
                <w:highlight w:val="none"/>
                <w:lang w:eastAsia="zh-CN"/>
              </w:rPr>
              <w:t>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65F3046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1563.93</w:t>
            </w:r>
          </w:p>
        </w:tc>
        <w:tc>
          <w:tcPr>
            <w:tcW w:w="2240" w:type="dxa"/>
            <w:gridSpan w:val="2"/>
            <w:tcBorders>
              <w:top w:val="single" w:color="auto" w:sz="4" w:space="0"/>
              <w:left w:val="nil"/>
              <w:bottom w:val="single" w:color="auto" w:sz="4" w:space="0"/>
              <w:right w:val="single" w:color="000000" w:sz="4" w:space="0"/>
            </w:tcBorders>
            <w:noWrap w:val="0"/>
            <w:vAlign w:val="center"/>
          </w:tcPr>
          <w:p w14:paraId="2CF0D4C2">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EAE8C8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731.77</w:t>
            </w:r>
          </w:p>
        </w:tc>
      </w:tr>
      <w:tr w14:paraId="5E414B6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4085CE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08F14E0">
            <w:pPr>
              <w:widowControl/>
              <w:spacing w:line="360" w:lineRule="exact"/>
              <w:jc w:val="center"/>
              <w:rPr>
                <w:rFonts w:hint="default"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261</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0"/>
                <w:szCs w:val="20"/>
                <w:highlight w:val="none"/>
                <w14:textFill>
                  <w14:solidFill>
                    <w14:schemeClr w14:val="tx1"/>
                  </w14:solidFill>
                </w14:textFill>
              </w:rPr>
              <w:t>54</w:t>
            </w:r>
          </w:p>
        </w:tc>
        <w:tc>
          <w:tcPr>
            <w:tcW w:w="2240" w:type="dxa"/>
            <w:gridSpan w:val="2"/>
            <w:tcBorders>
              <w:top w:val="single" w:color="auto" w:sz="4" w:space="0"/>
              <w:left w:val="nil"/>
              <w:bottom w:val="single" w:color="auto" w:sz="4" w:space="0"/>
              <w:right w:val="single" w:color="000000" w:sz="4" w:space="0"/>
            </w:tcBorders>
            <w:noWrap w:val="0"/>
            <w:vAlign w:val="center"/>
          </w:tcPr>
          <w:p w14:paraId="02C3C2A7">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239.05</w:t>
            </w:r>
          </w:p>
        </w:tc>
        <w:tc>
          <w:tcPr>
            <w:tcW w:w="2041" w:type="dxa"/>
            <w:gridSpan w:val="2"/>
            <w:tcBorders>
              <w:top w:val="single" w:color="auto" w:sz="4" w:space="0"/>
              <w:left w:val="nil"/>
              <w:bottom w:val="single" w:color="auto" w:sz="4" w:space="0"/>
              <w:right w:val="single" w:color="000000" w:sz="4" w:space="0"/>
            </w:tcBorders>
            <w:noWrap w:val="0"/>
            <w:vAlign w:val="center"/>
          </w:tcPr>
          <w:p w14:paraId="288938B1">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220.26</w:t>
            </w:r>
          </w:p>
        </w:tc>
      </w:tr>
      <w:tr w14:paraId="48A69A1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76F95C">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326A362">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 xml:space="preserve">181.02 </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103C3B39">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195.06</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688FB17C">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179.70</w:t>
            </w:r>
          </w:p>
        </w:tc>
      </w:tr>
      <w:tr w14:paraId="7FE7528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10A902">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04D02FF">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 xml:space="preserve">38.20 </w:t>
            </w:r>
          </w:p>
        </w:tc>
        <w:tc>
          <w:tcPr>
            <w:tcW w:w="2240" w:type="dxa"/>
            <w:gridSpan w:val="2"/>
            <w:tcBorders>
              <w:top w:val="single" w:color="auto" w:sz="4" w:space="0"/>
              <w:left w:val="nil"/>
              <w:bottom w:val="single" w:color="auto" w:sz="4" w:space="0"/>
              <w:right w:val="single" w:color="000000" w:sz="4" w:space="0"/>
            </w:tcBorders>
            <w:noWrap w:val="0"/>
            <w:vAlign w:val="center"/>
          </w:tcPr>
          <w:p w14:paraId="39439002">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40.00</w:t>
            </w:r>
          </w:p>
        </w:tc>
        <w:tc>
          <w:tcPr>
            <w:tcW w:w="2041" w:type="dxa"/>
            <w:gridSpan w:val="2"/>
            <w:tcBorders>
              <w:top w:val="single" w:color="auto" w:sz="4" w:space="0"/>
              <w:left w:val="nil"/>
              <w:bottom w:val="single" w:color="auto" w:sz="4" w:space="0"/>
              <w:right w:val="single" w:color="000000" w:sz="4" w:space="0"/>
            </w:tcBorders>
            <w:noWrap w:val="0"/>
            <w:vAlign w:val="center"/>
          </w:tcPr>
          <w:p w14:paraId="0B529867">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39.16</w:t>
            </w:r>
          </w:p>
        </w:tc>
      </w:tr>
      <w:tr w14:paraId="1393DA8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9F6126">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59E7DF0F">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 xml:space="preserve">2.00 </w:t>
            </w:r>
          </w:p>
        </w:tc>
        <w:tc>
          <w:tcPr>
            <w:tcW w:w="2240" w:type="dxa"/>
            <w:gridSpan w:val="2"/>
            <w:tcBorders>
              <w:top w:val="single" w:color="auto" w:sz="4" w:space="0"/>
              <w:left w:val="nil"/>
              <w:bottom w:val="single" w:color="auto" w:sz="4" w:space="0"/>
              <w:right w:val="single" w:color="000000" w:sz="4" w:space="0"/>
            </w:tcBorders>
            <w:noWrap w:val="0"/>
            <w:vAlign w:val="center"/>
          </w:tcPr>
          <w:p w14:paraId="2891004C">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5.00</w:t>
            </w:r>
          </w:p>
        </w:tc>
        <w:tc>
          <w:tcPr>
            <w:tcW w:w="2041" w:type="dxa"/>
            <w:gridSpan w:val="2"/>
            <w:tcBorders>
              <w:top w:val="single" w:color="auto" w:sz="4" w:space="0"/>
              <w:left w:val="nil"/>
              <w:bottom w:val="single" w:color="auto" w:sz="4" w:space="0"/>
              <w:right w:val="single" w:color="000000" w:sz="4" w:space="0"/>
            </w:tcBorders>
            <w:noWrap w:val="0"/>
            <w:vAlign w:val="center"/>
          </w:tcPr>
          <w:p w14:paraId="180B2026">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2.00</w:t>
            </w:r>
          </w:p>
        </w:tc>
      </w:tr>
      <w:tr w14:paraId="08414DE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65B392">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A238651">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398.54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C8FAC8E">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330.00</w:t>
            </w:r>
          </w:p>
        </w:tc>
        <w:tc>
          <w:tcPr>
            <w:tcW w:w="2041" w:type="dxa"/>
            <w:gridSpan w:val="2"/>
            <w:tcBorders>
              <w:top w:val="single" w:color="auto" w:sz="4" w:space="0"/>
              <w:left w:val="nil"/>
              <w:bottom w:val="single" w:color="auto" w:sz="4" w:space="0"/>
              <w:right w:val="single" w:color="000000" w:sz="4" w:space="0"/>
            </w:tcBorders>
            <w:noWrap w:val="0"/>
            <w:vAlign w:val="center"/>
          </w:tcPr>
          <w:p w14:paraId="0CA44E0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293.07</w:t>
            </w:r>
          </w:p>
        </w:tc>
      </w:tr>
      <w:tr w14:paraId="76085BD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23C84D">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D0ABCEF">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C2B6927">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110.58</w:t>
            </w:r>
          </w:p>
        </w:tc>
        <w:tc>
          <w:tcPr>
            <w:tcW w:w="2041" w:type="dxa"/>
            <w:gridSpan w:val="2"/>
            <w:tcBorders>
              <w:top w:val="single" w:color="auto" w:sz="4" w:space="0"/>
              <w:left w:val="nil"/>
              <w:bottom w:val="single" w:color="auto" w:sz="4" w:space="0"/>
              <w:right w:val="single" w:color="000000" w:sz="4" w:space="0"/>
            </w:tcBorders>
            <w:noWrap w:val="0"/>
            <w:vAlign w:val="center"/>
          </w:tcPr>
          <w:p w14:paraId="1E79DF62">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14:paraId="473EF34C">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538C8B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43CA42F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5EBF966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98AE23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7343331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1AC7493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7DAE8E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B265B73">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7B762E3E">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4086D16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7435E40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9A9316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758702E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50F8963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7F381EE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72E0F50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C3072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0B17A4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控制三公经费的支出　</w:t>
            </w:r>
          </w:p>
        </w:tc>
      </w:tr>
    </w:tbl>
    <w:p w14:paraId="6264F3A0">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1C77273C">
      <w:pPr>
        <w:widowControl/>
        <w:spacing w:afterLines="0" w:line="400" w:lineRule="exact"/>
        <w:jc w:val="left"/>
        <w:rPr>
          <w:rFonts w:hint="default" w:ascii="Times New Roman" w:hAnsi="Times New Roman" w:eastAsia="仿宋_GB2312" w:cs="Times New Roman"/>
          <w:sz w:val="22"/>
          <w:highlight w:val="none"/>
        </w:rPr>
      </w:pPr>
    </w:p>
    <w:p w14:paraId="0930011E">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2F3CA5E0">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075"/>
        <w:gridCol w:w="1028"/>
        <w:gridCol w:w="1265"/>
        <w:gridCol w:w="1306"/>
        <w:gridCol w:w="1264"/>
        <w:gridCol w:w="714"/>
        <w:gridCol w:w="916"/>
        <w:gridCol w:w="1436"/>
      </w:tblGrid>
      <w:tr w14:paraId="11B9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0F1DB8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4" w:type="dxa"/>
            <w:gridSpan w:val="8"/>
            <w:noWrap w:val="0"/>
            <w:vAlign w:val="center"/>
          </w:tcPr>
          <w:p w14:paraId="55A615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岳阳市生态环境局临湘分局</w:t>
            </w:r>
          </w:p>
        </w:tc>
      </w:tr>
      <w:tr w14:paraId="051B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0EB6AD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7F93E6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03" w:type="dxa"/>
            <w:gridSpan w:val="2"/>
            <w:noWrap w:val="0"/>
            <w:vAlign w:val="center"/>
          </w:tcPr>
          <w:p w14:paraId="4655EEE7">
            <w:pPr>
              <w:spacing w:line="240" w:lineRule="exact"/>
              <w:jc w:val="center"/>
              <w:rPr>
                <w:rFonts w:hint="eastAsia" w:ascii="仿宋_GB2312" w:hAnsi="仿宋_GB2312" w:eastAsia="仿宋_GB2312" w:cs="仿宋_GB2312"/>
                <w:sz w:val="20"/>
                <w:szCs w:val="20"/>
                <w:highlight w:val="none"/>
              </w:rPr>
            </w:pPr>
          </w:p>
        </w:tc>
        <w:tc>
          <w:tcPr>
            <w:tcW w:w="1265" w:type="dxa"/>
            <w:noWrap w:val="0"/>
            <w:vAlign w:val="center"/>
          </w:tcPr>
          <w:p w14:paraId="3842F46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06" w:type="dxa"/>
            <w:noWrap w:val="0"/>
            <w:vAlign w:val="center"/>
          </w:tcPr>
          <w:p w14:paraId="234A41F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4" w:type="dxa"/>
            <w:noWrap w:val="0"/>
            <w:vAlign w:val="center"/>
          </w:tcPr>
          <w:p w14:paraId="5717122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4" w:type="dxa"/>
            <w:noWrap w:val="0"/>
            <w:vAlign w:val="center"/>
          </w:tcPr>
          <w:p w14:paraId="65A8891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noWrap w:val="0"/>
            <w:vAlign w:val="center"/>
          </w:tcPr>
          <w:p w14:paraId="668EBA1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6" w:type="dxa"/>
            <w:noWrap w:val="0"/>
            <w:vAlign w:val="center"/>
          </w:tcPr>
          <w:p w14:paraId="73D46A6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CF3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598C96B2">
            <w:pPr>
              <w:widowControl/>
              <w:spacing w:line="240" w:lineRule="exact"/>
              <w:jc w:val="center"/>
              <w:rPr>
                <w:rFonts w:hint="eastAsia" w:ascii="仿宋_GB2312" w:hAnsi="仿宋_GB2312" w:eastAsia="仿宋_GB2312" w:cs="仿宋_GB2312"/>
                <w:color w:val="000000"/>
                <w:sz w:val="20"/>
                <w:szCs w:val="20"/>
                <w:highlight w:val="none"/>
              </w:rPr>
            </w:pPr>
          </w:p>
        </w:tc>
        <w:tc>
          <w:tcPr>
            <w:tcW w:w="2103" w:type="dxa"/>
            <w:gridSpan w:val="2"/>
            <w:noWrap w:val="0"/>
            <w:vAlign w:val="center"/>
          </w:tcPr>
          <w:p w14:paraId="6F6554A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65" w:type="dxa"/>
            <w:noWrap w:val="0"/>
            <w:vAlign w:val="center"/>
          </w:tcPr>
          <w:p w14:paraId="149CB6D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1745.17</w:t>
            </w:r>
          </w:p>
        </w:tc>
        <w:tc>
          <w:tcPr>
            <w:tcW w:w="1306" w:type="dxa"/>
            <w:noWrap w:val="0"/>
            <w:vAlign w:val="center"/>
          </w:tcPr>
          <w:p w14:paraId="24F0CB2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2753.25</w:t>
            </w:r>
          </w:p>
        </w:tc>
        <w:tc>
          <w:tcPr>
            <w:tcW w:w="1264" w:type="dxa"/>
            <w:noWrap w:val="0"/>
            <w:vAlign w:val="center"/>
          </w:tcPr>
          <w:p w14:paraId="49B6738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2633.08</w:t>
            </w:r>
          </w:p>
        </w:tc>
        <w:tc>
          <w:tcPr>
            <w:tcW w:w="714" w:type="dxa"/>
            <w:noWrap w:val="0"/>
            <w:vAlign w:val="center"/>
          </w:tcPr>
          <w:p w14:paraId="043BA56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16" w:type="dxa"/>
            <w:noWrap w:val="0"/>
            <w:vAlign w:val="center"/>
          </w:tcPr>
          <w:p w14:paraId="22023F8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95.64%</w:t>
            </w:r>
          </w:p>
        </w:tc>
        <w:tc>
          <w:tcPr>
            <w:tcW w:w="1436" w:type="dxa"/>
            <w:noWrap w:val="0"/>
            <w:vAlign w:val="center"/>
          </w:tcPr>
          <w:p w14:paraId="4B8AE76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3798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50C7BF4C">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4096CE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30" w:type="dxa"/>
            <w:gridSpan w:val="4"/>
            <w:noWrap w:val="0"/>
            <w:vAlign w:val="center"/>
          </w:tcPr>
          <w:p w14:paraId="6934F7C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6C9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908A7E5">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41078BE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1967.42</w:t>
            </w:r>
          </w:p>
        </w:tc>
        <w:tc>
          <w:tcPr>
            <w:tcW w:w="4330" w:type="dxa"/>
            <w:gridSpan w:val="4"/>
            <w:noWrap w:val="0"/>
            <w:vAlign w:val="center"/>
          </w:tcPr>
          <w:p w14:paraId="278BF8C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1652.08</w:t>
            </w:r>
          </w:p>
        </w:tc>
      </w:tr>
      <w:tr w14:paraId="704E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2F2031C8">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10E67516">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30" w:type="dxa"/>
            <w:gridSpan w:val="4"/>
            <w:noWrap w:val="0"/>
            <w:vAlign w:val="center"/>
          </w:tcPr>
          <w:p w14:paraId="0D856274">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980.94</w:t>
            </w:r>
          </w:p>
        </w:tc>
      </w:tr>
      <w:tr w14:paraId="2DF0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F4EB65F">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7685DBC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30" w:type="dxa"/>
            <w:gridSpan w:val="4"/>
            <w:noWrap w:val="0"/>
            <w:vAlign w:val="center"/>
          </w:tcPr>
          <w:p w14:paraId="36163F35">
            <w:pPr>
              <w:widowControl/>
              <w:spacing w:line="240" w:lineRule="exact"/>
              <w:jc w:val="left"/>
              <w:rPr>
                <w:rFonts w:hint="eastAsia" w:ascii="仿宋_GB2312" w:hAnsi="仿宋_GB2312" w:eastAsia="仿宋_GB2312" w:cs="仿宋_GB2312"/>
                <w:color w:val="000000"/>
                <w:sz w:val="20"/>
                <w:szCs w:val="20"/>
                <w:highlight w:val="none"/>
              </w:rPr>
            </w:pPr>
          </w:p>
        </w:tc>
      </w:tr>
      <w:tr w14:paraId="2520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7BD070E0">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53C92A87">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665.66</w:t>
            </w:r>
          </w:p>
        </w:tc>
        <w:tc>
          <w:tcPr>
            <w:tcW w:w="4330" w:type="dxa"/>
            <w:gridSpan w:val="4"/>
            <w:noWrap w:val="0"/>
            <w:vAlign w:val="center"/>
          </w:tcPr>
          <w:p w14:paraId="34D3631C">
            <w:pPr>
              <w:widowControl/>
              <w:spacing w:line="240" w:lineRule="exact"/>
              <w:jc w:val="left"/>
              <w:rPr>
                <w:rFonts w:hint="eastAsia" w:ascii="仿宋_GB2312" w:hAnsi="仿宋_GB2312" w:eastAsia="仿宋_GB2312" w:cs="仿宋_GB2312"/>
                <w:color w:val="000000"/>
                <w:sz w:val="20"/>
                <w:szCs w:val="20"/>
                <w:highlight w:val="none"/>
              </w:rPr>
            </w:pPr>
          </w:p>
        </w:tc>
      </w:tr>
      <w:tr w14:paraId="26D4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69E2A8E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74" w:type="dxa"/>
            <w:gridSpan w:val="4"/>
            <w:noWrap w:val="0"/>
            <w:vAlign w:val="center"/>
          </w:tcPr>
          <w:p w14:paraId="40E12D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30" w:type="dxa"/>
            <w:gridSpan w:val="4"/>
            <w:noWrap w:val="0"/>
            <w:vAlign w:val="center"/>
          </w:tcPr>
          <w:p w14:paraId="1F9518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E36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0C5003CA">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00F0F56A">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1、</w:t>
            </w:r>
            <w:r>
              <w:rPr>
                <w:rFonts w:hint="eastAsia" w:ascii="仿宋_GB2312" w:hAnsi="仿宋_GB2312" w:eastAsia="仿宋_GB2312" w:cs="仿宋_GB2312"/>
                <w:color w:val="000000"/>
                <w:kern w:val="0"/>
                <w:sz w:val="20"/>
                <w:szCs w:val="20"/>
                <w:highlight w:val="none"/>
                <w:lang w:val="en-US" w:eastAsia="zh-CN" w:bidi="ar-SA"/>
              </w:rPr>
              <w:t>紧盯问题重点，持续抓好整改销号；</w:t>
            </w:r>
          </w:p>
          <w:p w14:paraId="1C45D7A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2、</w:t>
            </w:r>
            <w:r>
              <w:rPr>
                <w:rFonts w:hint="eastAsia" w:ascii="仿宋_GB2312" w:hAnsi="仿宋_GB2312" w:eastAsia="仿宋_GB2312" w:cs="仿宋_GB2312"/>
                <w:color w:val="000000"/>
                <w:kern w:val="0"/>
                <w:sz w:val="20"/>
                <w:szCs w:val="20"/>
                <w:highlight w:val="none"/>
                <w:lang w:val="en-US" w:eastAsia="zh-CN" w:bidi="ar-SA"/>
              </w:rPr>
              <w:t>狠抓源头治理，聚力打好水质攻坚战；</w:t>
            </w:r>
          </w:p>
          <w:p w14:paraId="1BECC10A">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3、</w:t>
            </w:r>
            <w:r>
              <w:rPr>
                <w:rFonts w:hint="eastAsia" w:ascii="仿宋_GB2312" w:hAnsi="仿宋_GB2312" w:eastAsia="仿宋_GB2312" w:cs="仿宋_GB2312"/>
                <w:color w:val="000000"/>
                <w:kern w:val="0"/>
                <w:sz w:val="20"/>
                <w:szCs w:val="20"/>
                <w:highlight w:val="none"/>
                <w:lang w:val="en-US" w:eastAsia="zh-CN" w:bidi="ar-SA"/>
              </w:rPr>
              <w:t>多举措全领域，强力打好蓝天保卫战；</w:t>
            </w:r>
          </w:p>
          <w:p w14:paraId="75B138E3">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4、</w:t>
            </w:r>
            <w:r>
              <w:rPr>
                <w:rFonts w:hint="eastAsia" w:ascii="仿宋_GB2312" w:hAnsi="仿宋_GB2312" w:eastAsia="仿宋_GB2312" w:cs="仿宋_GB2312"/>
                <w:color w:val="000000"/>
                <w:kern w:val="0"/>
                <w:sz w:val="20"/>
                <w:szCs w:val="20"/>
                <w:highlight w:val="none"/>
                <w:lang w:val="en-US" w:eastAsia="zh-CN" w:bidi="ar-SA"/>
              </w:rPr>
              <w:t>强化执法监管，防范生态污染事故；</w:t>
            </w:r>
          </w:p>
          <w:p w14:paraId="70DDCFBB">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5、</w:t>
            </w:r>
            <w:r>
              <w:rPr>
                <w:rFonts w:hint="eastAsia" w:ascii="仿宋_GB2312" w:hAnsi="仿宋_GB2312" w:eastAsia="仿宋_GB2312" w:cs="仿宋_GB2312"/>
                <w:color w:val="000000"/>
                <w:kern w:val="0"/>
                <w:sz w:val="20"/>
                <w:szCs w:val="20"/>
                <w:highlight w:val="none"/>
                <w:lang w:val="en-US" w:eastAsia="zh-CN" w:bidi="ar-SA"/>
              </w:rPr>
              <w:t>落实了“双随机、一公开”日常执法制度。</w:t>
            </w:r>
          </w:p>
          <w:p w14:paraId="0ABD9F4E">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6、</w:t>
            </w:r>
            <w:r>
              <w:rPr>
                <w:rFonts w:hint="eastAsia" w:ascii="仿宋_GB2312" w:hAnsi="仿宋_GB2312" w:eastAsia="仿宋_GB2312" w:cs="仿宋_GB2312"/>
                <w:color w:val="000000"/>
                <w:kern w:val="0"/>
                <w:sz w:val="20"/>
                <w:szCs w:val="20"/>
                <w:highlight w:val="none"/>
                <w:lang w:val="en-US" w:eastAsia="zh-CN" w:bidi="ar-SA"/>
              </w:rPr>
              <w:t>管理规范有序，其他工作稳步开展。</w:t>
            </w:r>
          </w:p>
        </w:tc>
        <w:tc>
          <w:tcPr>
            <w:tcW w:w="4330" w:type="dxa"/>
            <w:gridSpan w:val="4"/>
            <w:noWrap w:val="0"/>
            <w:vAlign w:val="center"/>
          </w:tcPr>
          <w:p w14:paraId="0B786963">
            <w:pPr>
              <w:widowControl/>
              <w:numPr>
                <w:ilvl w:val="0"/>
                <w:numId w:val="0"/>
              </w:numPr>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lang w:val="en-US" w:eastAsia="zh-CN" w:bidi="ar-SA"/>
              </w:rPr>
              <w:t>1、</w:t>
            </w:r>
            <w:r>
              <w:rPr>
                <w:rFonts w:hint="eastAsia" w:ascii="仿宋_GB2312" w:hAnsi="仿宋_GB2312" w:eastAsia="仿宋_GB2312" w:cs="仿宋_GB2312"/>
                <w:color w:val="000000"/>
                <w:sz w:val="20"/>
                <w:szCs w:val="20"/>
                <w:highlight w:val="none"/>
              </w:rPr>
              <w:t>治污防污成效显著。</w:t>
            </w:r>
            <w:r>
              <w:rPr>
                <w:rFonts w:hint="eastAsia" w:ascii="仿宋_GB2312" w:hAnsi="仿宋_GB2312" w:eastAsia="仿宋_GB2312" w:cs="仿宋_GB2312"/>
                <w:color w:val="000000"/>
                <w:sz w:val="20"/>
                <w:szCs w:val="20"/>
                <w:highlight w:val="none"/>
                <w:lang w:eastAsia="zh-CN"/>
              </w:rPr>
              <w:t>水污染防治方面，完成饮用水水源地保护区的现场核查及数据填报工作，实施流域综合整治。大气污染防治方面，累计排查涉气企业，上报了企业结构减排氮氧化物、VOCs减排</w:t>
            </w:r>
            <w:r>
              <w:rPr>
                <w:rFonts w:hint="eastAsia" w:ascii="仿宋_GB2312" w:hAnsi="仿宋_GB2312" w:eastAsia="仿宋_GB2312" w:cs="仿宋_GB2312"/>
                <w:color w:val="000000"/>
                <w:sz w:val="20"/>
                <w:szCs w:val="20"/>
                <w:highlight w:val="none"/>
                <w:lang w:val="en-US" w:eastAsia="zh-CN"/>
              </w:rPr>
              <w:t>数量</w:t>
            </w:r>
            <w:r>
              <w:rPr>
                <w:rFonts w:hint="eastAsia" w:ascii="仿宋_GB2312" w:hAnsi="仿宋_GB2312" w:eastAsia="仿宋_GB2312" w:cs="仿宋_GB2312"/>
                <w:color w:val="000000"/>
                <w:sz w:val="20"/>
                <w:szCs w:val="20"/>
                <w:highlight w:val="none"/>
                <w:lang w:eastAsia="zh-CN"/>
              </w:rPr>
              <w:t>，优良率、综合指数改善</w:t>
            </w:r>
            <w:r>
              <w:rPr>
                <w:rFonts w:hint="eastAsia" w:ascii="仿宋_GB2312" w:hAnsi="仿宋_GB2312" w:eastAsia="仿宋_GB2312" w:cs="仿宋_GB2312"/>
                <w:color w:val="000000"/>
                <w:sz w:val="20"/>
                <w:szCs w:val="20"/>
                <w:highlight w:val="none"/>
                <w:lang w:val="en-US" w:eastAsia="zh-CN"/>
              </w:rPr>
              <w:t>稳定</w:t>
            </w:r>
            <w:r>
              <w:rPr>
                <w:rFonts w:hint="eastAsia" w:ascii="仿宋_GB2312" w:hAnsi="仿宋_GB2312" w:eastAsia="仿宋_GB2312" w:cs="仿宋_GB2312"/>
                <w:color w:val="000000"/>
                <w:sz w:val="20"/>
                <w:szCs w:val="20"/>
                <w:highlight w:val="none"/>
                <w:lang w:eastAsia="zh-CN"/>
              </w:rPr>
              <w:t>。土壤污染防治方面，督促沿江化工企业有序开展地块土壤污染状况场地调查，完成了临湘市农村生活污水治理、农用地涉镉重金属污染源头防治、黑臭水体排查整治等工作。</w:t>
            </w:r>
          </w:p>
          <w:p w14:paraId="1ED22283">
            <w:pPr>
              <w:pStyle w:val="2"/>
              <w:numPr>
                <w:ilvl w:val="0"/>
                <w:numId w:val="0"/>
              </w:numP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2、推动各类问题整改销号。“夏季攻势”整改任务、“洞庭清波”整改销号已完成。</w:t>
            </w:r>
          </w:p>
          <w:p w14:paraId="475FB96F">
            <w:pPr>
              <w:pStyle w:val="2"/>
              <w:numPr>
                <w:ilvl w:val="0"/>
                <w:numId w:val="0"/>
              </w:numP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3、执法监管全面覆盖。针对大气、水环境污染，整治检查，立案整改、查处。针对环境信访调处，受理、办结率100%，化解率100%，总体满意度95%以上。</w:t>
            </w:r>
          </w:p>
          <w:p w14:paraId="40397AAB">
            <w:pPr>
              <w:widowControl w:val="0"/>
              <w:ind w:left="0" w:leftChars="0" w:firstLine="0" w:firstLineChars="0"/>
              <w:jc w:val="both"/>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4、宣传生态环境知识。</w:t>
            </w:r>
          </w:p>
          <w:p w14:paraId="373D9C11">
            <w:pPr>
              <w:widowControl w:val="0"/>
              <w:ind w:left="0" w:leftChars="0" w:firstLine="0" w:firstLineChars="0"/>
              <w:jc w:val="both"/>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5、筹办临湘市贯彻学习习近平生态文明思想暨生态环境法律知识培训班，推动了队伍建设与生态环保相结合。</w:t>
            </w:r>
          </w:p>
          <w:p w14:paraId="2F66234B">
            <w:pP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6、抓好清廉环保建设，营造良好政治生态。</w:t>
            </w:r>
          </w:p>
        </w:tc>
      </w:tr>
      <w:tr w14:paraId="31A7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025366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7898B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774B39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7AA21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60DD12D3">
            <w:pPr>
              <w:widowControl/>
              <w:spacing w:line="240" w:lineRule="exact"/>
              <w:jc w:val="center"/>
              <w:rPr>
                <w:rFonts w:hint="eastAsia" w:ascii="仿宋_GB2312" w:hAnsi="仿宋_GB2312" w:eastAsia="仿宋_GB2312" w:cs="仿宋_GB2312"/>
                <w:color w:val="000000"/>
                <w:sz w:val="20"/>
                <w:szCs w:val="20"/>
                <w:highlight w:val="none"/>
              </w:rPr>
            </w:pPr>
          </w:p>
        </w:tc>
        <w:tc>
          <w:tcPr>
            <w:tcW w:w="1075" w:type="dxa"/>
            <w:noWrap w:val="0"/>
            <w:vAlign w:val="center"/>
          </w:tcPr>
          <w:p w14:paraId="30437F4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28" w:type="dxa"/>
            <w:noWrap w:val="0"/>
            <w:vAlign w:val="center"/>
          </w:tcPr>
          <w:p w14:paraId="6A7CA1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65" w:type="dxa"/>
            <w:noWrap w:val="0"/>
            <w:vAlign w:val="center"/>
          </w:tcPr>
          <w:p w14:paraId="717DEB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06" w:type="dxa"/>
            <w:noWrap w:val="0"/>
            <w:vAlign w:val="center"/>
          </w:tcPr>
          <w:p w14:paraId="5EC15EC6">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4" w:type="dxa"/>
            <w:noWrap w:val="0"/>
            <w:vAlign w:val="center"/>
          </w:tcPr>
          <w:p w14:paraId="37C54D56">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4" w:type="dxa"/>
            <w:noWrap w:val="0"/>
            <w:vAlign w:val="center"/>
          </w:tcPr>
          <w:p w14:paraId="0C40FF5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noWrap w:val="0"/>
            <w:vAlign w:val="center"/>
          </w:tcPr>
          <w:p w14:paraId="5DFBB65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6" w:type="dxa"/>
            <w:noWrap w:val="0"/>
            <w:vAlign w:val="center"/>
          </w:tcPr>
          <w:p w14:paraId="056AC4CF">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E7E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14A32968">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restart"/>
            <w:noWrap w:val="0"/>
            <w:vAlign w:val="center"/>
          </w:tcPr>
          <w:p w14:paraId="3B04DB4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5B88E01">
            <w:pPr>
              <w:widowControl/>
              <w:spacing w:line="240" w:lineRule="exact"/>
              <w:jc w:val="center"/>
              <w:rPr>
                <w:rFonts w:hint="eastAsia" w:ascii="仿宋_GB2312" w:hAnsi="仿宋_GB2312" w:eastAsia="仿宋_GB2312" w:cs="仿宋_GB2312"/>
                <w:color w:val="000000"/>
                <w:sz w:val="20"/>
                <w:szCs w:val="20"/>
                <w:highlight w:val="none"/>
              </w:rPr>
            </w:pPr>
          </w:p>
          <w:p w14:paraId="164D8B1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28" w:type="dxa"/>
            <w:vMerge w:val="restart"/>
            <w:noWrap w:val="0"/>
            <w:vAlign w:val="center"/>
          </w:tcPr>
          <w:p w14:paraId="3FCF04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65" w:type="dxa"/>
            <w:noWrap w:val="0"/>
            <w:vAlign w:val="center"/>
          </w:tcPr>
          <w:p w14:paraId="00519C2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督促沿江搬迁退出化工企业</w:t>
            </w:r>
          </w:p>
        </w:tc>
        <w:tc>
          <w:tcPr>
            <w:tcW w:w="1306" w:type="dxa"/>
            <w:noWrap w:val="0"/>
            <w:vAlign w:val="center"/>
          </w:tcPr>
          <w:p w14:paraId="3FEAF7F3">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14家</w:t>
            </w:r>
          </w:p>
        </w:tc>
        <w:tc>
          <w:tcPr>
            <w:tcW w:w="1264" w:type="dxa"/>
            <w:noWrap w:val="0"/>
            <w:vAlign w:val="center"/>
          </w:tcPr>
          <w:p w14:paraId="1BBE7BC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100%</w:t>
            </w:r>
          </w:p>
        </w:tc>
        <w:tc>
          <w:tcPr>
            <w:tcW w:w="714" w:type="dxa"/>
            <w:noWrap w:val="0"/>
            <w:vAlign w:val="center"/>
          </w:tcPr>
          <w:p w14:paraId="1EF8F48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5118E2C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021856D6">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271C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1F887688">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31CD7457">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11C71C5C">
            <w:pPr>
              <w:spacing w:line="240" w:lineRule="exact"/>
              <w:jc w:val="center"/>
              <w:rPr>
                <w:rFonts w:hint="eastAsia" w:ascii="仿宋_GB2312" w:hAnsi="仿宋_GB2312" w:eastAsia="仿宋_GB2312" w:cs="仿宋_GB2312"/>
                <w:color w:val="000000"/>
                <w:sz w:val="20"/>
                <w:szCs w:val="20"/>
                <w:highlight w:val="none"/>
              </w:rPr>
            </w:pPr>
          </w:p>
        </w:tc>
        <w:tc>
          <w:tcPr>
            <w:tcW w:w="1265" w:type="dxa"/>
            <w:noWrap w:val="0"/>
            <w:vAlign w:val="center"/>
          </w:tcPr>
          <w:p w14:paraId="1E293B7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highlight w:val="none"/>
                <w:lang w:eastAsia="zh-CN"/>
              </w:rPr>
              <w:t>整改销号</w:t>
            </w:r>
          </w:p>
        </w:tc>
        <w:tc>
          <w:tcPr>
            <w:tcW w:w="1306" w:type="dxa"/>
            <w:noWrap w:val="0"/>
            <w:vAlign w:val="center"/>
          </w:tcPr>
          <w:p w14:paraId="355AE13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4" w:type="dxa"/>
            <w:noWrap w:val="0"/>
            <w:vAlign w:val="center"/>
          </w:tcPr>
          <w:p w14:paraId="0D5D7D1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4" w:type="dxa"/>
            <w:noWrap w:val="0"/>
            <w:vAlign w:val="center"/>
          </w:tcPr>
          <w:p w14:paraId="3201F94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7EF6A88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09CFC2F6">
            <w:pPr>
              <w:widowControl/>
              <w:spacing w:line="240" w:lineRule="exact"/>
              <w:jc w:val="left"/>
              <w:rPr>
                <w:rFonts w:hint="eastAsia" w:ascii="仿宋_GB2312" w:hAnsi="仿宋_GB2312" w:eastAsia="仿宋_GB2312" w:cs="仿宋_GB2312"/>
                <w:color w:val="000000"/>
                <w:sz w:val="20"/>
                <w:szCs w:val="20"/>
                <w:highlight w:val="none"/>
              </w:rPr>
            </w:pPr>
          </w:p>
        </w:tc>
      </w:tr>
      <w:tr w14:paraId="2B2B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399E6E4F">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58259DBB">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02A88B71">
            <w:pPr>
              <w:spacing w:line="240" w:lineRule="exact"/>
              <w:jc w:val="center"/>
              <w:rPr>
                <w:rFonts w:hint="eastAsia" w:ascii="仿宋_GB2312" w:hAnsi="仿宋_GB2312" w:eastAsia="仿宋_GB2312" w:cs="仿宋_GB2312"/>
                <w:color w:val="000000"/>
                <w:sz w:val="20"/>
                <w:szCs w:val="20"/>
                <w:highlight w:val="none"/>
              </w:rPr>
            </w:pPr>
          </w:p>
        </w:tc>
        <w:tc>
          <w:tcPr>
            <w:tcW w:w="1265" w:type="dxa"/>
            <w:noWrap w:val="0"/>
            <w:vAlign w:val="center"/>
          </w:tcPr>
          <w:p w14:paraId="34FFE03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扬尘整治检查等各项环境污染检查</w:t>
            </w:r>
          </w:p>
        </w:tc>
        <w:tc>
          <w:tcPr>
            <w:tcW w:w="1306" w:type="dxa"/>
            <w:noWrap w:val="0"/>
            <w:vAlign w:val="center"/>
          </w:tcPr>
          <w:p w14:paraId="4315B3A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45家次</w:t>
            </w:r>
          </w:p>
        </w:tc>
        <w:tc>
          <w:tcPr>
            <w:tcW w:w="1264" w:type="dxa"/>
            <w:noWrap w:val="0"/>
            <w:vAlign w:val="center"/>
          </w:tcPr>
          <w:p w14:paraId="119382D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714" w:type="dxa"/>
            <w:noWrap w:val="0"/>
            <w:vAlign w:val="center"/>
          </w:tcPr>
          <w:p w14:paraId="1857E498">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6BB9A55A">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0ABE702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C3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72F29F7F">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09F95FE2">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restart"/>
            <w:noWrap w:val="0"/>
            <w:vAlign w:val="center"/>
          </w:tcPr>
          <w:p w14:paraId="6D5079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65" w:type="dxa"/>
            <w:shd w:val="clear" w:color="auto" w:fill="auto"/>
            <w:noWrap w:val="0"/>
            <w:vAlign w:val="center"/>
          </w:tcPr>
          <w:p w14:paraId="26C1A8F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rPr>
              <w:t>全市环境质量达标</w:t>
            </w:r>
          </w:p>
        </w:tc>
        <w:tc>
          <w:tcPr>
            <w:tcW w:w="1306" w:type="dxa"/>
            <w:shd w:val="clear" w:color="auto" w:fill="auto"/>
            <w:noWrap w:val="0"/>
            <w:vAlign w:val="center"/>
          </w:tcPr>
          <w:p w14:paraId="19A4EC1A">
            <w:pPr>
              <w:widowControl/>
              <w:spacing w:line="240" w:lineRule="exact"/>
              <w:ind w:firstLine="200" w:firstLineChars="10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≥90%</w:t>
            </w:r>
          </w:p>
        </w:tc>
        <w:tc>
          <w:tcPr>
            <w:tcW w:w="1264" w:type="dxa"/>
            <w:shd w:val="clear" w:color="auto" w:fill="auto"/>
            <w:noWrap w:val="0"/>
            <w:vAlign w:val="center"/>
          </w:tcPr>
          <w:p w14:paraId="2F576CD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90%</w:t>
            </w:r>
          </w:p>
        </w:tc>
        <w:tc>
          <w:tcPr>
            <w:tcW w:w="714" w:type="dxa"/>
            <w:shd w:val="clear" w:color="auto" w:fill="auto"/>
            <w:noWrap w:val="0"/>
            <w:vAlign w:val="center"/>
          </w:tcPr>
          <w:p w14:paraId="0561AC3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shd w:val="clear" w:color="auto" w:fill="auto"/>
            <w:noWrap w:val="0"/>
            <w:vAlign w:val="center"/>
          </w:tcPr>
          <w:p w14:paraId="048C010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71D95EE4">
            <w:pPr>
              <w:widowControl/>
              <w:spacing w:line="240" w:lineRule="exact"/>
              <w:jc w:val="left"/>
              <w:rPr>
                <w:rFonts w:hint="eastAsia" w:ascii="仿宋_GB2312" w:hAnsi="仿宋_GB2312" w:eastAsia="仿宋_GB2312" w:cs="仿宋_GB2312"/>
                <w:color w:val="000000"/>
                <w:sz w:val="20"/>
                <w:szCs w:val="20"/>
                <w:highlight w:val="none"/>
                <w:lang w:val="en-US" w:eastAsia="zh-CN"/>
              </w:rPr>
            </w:pPr>
          </w:p>
        </w:tc>
      </w:tr>
      <w:tr w14:paraId="4E21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8582DFD">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7EF368EC">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50EF6DF5">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shd w:val="clear" w:color="auto" w:fill="auto"/>
            <w:noWrap w:val="0"/>
            <w:vAlign w:val="center"/>
          </w:tcPr>
          <w:p w14:paraId="4C40F3E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信访办理、办结率</w:t>
            </w:r>
          </w:p>
        </w:tc>
        <w:tc>
          <w:tcPr>
            <w:tcW w:w="1306" w:type="dxa"/>
            <w:shd w:val="clear" w:color="auto" w:fill="auto"/>
            <w:noWrap w:val="0"/>
            <w:vAlign w:val="center"/>
          </w:tcPr>
          <w:p w14:paraId="58F01925">
            <w:pPr>
              <w:widowControl/>
              <w:spacing w:line="240" w:lineRule="exact"/>
              <w:ind w:firstLine="200" w:firstLineChars="10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264" w:type="dxa"/>
            <w:shd w:val="clear" w:color="auto" w:fill="auto"/>
            <w:noWrap w:val="0"/>
            <w:vAlign w:val="center"/>
          </w:tcPr>
          <w:p w14:paraId="0D9231A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714" w:type="dxa"/>
            <w:shd w:val="clear" w:color="auto" w:fill="auto"/>
            <w:noWrap w:val="0"/>
            <w:vAlign w:val="center"/>
          </w:tcPr>
          <w:p w14:paraId="706D270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shd w:val="clear" w:color="auto" w:fill="auto"/>
            <w:noWrap w:val="0"/>
            <w:vAlign w:val="center"/>
          </w:tcPr>
          <w:p w14:paraId="2F13AAC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1E20B89F">
            <w:pPr>
              <w:widowControl/>
              <w:spacing w:line="240" w:lineRule="exact"/>
              <w:jc w:val="left"/>
              <w:rPr>
                <w:rFonts w:hint="eastAsia" w:ascii="仿宋_GB2312" w:hAnsi="仿宋_GB2312" w:eastAsia="仿宋_GB2312" w:cs="仿宋_GB2312"/>
                <w:color w:val="000000"/>
                <w:sz w:val="20"/>
                <w:szCs w:val="20"/>
                <w:highlight w:val="none"/>
              </w:rPr>
            </w:pPr>
          </w:p>
        </w:tc>
      </w:tr>
      <w:tr w14:paraId="3863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D21346E">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7C40ACDC">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0A2DDF55">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noWrap w:val="0"/>
            <w:vAlign w:val="center"/>
          </w:tcPr>
          <w:p w14:paraId="48CCA7A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无较大污染事件发生</w:t>
            </w:r>
          </w:p>
        </w:tc>
        <w:tc>
          <w:tcPr>
            <w:tcW w:w="1306" w:type="dxa"/>
            <w:noWrap w:val="0"/>
            <w:vAlign w:val="center"/>
          </w:tcPr>
          <w:p w14:paraId="60A48E9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争取0发生</w:t>
            </w:r>
          </w:p>
        </w:tc>
        <w:tc>
          <w:tcPr>
            <w:tcW w:w="1264" w:type="dxa"/>
            <w:noWrap w:val="0"/>
            <w:vAlign w:val="center"/>
          </w:tcPr>
          <w:p w14:paraId="0C8651D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0发生</w:t>
            </w:r>
          </w:p>
        </w:tc>
        <w:tc>
          <w:tcPr>
            <w:tcW w:w="714" w:type="dxa"/>
            <w:noWrap w:val="0"/>
            <w:vAlign w:val="center"/>
          </w:tcPr>
          <w:p w14:paraId="3872B0A7">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4</w:t>
            </w:r>
          </w:p>
        </w:tc>
        <w:tc>
          <w:tcPr>
            <w:tcW w:w="916" w:type="dxa"/>
            <w:shd w:val="clear" w:color="auto" w:fill="auto"/>
            <w:noWrap w:val="0"/>
            <w:vAlign w:val="center"/>
          </w:tcPr>
          <w:p w14:paraId="1195142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4</w:t>
            </w:r>
          </w:p>
        </w:tc>
        <w:tc>
          <w:tcPr>
            <w:tcW w:w="1436" w:type="dxa"/>
            <w:noWrap w:val="0"/>
            <w:vAlign w:val="center"/>
          </w:tcPr>
          <w:p w14:paraId="551F6B2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BD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091ECB30">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70F186F1">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7D991BF0">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noWrap w:val="0"/>
            <w:vAlign w:val="center"/>
          </w:tcPr>
          <w:p w14:paraId="12EC325F">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空气环境质量达标</w:t>
            </w:r>
          </w:p>
        </w:tc>
        <w:tc>
          <w:tcPr>
            <w:tcW w:w="1306" w:type="dxa"/>
            <w:noWrap w:val="0"/>
            <w:vAlign w:val="center"/>
          </w:tcPr>
          <w:p w14:paraId="6403CB59">
            <w:pPr>
              <w:widowControl/>
              <w:spacing w:line="240" w:lineRule="exact"/>
              <w:jc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2级</w:t>
            </w:r>
          </w:p>
        </w:tc>
        <w:tc>
          <w:tcPr>
            <w:tcW w:w="1264" w:type="dxa"/>
            <w:noWrap w:val="0"/>
            <w:vAlign w:val="center"/>
          </w:tcPr>
          <w:p w14:paraId="5677E1B5">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20"/>
                <w:szCs w:val="20"/>
                <w:lang w:val="en-US" w:eastAsia="zh-CN"/>
              </w:rPr>
              <w:t>达标</w:t>
            </w:r>
          </w:p>
        </w:tc>
        <w:tc>
          <w:tcPr>
            <w:tcW w:w="714" w:type="dxa"/>
            <w:noWrap w:val="0"/>
            <w:vAlign w:val="center"/>
          </w:tcPr>
          <w:p w14:paraId="05F000C1">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916" w:type="dxa"/>
            <w:shd w:val="clear" w:color="auto" w:fill="auto"/>
            <w:noWrap w:val="0"/>
            <w:vAlign w:val="center"/>
          </w:tcPr>
          <w:p w14:paraId="370A0360">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w:t>
            </w:r>
          </w:p>
        </w:tc>
        <w:tc>
          <w:tcPr>
            <w:tcW w:w="1436" w:type="dxa"/>
            <w:noWrap w:val="0"/>
            <w:vAlign w:val="center"/>
          </w:tcPr>
          <w:p w14:paraId="3119C3AD">
            <w:pPr>
              <w:widowControl/>
              <w:spacing w:line="240" w:lineRule="exact"/>
              <w:jc w:val="left"/>
              <w:rPr>
                <w:rFonts w:hint="eastAsia" w:ascii="仿宋_GB2312" w:hAnsi="仿宋_GB2312" w:eastAsia="仿宋_GB2312" w:cs="仿宋_GB2312"/>
                <w:color w:val="000000"/>
                <w:sz w:val="20"/>
                <w:szCs w:val="20"/>
                <w:highlight w:val="none"/>
              </w:rPr>
            </w:pPr>
          </w:p>
        </w:tc>
      </w:tr>
      <w:tr w14:paraId="5510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7930B203">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398ACA18">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6AB44811">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noWrap w:val="0"/>
            <w:vAlign w:val="center"/>
          </w:tcPr>
          <w:p w14:paraId="692D4DE7">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水环境质量达标</w:t>
            </w:r>
          </w:p>
        </w:tc>
        <w:tc>
          <w:tcPr>
            <w:tcW w:w="1306" w:type="dxa"/>
            <w:noWrap w:val="0"/>
            <w:vAlign w:val="center"/>
          </w:tcPr>
          <w:p w14:paraId="1BB13C03">
            <w:pPr>
              <w:widowControl/>
              <w:spacing w:line="240" w:lineRule="exact"/>
              <w:jc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3类</w:t>
            </w:r>
          </w:p>
        </w:tc>
        <w:tc>
          <w:tcPr>
            <w:tcW w:w="1264" w:type="dxa"/>
            <w:noWrap w:val="0"/>
            <w:vAlign w:val="center"/>
          </w:tcPr>
          <w:p w14:paraId="5677C65D">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20"/>
                <w:szCs w:val="20"/>
                <w:lang w:val="en-US" w:eastAsia="zh-CN"/>
              </w:rPr>
              <w:t>达标</w:t>
            </w:r>
          </w:p>
        </w:tc>
        <w:tc>
          <w:tcPr>
            <w:tcW w:w="714" w:type="dxa"/>
            <w:noWrap w:val="0"/>
            <w:vAlign w:val="center"/>
          </w:tcPr>
          <w:p w14:paraId="6A8FA569">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916" w:type="dxa"/>
            <w:shd w:val="clear" w:color="auto" w:fill="auto"/>
            <w:noWrap w:val="0"/>
            <w:vAlign w:val="center"/>
          </w:tcPr>
          <w:p w14:paraId="6E5AB816">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w:t>
            </w:r>
          </w:p>
        </w:tc>
        <w:tc>
          <w:tcPr>
            <w:tcW w:w="1436" w:type="dxa"/>
            <w:noWrap w:val="0"/>
            <w:vAlign w:val="center"/>
          </w:tcPr>
          <w:p w14:paraId="28C6A0F2">
            <w:pPr>
              <w:widowControl/>
              <w:spacing w:line="240" w:lineRule="exact"/>
              <w:jc w:val="left"/>
              <w:rPr>
                <w:rFonts w:hint="eastAsia" w:ascii="仿宋_GB2312" w:hAnsi="仿宋_GB2312" w:eastAsia="仿宋_GB2312" w:cs="仿宋_GB2312"/>
                <w:color w:val="000000"/>
                <w:sz w:val="20"/>
                <w:szCs w:val="20"/>
                <w:highlight w:val="none"/>
              </w:rPr>
            </w:pPr>
          </w:p>
        </w:tc>
      </w:tr>
      <w:tr w14:paraId="2280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2459B09">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351D4987">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restart"/>
            <w:noWrap w:val="0"/>
            <w:vAlign w:val="center"/>
          </w:tcPr>
          <w:p w14:paraId="7A1399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65" w:type="dxa"/>
            <w:shd w:val="clear" w:color="auto" w:fill="auto"/>
            <w:noWrap w:val="0"/>
            <w:vAlign w:val="center"/>
          </w:tcPr>
          <w:p w14:paraId="01CAFAD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水、大气、土壤污染防治目标任务</w:t>
            </w:r>
          </w:p>
        </w:tc>
        <w:tc>
          <w:tcPr>
            <w:tcW w:w="1306" w:type="dxa"/>
            <w:shd w:val="clear" w:color="auto" w:fill="auto"/>
            <w:noWrap w:val="0"/>
            <w:vAlign w:val="center"/>
          </w:tcPr>
          <w:p w14:paraId="5DAAE38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w:t>
            </w:r>
          </w:p>
        </w:tc>
        <w:tc>
          <w:tcPr>
            <w:tcW w:w="1264" w:type="dxa"/>
            <w:shd w:val="clear" w:color="auto" w:fill="auto"/>
            <w:noWrap w:val="0"/>
            <w:vAlign w:val="center"/>
          </w:tcPr>
          <w:p w14:paraId="4C2D9A6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w:t>
            </w:r>
          </w:p>
        </w:tc>
        <w:tc>
          <w:tcPr>
            <w:tcW w:w="714" w:type="dxa"/>
            <w:shd w:val="clear" w:color="auto" w:fill="auto"/>
            <w:noWrap w:val="0"/>
            <w:vAlign w:val="center"/>
          </w:tcPr>
          <w:p w14:paraId="78E86C3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shd w:val="clear" w:color="auto" w:fill="auto"/>
            <w:noWrap w:val="0"/>
            <w:vAlign w:val="center"/>
          </w:tcPr>
          <w:p w14:paraId="5E79598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63D3D1A6">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2DC60859">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527E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F3ADB95">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703B807D">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3F8A3ED3">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shd w:val="clear" w:color="auto" w:fill="auto"/>
            <w:noWrap w:val="0"/>
            <w:vAlign w:val="center"/>
          </w:tcPr>
          <w:p w14:paraId="69D6342F">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突发任务及时完成</w:t>
            </w:r>
          </w:p>
        </w:tc>
        <w:tc>
          <w:tcPr>
            <w:tcW w:w="1306" w:type="dxa"/>
            <w:shd w:val="clear" w:color="auto" w:fill="auto"/>
            <w:noWrap w:val="0"/>
            <w:vAlign w:val="center"/>
          </w:tcPr>
          <w:p w14:paraId="5E992F2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即时</w:t>
            </w:r>
          </w:p>
        </w:tc>
        <w:tc>
          <w:tcPr>
            <w:tcW w:w="1264" w:type="dxa"/>
            <w:shd w:val="clear" w:color="auto" w:fill="auto"/>
            <w:noWrap w:val="0"/>
            <w:vAlign w:val="center"/>
          </w:tcPr>
          <w:p w14:paraId="0B2227DE">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即时</w:t>
            </w:r>
          </w:p>
        </w:tc>
        <w:tc>
          <w:tcPr>
            <w:tcW w:w="714" w:type="dxa"/>
            <w:shd w:val="clear" w:color="auto" w:fill="auto"/>
            <w:noWrap w:val="0"/>
            <w:vAlign w:val="center"/>
          </w:tcPr>
          <w:p w14:paraId="19BA6E9F">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shd w:val="clear" w:color="auto" w:fill="auto"/>
            <w:noWrap w:val="0"/>
            <w:vAlign w:val="center"/>
          </w:tcPr>
          <w:p w14:paraId="3EF56485">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1A288D32">
            <w:pPr>
              <w:widowControl/>
              <w:spacing w:line="240" w:lineRule="exact"/>
              <w:jc w:val="left"/>
              <w:rPr>
                <w:rFonts w:hint="eastAsia" w:ascii="仿宋_GB2312" w:hAnsi="仿宋_GB2312" w:eastAsia="仿宋_GB2312" w:cs="仿宋_GB2312"/>
                <w:color w:val="000000"/>
                <w:sz w:val="20"/>
                <w:szCs w:val="20"/>
              </w:rPr>
            </w:pPr>
          </w:p>
        </w:tc>
      </w:tr>
      <w:tr w14:paraId="0F55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D181C19">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5CE58CD2">
            <w:pPr>
              <w:spacing w:line="240" w:lineRule="exact"/>
              <w:jc w:val="left"/>
              <w:rPr>
                <w:rFonts w:hint="eastAsia" w:ascii="仿宋_GB2312" w:hAnsi="仿宋_GB2312" w:eastAsia="仿宋_GB2312" w:cs="仿宋_GB2312"/>
                <w:color w:val="000000"/>
                <w:sz w:val="20"/>
                <w:szCs w:val="20"/>
                <w:highlight w:val="none"/>
              </w:rPr>
            </w:pPr>
          </w:p>
        </w:tc>
        <w:tc>
          <w:tcPr>
            <w:tcW w:w="1028" w:type="dxa"/>
            <w:noWrap w:val="0"/>
            <w:vAlign w:val="center"/>
          </w:tcPr>
          <w:p w14:paraId="527188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65" w:type="dxa"/>
            <w:noWrap w:val="0"/>
            <w:vAlign w:val="center"/>
          </w:tcPr>
          <w:p w14:paraId="7E0A5CD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所有的支出控制在预算内</w:t>
            </w:r>
          </w:p>
        </w:tc>
        <w:tc>
          <w:tcPr>
            <w:tcW w:w="1306" w:type="dxa"/>
            <w:noWrap w:val="0"/>
            <w:vAlign w:val="center"/>
          </w:tcPr>
          <w:p w14:paraId="0E3EFEE3">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z w:val="20"/>
                <w:szCs w:val="20"/>
                <w:highlight w:val="none"/>
                <w:lang w:val="en-US" w:eastAsia="zh-CN"/>
              </w:rPr>
              <w:t>100%</w:t>
            </w:r>
          </w:p>
        </w:tc>
        <w:tc>
          <w:tcPr>
            <w:tcW w:w="1264" w:type="dxa"/>
            <w:noWrap w:val="0"/>
            <w:vAlign w:val="center"/>
          </w:tcPr>
          <w:p w14:paraId="242FB499">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714" w:type="dxa"/>
            <w:shd w:val="clear" w:color="auto" w:fill="auto"/>
            <w:noWrap w:val="0"/>
            <w:vAlign w:val="center"/>
          </w:tcPr>
          <w:p w14:paraId="5BCBE402">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shd w:val="clear" w:color="auto" w:fill="auto"/>
            <w:noWrap w:val="0"/>
            <w:vAlign w:val="center"/>
          </w:tcPr>
          <w:p w14:paraId="2766614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6E098A2D">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4797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1A27F422">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restart"/>
            <w:noWrap w:val="0"/>
            <w:vAlign w:val="center"/>
          </w:tcPr>
          <w:p w14:paraId="65D926F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810B73E">
            <w:pPr>
              <w:widowControl/>
              <w:spacing w:line="240" w:lineRule="exact"/>
              <w:jc w:val="left"/>
              <w:rPr>
                <w:rFonts w:hint="eastAsia" w:ascii="仿宋_GB2312" w:hAnsi="仿宋_GB2312" w:eastAsia="仿宋_GB2312" w:cs="仿宋_GB2312"/>
                <w:color w:val="000000"/>
                <w:sz w:val="20"/>
                <w:szCs w:val="20"/>
                <w:highlight w:val="none"/>
              </w:rPr>
            </w:pPr>
          </w:p>
          <w:p w14:paraId="79BD2F1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E70D8B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8" w:type="dxa"/>
            <w:noWrap w:val="0"/>
            <w:vAlign w:val="center"/>
          </w:tcPr>
          <w:p w14:paraId="22917E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F2B2C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noWrap w:val="0"/>
            <w:vAlign w:val="center"/>
          </w:tcPr>
          <w:p w14:paraId="619361F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实现节能减排，减少环保治理经费</w:t>
            </w:r>
          </w:p>
        </w:tc>
        <w:tc>
          <w:tcPr>
            <w:tcW w:w="1306" w:type="dxa"/>
            <w:noWrap w:val="0"/>
            <w:vAlign w:val="center"/>
          </w:tcPr>
          <w:p w14:paraId="547A4AD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经济效益较好</w:t>
            </w:r>
          </w:p>
        </w:tc>
        <w:tc>
          <w:tcPr>
            <w:tcW w:w="1264" w:type="dxa"/>
            <w:noWrap w:val="0"/>
            <w:vAlign w:val="center"/>
          </w:tcPr>
          <w:p w14:paraId="7A1D3F29">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经济效益较好</w:t>
            </w:r>
          </w:p>
        </w:tc>
        <w:tc>
          <w:tcPr>
            <w:tcW w:w="714" w:type="dxa"/>
            <w:shd w:val="clear" w:color="auto" w:fill="auto"/>
            <w:noWrap w:val="0"/>
            <w:vAlign w:val="center"/>
          </w:tcPr>
          <w:p w14:paraId="1261961F">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239A7F4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380DBAD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D8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C4AA505">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196727DD">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restart"/>
            <w:noWrap w:val="0"/>
            <w:vAlign w:val="center"/>
          </w:tcPr>
          <w:p w14:paraId="510874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F1C86A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noWrap w:val="0"/>
            <w:vAlign w:val="center"/>
          </w:tcPr>
          <w:p w14:paraId="3153BB0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改善辖区环境质量及群众生产生活环境</w:t>
            </w:r>
          </w:p>
        </w:tc>
        <w:tc>
          <w:tcPr>
            <w:tcW w:w="1306" w:type="dxa"/>
            <w:noWrap w:val="0"/>
            <w:vAlign w:val="center"/>
          </w:tcPr>
          <w:p w14:paraId="4E8F677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社会效益好</w:t>
            </w:r>
          </w:p>
        </w:tc>
        <w:tc>
          <w:tcPr>
            <w:tcW w:w="1264" w:type="dxa"/>
            <w:noWrap w:val="0"/>
            <w:vAlign w:val="center"/>
          </w:tcPr>
          <w:p w14:paraId="79C3506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社会效益好</w:t>
            </w:r>
          </w:p>
        </w:tc>
        <w:tc>
          <w:tcPr>
            <w:tcW w:w="714" w:type="dxa"/>
            <w:shd w:val="clear" w:color="auto" w:fill="auto"/>
            <w:noWrap w:val="0"/>
            <w:vAlign w:val="center"/>
          </w:tcPr>
          <w:p w14:paraId="764F720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6628D07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0129A50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7B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22E03E11">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548BD19C">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2572487C">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shd w:val="clear" w:color="auto" w:fill="auto"/>
            <w:noWrap w:val="0"/>
            <w:vAlign w:val="center"/>
          </w:tcPr>
          <w:p w14:paraId="337955F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rPr>
              <w:t>提升了公众环保意识，提升生态环境保护社会影响度</w:t>
            </w:r>
          </w:p>
        </w:tc>
        <w:tc>
          <w:tcPr>
            <w:tcW w:w="1306" w:type="dxa"/>
            <w:shd w:val="clear" w:color="auto" w:fill="auto"/>
            <w:noWrap w:val="0"/>
            <w:vAlign w:val="center"/>
          </w:tcPr>
          <w:p w14:paraId="3175055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有所提升</w:t>
            </w:r>
          </w:p>
        </w:tc>
        <w:tc>
          <w:tcPr>
            <w:tcW w:w="1264" w:type="dxa"/>
            <w:shd w:val="clear" w:color="auto" w:fill="auto"/>
            <w:noWrap w:val="0"/>
            <w:vAlign w:val="center"/>
          </w:tcPr>
          <w:p w14:paraId="6888FC6F">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有所提升</w:t>
            </w:r>
          </w:p>
        </w:tc>
        <w:tc>
          <w:tcPr>
            <w:tcW w:w="714" w:type="dxa"/>
            <w:shd w:val="clear" w:color="auto" w:fill="auto"/>
            <w:noWrap w:val="0"/>
            <w:vAlign w:val="center"/>
          </w:tcPr>
          <w:p w14:paraId="5A2BB06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916" w:type="dxa"/>
            <w:shd w:val="clear" w:color="auto" w:fill="auto"/>
            <w:noWrap w:val="0"/>
            <w:vAlign w:val="center"/>
          </w:tcPr>
          <w:p w14:paraId="30298BF9">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1436" w:type="dxa"/>
            <w:noWrap w:val="0"/>
            <w:vAlign w:val="center"/>
          </w:tcPr>
          <w:p w14:paraId="303F9EEC">
            <w:pPr>
              <w:widowControl/>
              <w:spacing w:line="240" w:lineRule="exact"/>
              <w:jc w:val="left"/>
              <w:rPr>
                <w:rFonts w:hint="eastAsia" w:ascii="仿宋_GB2312" w:hAnsi="仿宋_GB2312" w:eastAsia="仿宋_GB2312" w:cs="仿宋_GB2312"/>
                <w:color w:val="000000"/>
                <w:sz w:val="20"/>
                <w:szCs w:val="20"/>
                <w:highlight w:val="none"/>
              </w:rPr>
            </w:pPr>
          </w:p>
        </w:tc>
      </w:tr>
      <w:tr w14:paraId="78AC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3F9ECA38">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20219336">
            <w:pPr>
              <w:spacing w:line="240" w:lineRule="exact"/>
              <w:jc w:val="left"/>
              <w:rPr>
                <w:rFonts w:hint="eastAsia" w:ascii="仿宋_GB2312" w:hAnsi="仿宋_GB2312" w:eastAsia="仿宋_GB2312" w:cs="仿宋_GB2312"/>
                <w:color w:val="000000"/>
                <w:sz w:val="20"/>
                <w:szCs w:val="20"/>
                <w:highlight w:val="none"/>
              </w:rPr>
            </w:pPr>
          </w:p>
        </w:tc>
        <w:tc>
          <w:tcPr>
            <w:tcW w:w="1028" w:type="dxa"/>
            <w:noWrap w:val="0"/>
            <w:vAlign w:val="center"/>
          </w:tcPr>
          <w:p w14:paraId="63920EA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27B00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noWrap w:val="0"/>
            <w:vAlign w:val="center"/>
          </w:tcPr>
          <w:p w14:paraId="0C0C636C">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lang w:eastAsia="zh-CN"/>
              </w:rPr>
              <w:t>治理重点污染城市环境</w:t>
            </w:r>
          </w:p>
        </w:tc>
        <w:tc>
          <w:tcPr>
            <w:tcW w:w="1306" w:type="dxa"/>
            <w:noWrap w:val="0"/>
            <w:vAlign w:val="center"/>
          </w:tcPr>
          <w:p w14:paraId="23144FD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lang w:eastAsia="zh-CN"/>
              </w:rPr>
              <w:t>有所改善</w:t>
            </w:r>
          </w:p>
        </w:tc>
        <w:tc>
          <w:tcPr>
            <w:tcW w:w="1264" w:type="dxa"/>
            <w:noWrap w:val="0"/>
            <w:vAlign w:val="center"/>
          </w:tcPr>
          <w:p w14:paraId="25387F6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lang w:eastAsia="zh-CN"/>
              </w:rPr>
              <w:t>有所改善</w:t>
            </w:r>
          </w:p>
        </w:tc>
        <w:tc>
          <w:tcPr>
            <w:tcW w:w="714" w:type="dxa"/>
            <w:shd w:val="clear" w:color="auto" w:fill="auto"/>
            <w:noWrap w:val="0"/>
            <w:vAlign w:val="center"/>
          </w:tcPr>
          <w:p w14:paraId="5EF8662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916" w:type="dxa"/>
            <w:noWrap w:val="0"/>
            <w:vAlign w:val="center"/>
          </w:tcPr>
          <w:p w14:paraId="12F95EA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1436" w:type="dxa"/>
            <w:noWrap w:val="0"/>
            <w:vAlign w:val="center"/>
          </w:tcPr>
          <w:p w14:paraId="30981451">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5DD5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75" w:type="dxa"/>
            <w:vMerge w:val="continue"/>
            <w:noWrap w:val="0"/>
            <w:vAlign w:val="center"/>
          </w:tcPr>
          <w:p w14:paraId="765145E4">
            <w:pPr>
              <w:widowControl/>
              <w:spacing w:line="240" w:lineRule="exact"/>
              <w:jc w:val="center"/>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23BF5BD8">
            <w:pPr>
              <w:widowControl/>
              <w:spacing w:line="240" w:lineRule="exact"/>
              <w:jc w:val="left"/>
              <w:rPr>
                <w:rFonts w:hint="eastAsia" w:ascii="仿宋_GB2312" w:hAnsi="仿宋_GB2312" w:eastAsia="仿宋_GB2312" w:cs="仿宋_GB2312"/>
                <w:color w:val="000000"/>
                <w:sz w:val="20"/>
                <w:szCs w:val="20"/>
                <w:highlight w:val="none"/>
              </w:rPr>
            </w:pPr>
          </w:p>
        </w:tc>
        <w:tc>
          <w:tcPr>
            <w:tcW w:w="1028" w:type="dxa"/>
            <w:noWrap w:val="0"/>
            <w:vAlign w:val="center"/>
          </w:tcPr>
          <w:p w14:paraId="4833BF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65" w:type="dxa"/>
            <w:shd w:val="clear" w:color="auto" w:fill="auto"/>
            <w:noWrap w:val="0"/>
            <w:vAlign w:val="center"/>
          </w:tcPr>
          <w:p w14:paraId="669E8AA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rPr>
              <w:t>绿色发展稳步推进</w:t>
            </w:r>
          </w:p>
        </w:tc>
        <w:tc>
          <w:tcPr>
            <w:tcW w:w="1306" w:type="dxa"/>
            <w:shd w:val="clear" w:color="auto" w:fill="auto"/>
            <w:noWrap w:val="0"/>
            <w:vAlign w:val="center"/>
          </w:tcPr>
          <w:p w14:paraId="2ADAE03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社会可持续发展良好</w:t>
            </w:r>
          </w:p>
        </w:tc>
        <w:tc>
          <w:tcPr>
            <w:tcW w:w="1264" w:type="dxa"/>
            <w:shd w:val="clear" w:color="auto" w:fill="auto"/>
            <w:noWrap w:val="0"/>
            <w:vAlign w:val="center"/>
          </w:tcPr>
          <w:p w14:paraId="218CD87E">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效益明显</w:t>
            </w:r>
          </w:p>
        </w:tc>
        <w:tc>
          <w:tcPr>
            <w:tcW w:w="714" w:type="dxa"/>
            <w:noWrap w:val="0"/>
            <w:vAlign w:val="center"/>
          </w:tcPr>
          <w:p w14:paraId="66C7CE92">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916" w:type="dxa"/>
            <w:noWrap w:val="0"/>
            <w:vAlign w:val="center"/>
          </w:tcPr>
          <w:p w14:paraId="66D04A80">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36" w:type="dxa"/>
            <w:noWrap w:val="0"/>
            <w:vAlign w:val="center"/>
          </w:tcPr>
          <w:p w14:paraId="091ACB4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AF4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75" w:type="dxa"/>
            <w:vMerge w:val="continue"/>
            <w:noWrap w:val="0"/>
            <w:vAlign w:val="center"/>
          </w:tcPr>
          <w:p w14:paraId="3E25F0C9">
            <w:pPr>
              <w:spacing w:line="240" w:lineRule="exact"/>
              <w:jc w:val="left"/>
              <w:rPr>
                <w:rFonts w:hint="eastAsia" w:ascii="仿宋_GB2312" w:hAnsi="仿宋_GB2312" w:eastAsia="仿宋_GB2312" w:cs="仿宋_GB2312"/>
                <w:color w:val="000000"/>
                <w:sz w:val="20"/>
                <w:szCs w:val="20"/>
                <w:highlight w:val="none"/>
              </w:rPr>
            </w:pPr>
          </w:p>
        </w:tc>
        <w:tc>
          <w:tcPr>
            <w:tcW w:w="1075" w:type="dxa"/>
            <w:noWrap w:val="0"/>
            <w:vAlign w:val="center"/>
          </w:tcPr>
          <w:p w14:paraId="2C3FA6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8313D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CF9D65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28" w:type="dxa"/>
            <w:noWrap w:val="0"/>
            <w:vAlign w:val="center"/>
          </w:tcPr>
          <w:p w14:paraId="224795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65" w:type="dxa"/>
            <w:noWrap w:val="0"/>
            <w:vAlign w:val="center"/>
          </w:tcPr>
          <w:p w14:paraId="665220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rPr>
              <w:t>临湘市全体人民群众</w:t>
            </w:r>
          </w:p>
        </w:tc>
        <w:tc>
          <w:tcPr>
            <w:tcW w:w="1306" w:type="dxa"/>
            <w:noWrap w:val="0"/>
            <w:vAlign w:val="center"/>
          </w:tcPr>
          <w:p w14:paraId="017D81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264" w:type="dxa"/>
            <w:noWrap w:val="0"/>
            <w:vAlign w:val="center"/>
          </w:tcPr>
          <w:p w14:paraId="2B3629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714" w:type="dxa"/>
            <w:noWrap w:val="0"/>
            <w:vAlign w:val="center"/>
          </w:tcPr>
          <w:p w14:paraId="781D298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916" w:type="dxa"/>
            <w:noWrap w:val="0"/>
            <w:vAlign w:val="center"/>
          </w:tcPr>
          <w:p w14:paraId="03B3962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36" w:type="dxa"/>
            <w:noWrap w:val="0"/>
            <w:vAlign w:val="center"/>
          </w:tcPr>
          <w:p w14:paraId="33D4068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EB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13" w:type="dxa"/>
            <w:gridSpan w:val="6"/>
            <w:noWrap w:val="0"/>
            <w:vAlign w:val="center"/>
          </w:tcPr>
          <w:p w14:paraId="645B51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4" w:type="dxa"/>
            <w:noWrap w:val="0"/>
            <w:vAlign w:val="center"/>
          </w:tcPr>
          <w:p w14:paraId="008EDA0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noWrap w:val="0"/>
            <w:vAlign w:val="center"/>
          </w:tcPr>
          <w:p w14:paraId="04D42A5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36" w:type="dxa"/>
            <w:noWrap w:val="0"/>
            <w:vAlign w:val="center"/>
          </w:tcPr>
          <w:p w14:paraId="2989802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E831F30">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5D0961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53F045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3F9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FA93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55CD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环境监测、监控及监察能力建设</w:t>
            </w:r>
          </w:p>
        </w:tc>
      </w:tr>
      <w:tr w14:paraId="3977B80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B32AB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DE56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7198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94A6F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岳阳市生态环境局临湘分局</w:t>
            </w:r>
          </w:p>
        </w:tc>
      </w:tr>
      <w:tr w14:paraId="4EB6A58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5FE5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5851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D424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016E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9AE9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7504E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0D80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CBB13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D1ABB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57D15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E3223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51DD41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319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4859F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79117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66</w:t>
            </w:r>
          </w:p>
        </w:tc>
        <w:tc>
          <w:tcPr>
            <w:tcW w:w="1134" w:type="dxa"/>
            <w:tcBorders>
              <w:top w:val="nil"/>
              <w:left w:val="nil"/>
              <w:bottom w:val="single" w:color="auto" w:sz="4" w:space="0"/>
              <w:right w:val="single" w:color="auto" w:sz="4" w:space="0"/>
            </w:tcBorders>
            <w:noWrap w:val="0"/>
            <w:vAlign w:val="center"/>
          </w:tcPr>
          <w:p w14:paraId="30863203">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64.86</w:t>
            </w:r>
          </w:p>
        </w:tc>
        <w:tc>
          <w:tcPr>
            <w:tcW w:w="1134" w:type="dxa"/>
            <w:tcBorders>
              <w:top w:val="nil"/>
              <w:left w:val="nil"/>
              <w:bottom w:val="single" w:color="auto" w:sz="4" w:space="0"/>
              <w:right w:val="single" w:color="auto" w:sz="4" w:space="0"/>
            </w:tcBorders>
            <w:noWrap w:val="0"/>
            <w:vAlign w:val="center"/>
          </w:tcPr>
          <w:p w14:paraId="4B6F1F58">
            <w:pPr>
              <w:widowControl/>
              <w:spacing w:line="360" w:lineRule="exact"/>
              <w:jc w:val="center"/>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kern w:val="0"/>
                <w:sz w:val="20"/>
                <w:szCs w:val="20"/>
                <w:highlight w:val="none"/>
                <w:lang w:val="en-US" w:eastAsia="zh-CN" w:bidi="ar-SA"/>
              </w:rPr>
              <w:t>64.86</w:t>
            </w:r>
          </w:p>
        </w:tc>
        <w:tc>
          <w:tcPr>
            <w:tcW w:w="828" w:type="dxa"/>
            <w:tcBorders>
              <w:top w:val="nil"/>
              <w:left w:val="nil"/>
              <w:bottom w:val="single" w:color="auto" w:sz="4" w:space="0"/>
              <w:right w:val="single" w:color="auto" w:sz="4" w:space="0"/>
            </w:tcBorders>
            <w:noWrap w:val="0"/>
            <w:vAlign w:val="center"/>
          </w:tcPr>
          <w:p w14:paraId="6CBE91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E8B98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7FD6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r>
      <w:tr w14:paraId="0BCD07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76E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960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3CF6ED8">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66</w:t>
            </w:r>
          </w:p>
        </w:tc>
        <w:tc>
          <w:tcPr>
            <w:tcW w:w="1134" w:type="dxa"/>
            <w:tcBorders>
              <w:top w:val="nil"/>
              <w:left w:val="nil"/>
              <w:bottom w:val="single" w:color="auto" w:sz="4" w:space="0"/>
              <w:right w:val="single" w:color="auto" w:sz="4" w:space="0"/>
            </w:tcBorders>
            <w:noWrap w:val="0"/>
            <w:vAlign w:val="center"/>
          </w:tcPr>
          <w:p w14:paraId="48B586E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64.86</w:t>
            </w:r>
          </w:p>
        </w:tc>
        <w:tc>
          <w:tcPr>
            <w:tcW w:w="1134" w:type="dxa"/>
            <w:tcBorders>
              <w:top w:val="nil"/>
              <w:left w:val="nil"/>
              <w:bottom w:val="single" w:color="auto" w:sz="4" w:space="0"/>
              <w:right w:val="single" w:color="auto" w:sz="4" w:space="0"/>
            </w:tcBorders>
            <w:noWrap w:val="0"/>
            <w:vAlign w:val="center"/>
          </w:tcPr>
          <w:p w14:paraId="5F3D83B6">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64.86</w:t>
            </w:r>
          </w:p>
        </w:tc>
        <w:tc>
          <w:tcPr>
            <w:tcW w:w="828" w:type="dxa"/>
            <w:tcBorders>
              <w:top w:val="nil"/>
              <w:left w:val="nil"/>
              <w:bottom w:val="single" w:color="auto" w:sz="4" w:space="0"/>
              <w:right w:val="single" w:color="auto" w:sz="4" w:space="0"/>
            </w:tcBorders>
            <w:noWrap w:val="0"/>
            <w:vAlign w:val="center"/>
          </w:tcPr>
          <w:p w14:paraId="2FF83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1023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847C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6F2F0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07F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3969D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DD368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EEF2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9A0B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F0C6F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293B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417F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BE00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D05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05EF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566F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C95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8A92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D2F38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394D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876A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57278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E7C2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99FF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41E3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8EFCBB3">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6216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shd w:val="clear" w:color="auto" w:fill="auto"/>
            <w:noWrap w:val="0"/>
            <w:vAlign w:val="center"/>
          </w:tcPr>
          <w:p w14:paraId="07367F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加强环境监测执法等能力建设；</w:t>
            </w:r>
          </w:p>
          <w:p w14:paraId="7795D7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开展环保督察、环境执法专项行动。</w:t>
            </w:r>
          </w:p>
          <w:p w14:paraId="048F91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31"/>
                <w:szCs w:val="31"/>
                <w:lang w:val="en-US" w:eastAsia="en-US" w:bidi="ar-SA"/>
              </w:rPr>
            </w:pPr>
            <w:r>
              <w:rPr>
                <w:rFonts w:hint="eastAsia" w:ascii="仿宋_GB2312" w:hAnsi="仿宋_GB2312" w:eastAsia="仿宋_GB2312" w:cs="仿宋_GB2312"/>
                <w:color w:val="000000"/>
                <w:sz w:val="20"/>
                <w:szCs w:val="20"/>
                <w:highlight w:val="none"/>
              </w:rPr>
              <w:t>承担落实全市减排目标责任，对全市环境保护工作实施统一监管，开展环境监测、环境监察、污染防治、核与辐射监管，以及生态保护和建设等工作。</w:t>
            </w:r>
          </w:p>
        </w:tc>
        <w:tc>
          <w:tcPr>
            <w:tcW w:w="4253" w:type="dxa"/>
            <w:gridSpan w:val="4"/>
            <w:tcBorders>
              <w:top w:val="single" w:color="auto" w:sz="4" w:space="0"/>
              <w:left w:val="nil"/>
              <w:bottom w:val="single" w:color="auto" w:sz="4" w:space="0"/>
              <w:right w:val="single" w:color="auto" w:sz="4" w:space="0"/>
            </w:tcBorders>
            <w:shd w:val="clear" w:color="auto" w:fill="auto"/>
            <w:noWrap w:val="0"/>
            <w:vAlign w:val="center"/>
          </w:tcPr>
          <w:p w14:paraId="6E00B6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73C066E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DE4F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D91D9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BE25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0C19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DC4B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6E3A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196C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1D6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B29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0D15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67E2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79BB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ADC2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BF715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47B58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1BE9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1DD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6D0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1A18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7DBC9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shd w:val="clear" w:color="auto" w:fill="auto"/>
            <w:noWrap w:val="0"/>
            <w:vAlign w:val="center"/>
          </w:tcPr>
          <w:p w14:paraId="6D5F4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重点监测重点排污企业</w:t>
            </w:r>
          </w:p>
        </w:tc>
        <w:tc>
          <w:tcPr>
            <w:tcW w:w="1134" w:type="dxa"/>
            <w:tcBorders>
              <w:top w:val="nil"/>
              <w:left w:val="nil"/>
              <w:bottom w:val="single" w:color="auto" w:sz="4" w:space="0"/>
              <w:right w:val="single" w:color="auto" w:sz="4" w:space="0"/>
            </w:tcBorders>
            <w:shd w:val="clear" w:color="auto" w:fill="auto"/>
            <w:noWrap w:val="0"/>
            <w:vAlign w:val="center"/>
          </w:tcPr>
          <w:p w14:paraId="6AE2E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37家</w:t>
            </w:r>
          </w:p>
        </w:tc>
        <w:tc>
          <w:tcPr>
            <w:tcW w:w="1134" w:type="dxa"/>
            <w:tcBorders>
              <w:top w:val="nil"/>
              <w:left w:val="nil"/>
              <w:bottom w:val="single" w:color="auto" w:sz="4" w:space="0"/>
              <w:right w:val="single" w:color="auto" w:sz="4" w:space="0"/>
            </w:tcBorders>
            <w:shd w:val="clear" w:color="auto" w:fill="auto"/>
            <w:noWrap w:val="0"/>
            <w:vAlign w:val="center"/>
          </w:tcPr>
          <w:p w14:paraId="36606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60C83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03A4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E909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2391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A9AC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0E5FB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05343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14:paraId="3E36A88F">
            <w:pPr>
              <w:widowControl/>
              <w:spacing w:line="240" w:lineRule="exact"/>
              <w:jc w:val="both"/>
              <w:rPr>
                <w:rFonts w:hint="eastAsia" w:ascii="仿宋" w:hAnsi="仿宋" w:eastAsia="仿宋" w:cs="仿宋"/>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委</w:t>
            </w:r>
            <w:r>
              <w:rPr>
                <w:rFonts w:hint="eastAsia" w:ascii="仿宋_GB2312" w:hAnsi="仿宋_GB2312" w:eastAsia="仿宋_GB2312" w:cs="仿宋_GB2312"/>
                <w:color w:val="000000"/>
                <w:sz w:val="20"/>
                <w:szCs w:val="20"/>
                <w:lang w:val="en-US" w:eastAsia="zh-CN"/>
              </w:rPr>
              <w:t>托第三方进行监督性监测</w:t>
            </w:r>
          </w:p>
        </w:tc>
        <w:tc>
          <w:tcPr>
            <w:tcW w:w="1134" w:type="dxa"/>
            <w:tcBorders>
              <w:top w:val="nil"/>
              <w:left w:val="nil"/>
              <w:bottom w:val="single" w:color="auto" w:sz="4" w:space="0"/>
              <w:right w:val="single" w:color="auto" w:sz="4" w:space="0"/>
            </w:tcBorders>
            <w:shd w:val="clear" w:color="auto" w:fill="auto"/>
            <w:noWrap w:val="0"/>
            <w:vAlign w:val="center"/>
          </w:tcPr>
          <w:p w14:paraId="2F041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15次</w:t>
            </w:r>
          </w:p>
        </w:tc>
        <w:tc>
          <w:tcPr>
            <w:tcW w:w="1134" w:type="dxa"/>
            <w:tcBorders>
              <w:top w:val="nil"/>
              <w:left w:val="nil"/>
              <w:bottom w:val="single" w:color="auto" w:sz="4" w:space="0"/>
              <w:right w:val="single" w:color="auto" w:sz="4" w:space="0"/>
            </w:tcBorders>
            <w:shd w:val="clear" w:color="auto" w:fill="auto"/>
            <w:noWrap w:val="0"/>
            <w:vAlign w:val="center"/>
          </w:tcPr>
          <w:p w14:paraId="0B6D4E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26E594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0F5404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2E3CD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9D0A4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8417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FCBC0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3EDC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14:paraId="03A77A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开展各项环保专项行动</w:t>
            </w:r>
          </w:p>
        </w:tc>
        <w:tc>
          <w:tcPr>
            <w:tcW w:w="1134" w:type="dxa"/>
            <w:tcBorders>
              <w:top w:val="nil"/>
              <w:left w:val="nil"/>
              <w:bottom w:val="single" w:color="auto" w:sz="4" w:space="0"/>
              <w:right w:val="single" w:color="auto" w:sz="4" w:space="0"/>
            </w:tcBorders>
            <w:shd w:val="clear" w:color="auto" w:fill="auto"/>
            <w:noWrap w:val="0"/>
            <w:vAlign w:val="center"/>
          </w:tcPr>
          <w:p w14:paraId="0CC584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10次</w:t>
            </w:r>
          </w:p>
        </w:tc>
        <w:tc>
          <w:tcPr>
            <w:tcW w:w="1134" w:type="dxa"/>
            <w:tcBorders>
              <w:top w:val="nil"/>
              <w:left w:val="nil"/>
              <w:bottom w:val="single" w:color="auto" w:sz="4" w:space="0"/>
              <w:right w:val="single" w:color="auto" w:sz="4" w:space="0"/>
            </w:tcBorders>
            <w:shd w:val="clear" w:color="auto" w:fill="auto"/>
            <w:noWrap w:val="0"/>
            <w:vAlign w:val="center"/>
          </w:tcPr>
          <w:p w14:paraId="031429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6EA937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02D5A0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A7495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34200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71F8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E663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7D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shd w:val="clear" w:color="auto" w:fill="auto"/>
            <w:noWrap w:val="0"/>
            <w:vAlign w:val="center"/>
          </w:tcPr>
          <w:p w14:paraId="00DC5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城区空气质量优良率</w:t>
            </w:r>
          </w:p>
        </w:tc>
        <w:tc>
          <w:tcPr>
            <w:tcW w:w="1134" w:type="dxa"/>
            <w:tcBorders>
              <w:top w:val="nil"/>
              <w:left w:val="nil"/>
              <w:bottom w:val="single" w:color="auto" w:sz="4" w:space="0"/>
              <w:right w:val="single" w:color="auto" w:sz="4" w:space="0"/>
            </w:tcBorders>
            <w:shd w:val="clear" w:color="auto" w:fill="auto"/>
            <w:noWrap w:val="0"/>
            <w:vAlign w:val="center"/>
          </w:tcPr>
          <w:p w14:paraId="601A4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85%</w:t>
            </w:r>
          </w:p>
        </w:tc>
        <w:tc>
          <w:tcPr>
            <w:tcW w:w="1134" w:type="dxa"/>
            <w:tcBorders>
              <w:top w:val="nil"/>
              <w:left w:val="nil"/>
              <w:bottom w:val="single" w:color="auto" w:sz="4" w:space="0"/>
              <w:right w:val="single" w:color="auto" w:sz="4" w:space="0"/>
            </w:tcBorders>
            <w:shd w:val="clear" w:color="auto" w:fill="auto"/>
            <w:noWrap w:val="0"/>
            <w:vAlign w:val="center"/>
          </w:tcPr>
          <w:p w14:paraId="1E70D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85%以上</w:t>
            </w:r>
          </w:p>
        </w:tc>
        <w:tc>
          <w:tcPr>
            <w:tcW w:w="828" w:type="dxa"/>
            <w:tcBorders>
              <w:top w:val="nil"/>
              <w:left w:val="nil"/>
              <w:bottom w:val="single" w:color="auto" w:sz="4" w:space="0"/>
              <w:right w:val="single" w:color="auto" w:sz="4" w:space="0"/>
            </w:tcBorders>
            <w:shd w:val="clear" w:color="auto" w:fill="auto"/>
            <w:noWrap w:val="0"/>
            <w:vAlign w:val="center"/>
          </w:tcPr>
          <w:p w14:paraId="6FE13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873" w:type="dxa"/>
            <w:tcBorders>
              <w:top w:val="nil"/>
              <w:left w:val="nil"/>
              <w:bottom w:val="single" w:color="auto" w:sz="4" w:space="0"/>
              <w:right w:val="single" w:color="auto" w:sz="4" w:space="0"/>
            </w:tcBorders>
            <w:shd w:val="clear" w:color="auto" w:fill="auto"/>
            <w:noWrap w:val="0"/>
            <w:vAlign w:val="center"/>
          </w:tcPr>
          <w:p w14:paraId="7D58AF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2660D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A1F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9ABB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0A1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AEF4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A9E214C">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按时完成各项指标任务</w:t>
            </w:r>
          </w:p>
        </w:tc>
        <w:tc>
          <w:tcPr>
            <w:tcW w:w="1134" w:type="dxa"/>
            <w:tcBorders>
              <w:top w:val="nil"/>
              <w:left w:val="nil"/>
              <w:bottom w:val="single" w:color="auto" w:sz="4" w:space="0"/>
              <w:right w:val="single" w:color="auto" w:sz="4" w:space="0"/>
            </w:tcBorders>
            <w:noWrap w:val="0"/>
            <w:vAlign w:val="center"/>
          </w:tcPr>
          <w:p w14:paraId="3F3ECC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2024年12月31日</w:t>
            </w:r>
          </w:p>
        </w:tc>
        <w:tc>
          <w:tcPr>
            <w:tcW w:w="1134" w:type="dxa"/>
            <w:tcBorders>
              <w:top w:val="nil"/>
              <w:left w:val="nil"/>
              <w:bottom w:val="single" w:color="auto" w:sz="4" w:space="0"/>
              <w:right w:val="single" w:color="auto" w:sz="4" w:space="0"/>
            </w:tcBorders>
            <w:noWrap w:val="0"/>
            <w:vAlign w:val="center"/>
          </w:tcPr>
          <w:p w14:paraId="5000707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2024年12月31日</w:t>
            </w:r>
          </w:p>
        </w:tc>
        <w:tc>
          <w:tcPr>
            <w:tcW w:w="828" w:type="dxa"/>
            <w:tcBorders>
              <w:top w:val="nil"/>
              <w:left w:val="nil"/>
              <w:bottom w:val="single" w:color="auto" w:sz="4" w:space="0"/>
              <w:right w:val="single" w:color="auto" w:sz="4" w:space="0"/>
            </w:tcBorders>
            <w:noWrap w:val="0"/>
            <w:vAlign w:val="center"/>
          </w:tcPr>
          <w:p w14:paraId="1DFC1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0FE12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47B37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7B69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CED8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358B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7AB02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shd w:val="clear" w:color="auto" w:fill="auto"/>
            <w:noWrap w:val="0"/>
            <w:vAlign w:val="center"/>
          </w:tcPr>
          <w:p w14:paraId="0A0883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rPr>
              <w:t>支出控制在预算内</w:t>
            </w:r>
          </w:p>
        </w:tc>
        <w:tc>
          <w:tcPr>
            <w:tcW w:w="1134" w:type="dxa"/>
            <w:tcBorders>
              <w:top w:val="nil"/>
              <w:left w:val="nil"/>
              <w:bottom w:val="single" w:color="auto" w:sz="4" w:space="0"/>
              <w:right w:val="single" w:color="auto" w:sz="4" w:space="0"/>
            </w:tcBorders>
            <w:shd w:val="clear" w:color="auto" w:fill="auto"/>
            <w:noWrap w:val="0"/>
            <w:vAlign w:val="center"/>
          </w:tcPr>
          <w:p w14:paraId="0EF65D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shd w:val="clear" w:color="auto" w:fill="auto"/>
            <w:noWrap w:val="0"/>
            <w:vAlign w:val="center"/>
          </w:tcPr>
          <w:p w14:paraId="48A000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02479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5A27B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0E76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9A731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C55C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E96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372E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2CD6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552C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7E53A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67964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17E6D75">
            <w:pPr>
              <w:widowControl/>
              <w:spacing w:line="240" w:lineRule="exact"/>
              <w:jc w:val="both"/>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18"/>
                <w:szCs w:val="18"/>
              </w:rPr>
              <w:t>企业减排增效，实现经济可持续发展</w:t>
            </w:r>
          </w:p>
        </w:tc>
        <w:tc>
          <w:tcPr>
            <w:tcW w:w="1134" w:type="dxa"/>
            <w:tcBorders>
              <w:top w:val="nil"/>
              <w:left w:val="nil"/>
              <w:bottom w:val="single" w:color="auto" w:sz="4" w:space="0"/>
              <w:right w:val="single" w:color="auto" w:sz="4" w:space="0"/>
            </w:tcBorders>
            <w:noWrap w:val="0"/>
            <w:vAlign w:val="center"/>
          </w:tcPr>
          <w:p w14:paraId="67C055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rPr>
              <w:t>经济平稳发展</w:t>
            </w:r>
          </w:p>
        </w:tc>
        <w:tc>
          <w:tcPr>
            <w:tcW w:w="1134" w:type="dxa"/>
            <w:tcBorders>
              <w:top w:val="nil"/>
              <w:left w:val="nil"/>
              <w:bottom w:val="single" w:color="auto" w:sz="4" w:space="0"/>
              <w:right w:val="single" w:color="auto" w:sz="4" w:space="0"/>
            </w:tcBorders>
            <w:noWrap w:val="0"/>
            <w:vAlign w:val="center"/>
          </w:tcPr>
          <w:p w14:paraId="0A0AE1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平稳发展</w:t>
            </w:r>
          </w:p>
        </w:tc>
        <w:tc>
          <w:tcPr>
            <w:tcW w:w="828" w:type="dxa"/>
            <w:tcBorders>
              <w:top w:val="nil"/>
              <w:left w:val="nil"/>
              <w:bottom w:val="single" w:color="auto" w:sz="4" w:space="0"/>
              <w:right w:val="single" w:color="auto" w:sz="4" w:space="0"/>
            </w:tcBorders>
            <w:noWrap w:val="0"/>
            <w:vAlign w:val="center"/>
          </w:tcPr>
          <w:p w14:paraId="545B12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D20D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2348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D4EF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D764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987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58258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D783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0AED6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改善居民生产生活环境</w:t>
            </w:r>
          </w:p>
        </w:tc>
        <w:tc>
          <w:tcPr>
            <w:tcW w:w="1134" w:type="dxa"/>
            <w:tcBorders>
              <w:top w:val="nil"/>
              <w:left w:val="nil"/>
              <w:bottom w:val="single" w:color="auto" w:sz="4" w:space="0"/>
              <w:right w:val="single" w:color="auto" w:sz="4" w:space="0"/>
            </w:tcBorders>
            <w:shd w:val="clear" w:color="auto" w:fill="auto"/>
            <w:noWrap w:val="0"/>
            <w:vAlign w:val="center"/>
          </w:tcPr>
          <w:p w14:paraId="250039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有所改善</w:t>
            </w:r>
          </w:p>
        </w:tc>
        <w:tc>
          <w:tcPr>
            <w:tcW w:w="1134" w:type="dxa"/>
            <w:tcBorders>
              <w:top w:val="nil"/>
              <w:left w:val="nil"/>
              <w:bottom w:val="single" w:color="auto" w:sz="4" w:space="0"/>
              <w:right w:val="single" w:color="auto" w:sz="4" w:space="0"/>
            </w:tcBorders>
            <w:shd w:val="clear" w:color="auto" w:fill="auto"/>
            <w:noWrap w:val="0"/>
            <w:vAlign w:val="center"/>
          </w:tcPr>
          <w:p w14:paraId="166BED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有所提升</w:t>
            </w:r>
          </w:p>
        </w:tc>
        <w:tc>
          <w:tcPr>
            <w:tcW w:w="828" w:type="dxa"/>
            <w:tcBorders>
              <w:top w:val="nil"/>
              <w:left w:val="nil"/>
              <w:bottom w:val="single" w:color="auto" w:sz="4" w:space="0"/>
              <w:right w:val="single" w:color="auto" w:sz="4" w:space="0"/>
            </w:tcBorders>
            <w:shd w:val="clear" w:color="auto" w:fill="auto"/>
            <w:noWrap w:val="0"/>
            <w:vAlign w:val="center"/>
          </w:tcPr>
          <w:p w14:paraId="3AC5D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4377EF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BF0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F150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8959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8014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0ABF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B59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067086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城区空气质量优良率</w:t>
            </w:r>
          </w:p>
        </w:tc>
        <w:tc>
          <w:tcPr>
            <w:tcW w:w="1134" w:type="dxa"/>
            <w:tcBorders>
              <w:top w:val="nil"/>
              <w:left w:val="nil"/>
              <w:bottom w:val="single" w:color="auto" w:sz="4" w:space="0"/>
              <w:right w:val="single" w:color="auto" w:sz="4" w:space="0"/>
            </w:tcBorders>
            <w:shd w:val="clear" w:color="auto" w:fill="auto"/>
            <w:noWrap w:val="0"/>
            <w:vAlign w:val="center"/>
          </w:tcPr>
          <w:p w14:paraId="47CF8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有所提升</w:t>
            </w:r>
          </w:p>
        </w:tc>
        <w:tc>
          <w:tcPr>
            <w:tcW w:w="1134" w:type="dxa"/>
            <w:tcBorders>
              <w:top w:val="nil"/>
              <w:left w:val="nil"/>
              <w:bottom w:val="single" w:color="auto" w:sz="4" w:space="0"/>
              <w:right w:val="single" w:color="auto" w:sz="4" w:space="0"/>
            </w:tcBorders>
            <w:shd w:val="clear" w:color="auto" w:fill="auto"/>
            <w:noWrap w:val="0"/>
            <w:vAlign w:val="center"/>
          </w:tcPr>
          <w:p w14:paraId="1169C1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有所提升</w:t>
            </w:r>
          </w:p>
        </w:tc>
        <w:tc>
          <w:tcPr>
            <w:tcW w:w="828" w:type="dxa"/>
            <w:tcBorders>
              <w:top w:val="nil"/>
              <w:left w:val="nil"/>
              <w:bottom w:val="single" w:color="auto" w:sz="4" w:space="0"/>
              <w:right w:val="single" w:color="auto" w:sz="4" w:space="0"/>
            </w:tcBorders>
            <w:shd w:val="clear" w:color="auto" w:fill="auto"/>
            <w:noWrap w:val="0"/>
            <w:vAlign w:val="center"/>
          </w:tcPr>
          <w:p w14:paraId="5B6DA7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702B67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72B93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36A2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B24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DF34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93B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3045C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D51ECB">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479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3FAE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4E3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57C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9C46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10E1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31C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1808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7173B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C6EA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13DB04DE">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临湘市全体人民群众</w:t>
            </w:r>
          </w:p>
        </w:tc>
        <w:tc>
          <w:tcPr>
            <w:tcW w:w="1134" w:type="dxa"/>
            <w:tcBorders>
              <w:top w:val="nil"/>
              <w:left w:val="nil"/>
              <w:bottom w:val="single" w:color="auto" w:sz="4" w:space="0"/>
              <w:right w:val="single" w:color="auto" w:sz="4" w:space="0"/>
            </w:tcBorders>
            <w:shd w:val="clear" w:color="auto" w:fill="auto"/>
            <w:noWrap w:val="0"/>
            <w:vAlign w:val="center"/>
          </w:tcPr>
          <w:p w14:paraId="7499E6BC">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rPr>
              <w:t>95%</w:t>
            </w:r>
          </w:p>
        </w:tc>
        <w:tc>
          <w:tcPr>
            <w:tcW w:w="1134" w:type="dxa"/>
            <w:tcBorders>
              <w:top w:val="nil"/>
              <w:left w:val="nil"/>
              <w:bottom w:val="single" w:color="auto" w:sz="4" w:space="0"/>
              <w:right w:val="single" w:color="auto" w:sz="4" w:space="0"/>
            </w:tcBorders>
            <w:shd w:val="clear" w:color="auto" w:fill="auto"/>
            <w:noWrap w:val="0"/>
            <w:vAlign w:val="center"/>
          </w:tcPr>
          <w:p w14:paraId="55BD020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Arial"/>
                <w:color w:val="000000"/>
                <w:sz w:val="20"/>
                <w:lang w:val="en-US" w:eastAsia="zh-CN"/>
              </w:rPr>
              <w:t>95%以上</w:t>
            </w:r>
          </w:p>
        </w:tc>
        <w:tc>
          <w:tcPr>
            <w:tcW w:w="828" w:type="dxa"/>
            <w:tcBorders>
              <w:top w:val="nil"/>
              <w:left w:val="nil"/>
              <w:bottom w:val="single" w:color="auto" w:sz="4" w:space="0"/>
              <w:right w:val="single" w:color="auto" w:sz="4" w:space="0"/>
            </w:tcBorders>
            <w:shd w:val="clear" w:color="auto" w:fill="auto"/>
            <w:noWrap w:val="0"/>
            <w:vAlign w:val="center"/>
          </w:tcPr>
          <w:p w14:paraId="0BF18E8F">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6FC510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3D6FE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B726EE">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5895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10A0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6B5D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418" w:type="dxa"/>
            <w:tcBorders>
              <w:top w:val="nil"/>
              <w:left w:val="nil"/>
              <w:bottom w:val="single" w:color="auto" w:sz="4" w:space="0"/>
              <w:right w:val="single" w:color="auto" w:sz="4" w:space="0"/>
            </w:tcBorders>
            <w:noWrap w:val="0"/>
            <w:vAlign w:val="center"/>
          </w:tcPr>
          <w:p w14:paraId="3119C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783A19A">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1A9F1F8">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367BE9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2A1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845F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FD7C1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环境监察、监测等运行经费</w:t>
            </w:r>
            <w:r>
              <w:rPr>
                <w:rFonts w:hint="eastAsia" w:ascii="仿宋_GB2312" w:hAnsi="仿宋_GB2312" w:eastAsia="仿宋_GB2312" w:cs="仿宋_GB2312"/>
                <w:color w:val="000000"/>
                <w:sz w:val="20"/>
                <w:szCs w:val="20"/>
                <w:highlight w:val="none"/>
              </w:rPr>
              <w:t>　</w:t>
            </w:r>
          </w:p>
        </w:tc>
      </w:tr>
      <w:tr w14:paraId="41452DE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C7624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B047D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A1538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35F26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岳阳市生态环境局临湘分局</w:t>
            </w:r>
          </w:p>
        </w:tc>
      </w:tr>
      <w:tr w14:paraId="3C27D33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7BF8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CEBBE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451EF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808A7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99B9C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94AA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F751D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4FE3EE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FADC66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C0B5BA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B44A2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3BD5E7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145B6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31266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8AB8E1E">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150.68</w:t>
            </w:r>
          </w:p>
        </w:tc>
        <w:tc>
          <w:tcPr>
            <w:tcW w:w="1134" w:type="dxa"/>
            <w:tcBorders>
              <w:top w:val="nil"/>
              <w:left w:val="nil"/>
              <w:bottom w:val="single" w:color="auto" w:sz="4" w:space="0"/>
              <w:right w:val="single" w:color="auto" w:sz="4" w:space="0"/>
            </w:tcBorders>
            <w:noWrap w:val="0"/>
            <w:vAlign w:val="center"/>
          </w:tcPr>
          <w:p w14:paraId="67A2034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130.56</w:t>
            </w:r>
          </w:p>
        </w:tc>
        <w:tc>
          <w:tcPr>
            <w:tcW w:w="1134" w:type="dxa"/>
            <w:tcBorders>
              <w:top w:val="nil"/>
              <w:left w:val="nil"/>
              <w:bottom w:val="single" w:color="auto" w:sz="4" w:space="0"/>
              <w:right w:val="single" w:color="auto" w:sz="4" w:space="0"/>
            </w:tcBorders>
            <w:noWrap w:val="0"/>
            <w:vAlign w:val="center"/>
          </w:tcPr>
          <w:p w14:paraId="0F8CD0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kern w:val="0"/>
                <w:sz w:val="20"/>
                <w:szCs w:val="20"/>
                <w:highlight w:val="none"/>
                <w:lang w:val="en-US" w:eastAsia="zh-CN" w:bidi="ar-SA"/>
              </w:rPr>
              <w:t>130.56</w:t>
            </w:r>
          </w:p>
        </w:tc>
        <w:tc>
          <w:tcPr>
            <w:tcW w:w="828" w:type="dxa"/>
            <w:tcBorders>
              <w:top w:val="nil"/>
              <w:left w:val="nil"/>
              <w:bottom w:val="single" w:color="auto" w:sz="4" w:space="0"/>
              <w:right w:val="single" w:color="auto" w:sz="4" w:space="0"/>
            </w:tcBorders>
            <w:noWrap w:val="0"/>
            <w:vAlign w:val="center"/>
          </w:tcPr>
          <w:p w14:paraId="291E06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B83A9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7F96E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r>
      <w:tr w14:paraId="6851293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01D16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607C5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3BB34B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150.68</w:t>
            </w:r>
          </w:p>
        </w:tc>
        <w:tc>
          <w:tcPr>
            <w:tcW w:w="1134" w:type="dxa"/>
            <w:tcBorders>
              <w:top w:val="nil"/>
              <w:left w:val="nil"/>
              <w:bottom w:val="single" w:color="auto" w:sz="4" w:space="0"/>
              <w:right w:val="single" w:color="auto" w:sz="4" w:space="0"/>
            </w:tcBorders>
            <w:noWrap w:val="0"/>
            <w:vAlign w:val="center"/>
          </w:tcPr>
          <w:p w14:paraId="381D16A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130.56</w:t>
            </w:r>
          </w:p>
        </w:tc>
        <w:tc>
          <w:tcPr>
            <w:tcW w:w="1134" w:type="dxa"/>
            <w:tcBorders>
              <w:top w:val="nil"/>
              <w:left w:val="nil"/>
              <w:bottom w:val="single" w:color="auto" w:sz="4" w:space="0"/>
              <w:right w:val="single" w:color="auto" w:sz="4" w:space="0"/>
            </w:tcBorders>
            <w:noWrap w:val="0"/>
            <w:vAlign w:val="center"/>
          </w:tcPr>
          <w:p w14:paraId="5503E8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130.56</w:t>
            </w:r>
          </w:p>
        </w:tc>
        <w:tc>
          <w:tcPr>
            <w:tcW w:w="828" w:type="dxa"/>
            <w:tcBorders>
              <w:top w:val="nil"/>
              <w:left w:val="nil"/>
              <w:bottom w:val="single" w:color="auto" w:sz="4" w:space="0"/>
              <w:right w:val="single" w:color="auto" w:sz="4" w:space="0"/>
            </w:tcBorders>
            <w:noWrap w:val="0"/>
            <w:vAlign w:val="center"/>
          </w:tcPr>
          <w:p w14:paraId="37199D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A930C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3A987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CB16D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71BA3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967CC5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FD4D3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6D13C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14D03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B1216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A027C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DD8DB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3781D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98B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57C941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6AE00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37C63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F428B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A139C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59B9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C9E6B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42D3C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3336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C69F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AD78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915F6A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4E1F9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3D031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加强环境监测执法等能力建设；</w:t>
            </w:r>
          </w:p>
          <w:p w14:paraId="3919AE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开展环保督察、环境执法专项行动。</w:t>
            </w:r>
          </w:p>
        </w:tc>
        <w:tc>
          <w:tcPr>
            <w:tcW w:w="4253" w:type="dxa"/>
            <w:gridSpan w:val="4"/>
            <w:tcBorders>
              <w:top w:val="single" w:color="auto" w:sz="4" w:space="0"/>
              <w:left w:val="nil"/>
              <w:bottom w:val="single" w:color="auto" w:sz="4" w:space="0"/>
              <w:right w:val="single" w:color="auto" w:sz="4" w:space="0"/>
            </w:tcBorders>
            <w:noWrap w:val="0"/>
            <w:vAlign w:val="center"/>
          </w:tcPr>
          <w:p w14:paraId="13BDB6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1D69B10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C43A6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CDE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8ECE2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34876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7AB77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C917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F12D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CE73A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E423A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FF5B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29EB3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7FFAF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4037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D878E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2E825F6">
        <w:tblPrEx>
          <w:tblCellMar>
            <w:top w:w="0" w:type="dxa"/>
            <w:left w:w="108" w:type="dxa"/>
            <w:bottom w:w="0" w:type="dxa"/>
            <w:right w:w="108" w:type="dxa"/>
          </w:tblCellMar>
        </w:tblPrEx>
        <w:trPr>
          <w:trHeight w:val="603" w:hRule="atLeast"/>
          <w:jc w:val="center"/>
        </w:trPr>
        <w:tc>
          <w:tcPr>
            <w:tcW w:w="1080" w:type="dxa"/>
            <w:vMerge w:val="continue"/>
            <w:tcBorders>
              <w:left w:val="single" w:color="auto" w:sz="4" w:space="0"/>
              <w:right w:val="single" w:color="auto" w:sz="4" w:space="0"/>
            </w:tcBorders>
            <w:noWrap w:val="0"/>
            <w:vAlign w:val="center"/>
          </w:tcPr>
          <w:p w14:paraId="6D1846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8B0D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171A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F0F90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5BE1B4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779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重点监测重点排污企业</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CA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37家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4A6F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76DC8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594968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0B91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CADFDE">
        <w:tblPrEx>
          <w:tblCellMar>
            <w:top w:w="0" w:type="dxa"/>
            <w:left w:w="108" w:type="dxa"/>
            <w:bottom w:w="0" w:type="dxa"/>
            <w:right w:w="108" w:type="dxa"/>
          </w:tblCellMar>
        </w:tblPrEx>
        <w:trPr>
          <w:trHeight w:val="603" w:hRule="atLeast"/>
          <w:jc w:val="center"/>
        </w:trPr>
        <w:tc>
          <w:tcPr>
            <w:tcW w:w="1080" w:type="dxa"/>
            <w:vMerge w:val="continue"/>
            <w:tcBorders>
              <w:left w:val="single" w:color="auto" w:sz="4" w:space="0"/>
              <w:right w:val="single" w:color="auto" w:sz="4" w:space="0"/>
            </w:tcBorders>
            <w:noWrap w:val="0"/>
            <w:vAlign w:val="center"/>
          </w:tcPr>
          <w:p w14:paraId="2DBCAE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95AAB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4B42C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7E9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开展各项环保专项行动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4AD0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10次</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F9B3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5AB749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7B852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092BA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B45F2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0DCB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1B52F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F046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C56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全市环境质量达标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0D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85</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12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85%以上</w:t>
            </w:r>
          </w:p>
        </w:tc>
        <w:tc>
          <w:tcPr>
            <w:tcW w:w="828" w:type="dxa"/>
            <w:tcBorders>
              <w:top w:val="nil"/>
              <w:left w:val="nil"/>
              <w:bottom w:val="single" w:color="auto" w:sz="4" w:space="0"/>
              <w:right w:val="single" w:color="auto" w:sz="4" w:space="0"/>
            </w:tcBorders>
            <w:shd w:val="clear" w:color="auto" w:fill="auto"/>
            <w:noWrap w:val="0"/>
            <w:vAlign w:val="center"/>
          </w:tcPr>
          <w:p w14:paraId="3FB4D8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AA380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6DF5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8DB4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B6D7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6B0A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EA52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EECA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按时完成各项</w:t>
            </w:r>
            <w:r>
              <w:rPr>
                <w:rFonts w:hint="eastAsia" w:ascii="仿宋_GB2312" w:hAnsi="仿宋_GB2312" w:eastAsia="仿宋_GB2312" w:cs="仿宋_GB2312"/>
                <w:color w:val="000000"/>
                <w:sz w:val="20"/>
                <w:szCs w:val="20"/>
              </w:rPr>
              <w:t>指标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DFDB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2023年整年</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2EE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1E649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66E1DD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CA1C5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EDA0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C844E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B35A5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8559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B20C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rPr>
              <w:t>支出控制在预算内</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DBC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150.68万元</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6E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50.46万元</w:t>
            </w:r>
          </w:p>
        </w:tc>
        <w:tc>
          <w:tcPr>
            <w:tcW w:w="828" w:type="dxa"/>
            <w:tcBorders>
              <w:top w:val="nil"/>
              <w:left w:val="nil"/>
              <w:bottom w:val="single" w:color="auto" w:sz="4" w:space="0"/>
              <w:right w:val="single" w:color="auto" w:sz="4" w:space="0"/>
            </w:tcBorders>
            <w:shd w:val="clear" w:color="auto" w:fill="auto"/>
            <w:noWrap w:val="0"/>
            <w:vAlign w:val="center"/>
          </w:tcPr>
          <w:p w14:paraId="7F01B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B4CD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D7486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DBFD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55D0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FCC8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9C79B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89B32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CC8C8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3AF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3211E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FA0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18"/>
                <w:szCs w:val="18"/>
                <w:highlight w:val="none"/>
              </w:rPr>
              <w:t>企业减排增效，实现经济可持续发展</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A733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经济平稳发展</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BF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平稳发展</w:t>
            </w:r>
          </w:p>
        </w:tc>
        <w:tc>
          <w:tcPr>
            <w:tcW w:w="828" w:type="dxa"/>
            <w:tcBorders>
              <w:top w:val="nil"/>
              <w:left w:val="nil"/>
              <w:bottom w:val="single" w:color="auto" w:sz="4" w:space="0"/>
              <w:right w:val="single" w:color="auto" w:sz="4" w:space="0"/>
            </w:tcBorders>
            <w:shd w:val="clear" w:color="auto" w:fill="auto"/>
            <w:noWrap w:val="0"/>
            <w:vAlign w:val="center"/>
          </w:tcPr>
          <w:p w14:paraId="2FD87A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15242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F81DD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11CD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F719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9874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822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46B42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5406BA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改善居民生产、生活环境</w:t>
            </w:r>
          </w:p>
        </w:tc>
        <w:tc>
          <w:tcPr>
            <w:tcW w:w="1134" w:type="dxa"/>
            <w:tcBorders>
              <w:top w:val="nil"/>
              <w:left w:val="nil"/>
              <w:bottom w:val="single" w:color="auto" w:sz="4" w:space="0"/>
              <w:right w:val="single" w:color="auto" w:sz="4" w:space="0"/>
            </w:tcBorders>
            <w:shd w:val="clear" w:color="auto" w:fill="auto"/>
            <w:noWrap w:val="0"/>
            <w:vAlign w:val="center"/>
          </w:tcPr>
          <w:p w14:paraId="43DA58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有所改善</w:t>
            </w:r>
          </w:p>
        </w:tc>
        <w:tc>
          <w:tcPr>
            <w:tcW w:w="1134" w:type="dxa"/>
            <w:tcBorders>
              <w:top w:val="nil"/>
              <w:left w:val="nil"/>
              <w:bottom w:val="single" w:color="auto" w:sz="4" w:space="0"/>
              <w:right w:val="single" w:color="auto" w:sz="4" w:space="0"/>
            </w:tcBorders>
            <w:shd w:val="clear" w:color="auto" w:fill="auto"/>
            <w:noWrap w:val="0"/>
            <w:vAlign w:val="center"/>
          </w:tcPr>
          <w:p w14:paraId="0553E7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有所提升</w:t>
            </w:r>
          </w:p>
        </w:tc>
        <w:tc>
          <w:tcPr>
            <w:tcW w:w="828" w:type="dxa"/>
            <w:tcBorders>
              <w:top w:val="nil"/>
              <w:left w:val="nil"/>
              <w:bottom w:val="single" w:color="auto" w:sz="4" w:space="0"/>
              <w:right w:val="single" w:color="auto" w:sz="4" w:space="0"/>
            </w:tcBorders>
            <w:shd w:val="clear" w:color="auto" w:fill="auto"/>
            <w:noWrap w:val="0"/>
            <w:vAlign w:val="center"/>
          </w:tcPr>
          <w:p w14:paraId="7DD474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7D04F7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C413A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0745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3D1A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208C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1760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F37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6BE652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城区空气质量优良率</w:t>
            </w:r>
          </w:p>
        </w:tc>
        <w:tc>
          <w:tcPr>
            <w:tcW w:w="1134" w:type="dxa"/>
            <w:tcBorders>
              <w:top w:val="nil"/>
              <w:left w:val="nil"/>
              <w:bottom w:val="single" w:color="auto" w:sz="4" w:space="0"/>
              <w:right w:val="single" w:color="auto" w:sz="4" w:space="0"/>
            </w:tcBorders>
            <w:shd w:val="clear" w:color="auto" w:fill="auto"/>
            <w:noWrap w:val="0"/>
            <w:vAlign w:val="center"/>
          </w:tcPr>
          <w:p w14:paraId="43B008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大于等于85%</w:t>
            </w:r>
          </w:p>
        </w:tc>
        <w:tc>
          <w:tcPr>
            <w:tcW w:w="1134" w:type="dxa"/>
            <w:tcBorders>
              <w:top w:val="nil"/>
              <w:left w:val="nil"/>
              <w:bottom w:val="single" w:color="auto" w:sz="4" w:space="0"/>
              <w:right w:val="single" w:color="auto" w:sz="4" w:space="0"/>
            </w:tcBorders>
            <w:shd w:val="clear" w:color="auto" w:fill="auto"/>
            <w:noWrap w:val="0"/>
            <w:vAlign w:val="center"/>
          </w:tcPr>
          <w:p w14:paraId="452C79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有所提升</w:t>
            </w:r>
          </w:p>
        </w:tc>
        <w:tc>
          <w:tcPr>
            <w:tcW w:w="828" w:type="dxa"/>
            <w:tcBorders>
              <w:top w:val="nil"/>
              <w:left w:val="nil"/>
              <w:bottom w:val="single" w:color="auto" w:sz="4" w:space="0"/>
              <w:right w:val="single" w:color="auto" w:sz="4" w:space="0"/>
            </w:tcBorders>
            <w:shd w:val="clear" w:color="auto" w:fill="auto"/>
            <w:noWrap w:val="0"/>
            <w:vAlign w:val="center"/>
          </w:tcPr>
          <w:p w14:paraId="0C6862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39904C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A89AB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B22D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49C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6687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4AC1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14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社会可持续发展良好</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09D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效益明显</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CC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效益明显</w:t>
            </w:r>
          </w:p>
        </w:tc>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FC7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618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F008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7F2FC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C5BC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2B46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AFFA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5E4D5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right w:val="single" w:color="auto" w:sz="4" w:space="0"/>
            </w:tcBorders>
            <w:noWrap w:val="0"/>
            <w:vAlign w:val="center"/>
          </w:tcPr>
          <w:p w14:paraId="6163CD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1ADF79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临湘市全体人民群众</w:t>
            </w:r>
          </w:p>
        </w:tc>
        <w:tc>
          <w:tcPr>
            <w:tcW w:w="1134" w:type="dxa"/>
            <w:tcBorders>
              <w:top w:val="nil"/>
              <w:left w:val="nil"/>
              <w:bottom w:val="single" w:color="auto" w:sz="4" w:space="0"/>
              <w:right w:val="single" w:color="auto" w:sz="4" w:space="0"/>
            </w:tcBorders>
            <w:shd w:val="clear" w:color="auto" w:fill="auto"/>
            <w:noWrap w:val="0"/>
            <w:vAlign w:val="center"/>
          </w:tcPr>
          <w:p w14:paraId="1A25D5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134" w:type="dxa"/>
            <w:tcBorders>
              <w:top w:val="nil"/>
              <w:left w:val="nil"/>
              <w:bottom w:val="single" w:color="auto" w:sz="4" w:space="0"/>
              <w:right w:val="single" w:color="auto" w:sz="4" w:space="0"/>
            </w:tcBorders>
            <w:shd w:val="clear" w:color="auto" w:fill="auto"/>
            <w:noWrap w:val="0"/>
            <w:vAlign w:val="center"/>
          </w:tcPr>
          <w:p w14:paraId="60AB8B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95%以上</w:t>
            </w:r>
          </w:p>
        </w:tc>
        <w:tc>
          <w:tcPr>
            <w:tcW w:w="828" w:type="dxa"/>
            <w:tcBorders>
              <w:top w:val="nil"/>
              <w:left w:val="nil"/>
              <w:bottom w:val="single" w:color="auto" w:sz="4" w:space="0"/>
              <w:right w:val="single" w:color="auto" w:sz="4" w:space="0"/>
            </w:tcBorders>
            <w:shd w:val="clear" w:color="auto" w:fill="auto"/>
            <w:noWrap w:val="0"/>
            <w:vAlign w:val="center"/>
          </w:tcPr>
          <w:p w14:paraId="656D58C9">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556DB4FC">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41C56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1DA3B76">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D2870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616A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FC11D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923CE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42AE3FB">
      <w:pPr>
        <w:rPr>
          <w:rFonts w:hint="default" w:ascii="Times New Roman" w:hAnsi="Times New Roman" w:eastAsia="仿宋_GB2312" w:cs="Times New Roman"/>
          <w:sz w:val="18"/>
          <w:szCs w:val="18"/>
          <w:highlight w:val="none"/>
        </w:rPr>
      </w:pPr>
    </w:p>
    <w:p w14:paraId="76AE5CB0">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05380AE4">
      <w:pPr>
        <w:jc w:val="center"/>
        <w:rPr>
          <w:rFonts w:hint="default" w:ascii="Times New Roman" w:hAnsi="Times New Roman" w:eastAsia="方正小标宋_GBK" w:cs="Times New Roman"/>
          <w:sz w:val="52"/>
          <w:szCs w:val="52"/>
          <w:highlight w:val="none"/>
        </w:rPr>
      </w:pPr>
    </w:p>
    <w:p w14:paraId="78B793B4">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岳阳市生态环境局临湘分局</w:t>
      </w:r>
    </w:p>
    <w:p w14:paraId="30F6B05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78C62CA6">
      <w:pPr>
        <w:jc w:val="center"/>
        <w:rPr>
          <w:rFonts w:hint="default" w:ascii="Times New Roman" w:hAnsi="Times New Roman" w:eastAsia="方正小标宋_GBK" w:cs="Times New Roman"/>
          <w:b/>
          <w:sz w:val="52"/>
          <w:szCs w:val="52"/>
          <w:highlight w:val="none"/>
        </w:rPr>
      </w:pPr>
    </w:p>
    <w:p w14:paraId="461D7C21">
      <w:pPr>
        <w:jc w:val="center"/>
        <w:rPr>
          <w:rFonts w:hint="default" w:ascii="Times New Roman" w:hAnsi="Times New Roman" w:eastAsia="楷体_GB2312" w:cs="Times New Roman"/>
          <w:b/>
          <w:sz w:val="32"/>
          <w:szCs w:val="32"/>
          <w:highlight w:val="none"/>
        </w:rPr>
      </w:pPr>
    </w:p>
    <w:p w14:paraId="50116227">
      <w:pPr>
        <w:jc w:val="center"/>
        <w:rPr>
          <w:rFonts w:hint="default" w:ascii="Times New Roman" w:hAnsi="Times New Roman" w:eastAsia="楷体_GB2312" w:cs="Times New Roman"/>
          <w:b/>
          <w:sz w:val="32"/>
          <w:szCs w:val="32"/>
          <w:highlight w:val="none"/>
        </w:rPr>
      </w:pPr>
    </w:p>
    <w:p w14:paraId="14FDC871">
      <w:pPr>
        <w:jc w:val="center"/>
        <w:rPr>
          <w:rFonts w:hint="default" w:ascii="Times New Roman" w:hAnsi="Times New Roman" w:eastAsia="楷体_GB2312" w:cs="Times New Roman"/>
          <w:b/>
          <w:sz w:val="32"/>
          <w:szCs w:val="32"/>
          <w:highlight w:val="none"/>
        </w:rPr>
      </w:pPr>
    </w:p>
    <w:p w14:paraId="0D0DA204">
      <w:pPr>
        <w:jc w:val="center"/>
        <w:rPr>
          <w:rFonts w:hint="default" w:ascii="Times New Roman" w:hAnsi="Times New Roman" w:eastAsia="楷体_GB2312" w:cs="Times New Roman"/>
          <w:b/>
          <w:sz w:val="32"/>
          <w:szCs w:val="32"/>
          <w:highlight w:val="none"/>
        </w:rPr>
      </w:pPr>
    </w:p>
    <w:p w14:paraId="2D6E3EA4">
      <w:pPr>
        <w:jc w:val="center"/>
        <w:rPr>
          <w:rFonts w:hint="default" w:ascii="Times New Roman" w:hAnsi="Times New Roman" w:eastAsia="楷体_GB2312" w:cs="Times New Roman"/>
          <w:b/>
          <w:sz w:val="32"/>
          <w:szCs w:val="32"/>
          <w:highlight w:val="none"/>
        </w:rPr>
      </w:pPr>
    </w:p>
    <w:p w14:paraId="031E96BC">
      <w:pPr>
        <w:jc w:val="center"/>
        <w:rPr>
          <w:rFonts w:hint="default" w:ascii="Times New Roman" w:hAnsi="Times New Roman" w:eastAsia="楷体_GB2312" w:cs="Times New Roman"/>
          <w:b/>
          <w:sz w:val="32"/>
          <w:szCs w:val="32"/>
          <w:highlight w:val="none"/>
        </w:rPr>
      </w:pPr>
    </w:p>
    <w:p w14:paraId="303A8F57">
      <w:pPr>
        <w:jc w:val="center"/>
        <w:rPr>
          <w:rFonts w:hint="default" w:ascii="Times New Roman" w:hAnsi="Times New Roman" w:eastAsia="黑体" w:cs="Times New Roman"/>
          <w:sz w:val="32"/>
          <w:szCs w:val="32"/>
          <w:highlight w:val="none"/>
        </w:rPr>
      </w:pPr>
    </w:p>
    <w:p w14:paraId="2CD66E0F">
      <w:pPr>
        <w:jc w:val="center"/>
        <w:rPr>
          <w:rFonts w:hint="default" w:ascii="Times New Roman" w:hAnsi="Times New Roman" w:eastAsia="黑体" w:cs="Times New Roman"/>
          <w:sz w:val="32"/>
          <w:szCs w:val="32"/>
          <w:highlight w:val="none"/>
        </w:rPr>
      </w:pPr>
    </w:p>
    <w:p w14:paraId="28ACF126">
      <w:pPr>
        <w:jc w:val="center"/>
        <w:rPr>
          <w:rFonts w:hint="default" w:ascii="Times New Roman" w:hAnsi="Times New Roman" w:eastAsia="黑体" w:cs="Times New Roman"/>
          <w:sz w:val="32"/>
          <w:szCs w:val="32"/>
          <w:highlight w:val="none"/>
        </w:rPr>
      </w:pPr>
    </w:p>
    <w:p w14:paraId="1437F60E">
      <w:pPr>
        <w:jc w:val="both"/>
        <w:rPr>
          <w:rFonts w:hint="default" w:ascii="Times New Roman" w:hAnsi="Times New Roman" w:eastAsia="黑体" w:cs="Times New Roman"/>
          <w:sz w:val="32"/>
          <w:szCs w:val="32"/>
          <w:highlight w:val="none"/>
        </w:rPr>
      </w:pPr>
    </w:p>
    <w:p w14:paraId="45DF059A">
      <w:pPr>
        <w:jc w:val="center"/>
        <w:rPr>
          <w:rFonts w:hint="default" w:ascii="Times New Roman" w:hAnsi="Times New Roman" w:eastAsia="黑体" w:cs="Times New Roman"/>
          <w:sz w:val="32"/>
          <w:szCs w:val="32"/>
          <w:highlight w:val="none"/>
        </w:rPr>
      </w:pPr>
    </w:p>
    <w:p w14:paraId="1A4657D0">
      <w:pPr>
        <w:jc w:val="center"/>
        <w:rPr>
          <w:rFonts w:hint="default" w:ascii="Times New Roman" w:hAnsi="Times New Roman" w:eastAsia="黑体" w:cs="Times New Roman"/>
          <w:sz w:val="32"/>
          <w:szCs w:val="32"/>
          <w:highlight w:val="none"/>
        </w:rPr>
      </w:pPr>
    </w:p>
    <w:p w14:paraId="6C41E5AA">
      <w:pPr>
        <w:jc w:val="center"/>
        <w:rPr>
          <w:rFonts w:hint="default" w:ascii="Times New Roman" w:hAnsi="Times New Roman" w:eastAsia="黑体" w:cs="Times New Roman"/>
          <w:sz w:val="32"/>
          <w:szCs w:val="32"/>
          <w:highlight w:val="none"/>
        </w:rPr>
      </w:pPr>
    </w:p>
    <w:p w14:paraId="4FE5CE4F">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6C5C2BBB">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0BB5DB73">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561EE6B1">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w:t>
      </w:r>
      <w:r>
        <w:rPr>
          <w:rFonts w:hint="eastAsia" w:ascii="方正小标宋简体" w:hAnsi="方正小标宋简体" w:eastAsia="方正小标宋简体" w:cs="方正小标宋简体"/>
          <w:sz w:val="44"/>
          <w:szCs w:val="44"/>
          <w:highlight w:val="none"/>
          <w:lang w:val="en-US" w:eastAsia="zh-CN"/>
        </w:rPr>
        <w:t>临湘</w:t>
      </w:r>
      <w:r>
        <w:rPr>
          <w:rFonts w:hint="eastAsia" w:ascii="方正小标宋简体" w:hAnsi="方正小标宋简体" w:eastAsia="方正小标宋简体" w:cs="方正小标宋简体"/>
          <w:sz w:val="44"/>
          <w:szCs w:val="44"/>
          <w:highlight w:val="none"/>
        </w:rPr>
        <w:t>分局</w:t>
      </w:r>
    </w:p>
    <w:p w14:paraId="3BF8A47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090BF75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78B5362">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330C413">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（一）职能职责</w:t>
      </w:r>
    </w:p>
    <w:p w14:paraId="34D182B9">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20" w:firstLineChars="200"/>
        <w:textAlignment w:val="auto"/>
        <w:rPr>
          <w:rFonts w:hint="eastAsia" w:eastAsia="仿宋"/>
          <w:lang w:eastAsia="zh-CN"/>
        </w:rPr>
      </w:pPr>
      <w:r>
        <w:rPr>
          <w:rFonts w:hint="eastAsia" w:ascii="仿宋" w:hAnsi="仿宋" w:eastAsia="仿宋" w:cs="仿宋"/>
          <w:kern w:val="0"/>
          <w:sz w:val="31"/>
          <w:szCs w:val="31"/>
          <w:lang w:val="en-US" w:eastAsia="zh-CN" w:bidi="ar-SA"/>
        </w:rPr>
        <w:t>1、</w:t>
      </w:r>
      <w:r>
        <w:rPr>
          <w:rFonts w:hint="default"/>
        </w:rPr>
        <w:t>贯彻执行生态环境法律法规和标准，贯彻落实岳阳市、临湘市生态环境政策、规划、生态环境有关地方性法规和政府规章;会同有关部门编制并监督实施重点区域、流域、饮用水水源地保护等生态环境规划和水、大气环境、声环境功能区划。</w:t>
      </w:r>
    </w:p>
    <w:p w14:paraId="321EDE18">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20" w:firstLineChars="200"/>
        <w:textAlignment w:val="auto"/>
        <w:rPr>
          <w:rFonts w:hint="eastAsia" w:eastAsia="仿宋"/>
          <w:lang w:eastAsia="zh-CN"/>
        </w:rPr>
      </w:pPr>
      <w:r>
        <w:rPr>
          <w:rFonts w:hint="eastAsia" w:ascii="仿宋" w:hAnsi="仿宋" w:eastAsia="仿宋" w:cs="仿宋"/>
          <w:kern w:val="0"/>
          <w:sz w:val="31"/>
          <w:szCs w:val="31"/>
          <w:lang w:val="en-US" w:eastAsia="zh-CN" w:bidi="ar-SA"/>
        </w:rPr>
        <w:t>2、</w:t>
      </w:r>
      <w:r>
        <w:rPr>
          <w:rFonts w:hint="default"/>
        </w:rPr>
        <w:t>负责临湘市生态环境问题的统筹协调和监督管理。牵头协调环境污染事故和生态破坏事件的调查处理，指导协调对突发生态环境事件的应急、预警工作,牵头实施生态环境损害赔偿制度,协调解决环境污染纠纷;统筹协调区域、流域生态环境保护工作。</w:t>
      </w:r>
    </w:p>
    <w:p w14:paraId="7B2B3A7F">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20" w:firstLineChars="200"/>
        <w:textAlignment w:val="auto"/>
        <w:rPr>
          <w:rFonts w:hint="eastAsia" w:eastAsia="仿宋"/>
          <w:lang w:eastAsia="zh-CN"/>
        </w:rPr>
      </w:pPr>
      <w:r>
        <w:rPr>
          <w:rFonts w:hint="eastAsia" w:ascii="仿宋" w:hAnsi="仿宋" w:eastAsia="仿宋" w:cs="仿宋"/>
          <w:kern w:val="0"/>
          <w:sz w:val="31"/>
          <w:szCs w:val="31"/>
          <w:lang w:val="en-US" w:eastAsia="zh-CN" w:bidi="ar-SA"/>
        </w:rPr>
        <w:t>3、</w:t>
      </w:r>
      <w:r>
        <w:rPr>
          <w:rFonts w:hint="default"/>
        </w:rPr>
        <w:t>负责监督管理减排目标的落实。监督实施各类污染物排放总量控制、排污许可证制度，确定大气、水等纳污能力，实施生态环境保护目标责任制。</w:t>
      </w:r>
    </w:p>
    <w:p w14:paraId="119B81B4">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20" w:firstLineChars="200"/>
        <w:textAlignment w:val="auto"/>
        <w:rPr>
          <w:rFonts w:hint="eastAsia" w:eastAsia="仿宋"/>
          <w:lang w:eastAsia="zh-CN"/>
        </w:rPr>
      </w:pPr>
      <w:r>
        <w:rPr>
          <w:rFonts w:hint="eastAsia" w:ascii="仿宋" w:hAnsi="仿宋" w:eastAsia="仿宋" w:cs="仿宋"/>
          <w:kern w:val="0"/>
          <w:sz w:val="31"/>
          <w:szCs w:val="31"/>
          <w:lang w:val="en-US" w:eastAsia="zh-CN" w:bidi="ar-SA"/>
        </w:rPr>
        <w:t>4、</w:t>
      </w:r>
      <w:r>
        <w:rPr>
          <w:rFonts w:hint="default"/>
        </w:rPr>
        <w:t>负责提出生态环境领域固定资产投资规模和方向、市级财政性资金安排的意见，按规定权限审批、核准规划内和年度计划规模内生态环境领域固定资产投资项目，配合有关部门做好组织实施和监督工作。参与指导推动循环经济和生态环境产业发展。</w:t>
      </w:r>
    </w:p>
    <w:p w14:paraId="195657A2">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20" w:firstLineChars="200"/>
        <w:textAlignment w:val="auto"/>
        <w:rPr>
          <w:rFonts w:hint="eastAsia" w:eastAsia="仿宋"/>
          <w:lang w:eastAsia="zh-CN"/>
        </w:rPr>
      </w:pPr>
      <w:r>
        <w:rPr>
          <w:rFonts w:hint="eastAsia" w:ascii="仿宋" w:hAnsi="仿宋" w:eastAsia="仿宋" w:cs="仿宋"/>
          <w:kern w:val="0"/>
          <w:sz w:val="31"/>
          <w:szCs w:val="31"/>
          <w:lang w:val="en-US" w:eastAsia="zh-CN" w:bidi="ar-SA"/>
        </w:rPr>
        <w:t>5、</w:t>
      </w:r>
      <w:r>
        <w:rPr>
          <w:rFonts w:hint="default"/>
        </w:rPr>
        <w:t>负责环境污染防治的监督管理。组织拟订大气、水、土壤、噪声、光、恶臭、固体废物、重金属、化学品、机动车等的污染防治管理制度并监督实施。会同有关部门监督管理饮用水水源地生态环境保护工作，组织指导城乡生态环境综合整治工作,监督指导农业面源污染治理工作。监督指导区域大气环境保护工作，按照国家、省统一部署，做好区域大气污染联防联控协作工作。</w:t>
      </w:r>
    </w:p>
    <w:p w14:paraId="4C46F7AC">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20" w:firstLineChars="200"/>
        <w:textAlignment w:val="auto"/>
        <w:rPr>
          <w:rFonts w:hint="eastAsia" w:eastAsia="仿宋"/>
          <w:lang w:eastAsia="zh-CN"/>
        </w:rPr>
      </w:pPr>
      <w:r>
        <w:rPr>
          <w:rFonts w:hint="eastAsia" w:ascii="仿宋" w:hAnsi="仿宋" w:eastAsia="仿宋" w:cs="仿宋"/>
          <w:kern w:val="0"/>
          <w:sz w:val="31"/>
          <w:szCs w:val="31"/>
          <w:lang w:val="en-US" w:eastAsia="zh-CN" w:bidi="ar-SA"/>
        </w:rPr>
        <w:t>6、</w:t>
      </w:r>
      <w:r>
        <w:rPr>
          <w:rFonts w:hint="default"/>
        </w:rPr>
        <w:t>指导协调和监督生态保护修复工作。组织编制生态保护规划，监督对生态环境有影响的自然资源开发利用活动、生态环境建设和生态破坏恢复工作。组织拟订各类自然保护地生态环境监管制度并监督执法。指导协调和监督农村生态环境保护。监督野生动植物保护、湿地生态环境保护等工作。参与生态保护补偿工作。</w:t>
      </w:r>
    </w:p>
    <w:p w14:paraId="5AF4712E">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20" w:firstLineChars="200"/>
        <w:textAlignment w:val="auto"/>
        <w:rPr>
          <w:rFonts w:hint="eastAsia" w:eastAsia="仿宋"/>
          <w:lang w:eastAsia="zh-CN"/>
        </w:rPr>
      </w:pPr>
      <w:r>
        <w:rPr>
          <w:rFonts w:hint="eastAsia" w:ascii="仿宋" w:hAnsi="仿宋" w:eastAsia="仿宋" w:cs="仿宋"/>
          <w:kern w:val="0"/>
          <w:sz w:val="31"/>
          <w:szCs w:val="31"/>
          <w:lang w:val="en-US" w:eastAsia="zh-CN" w:bidi="ar-SA"/>
        </w:rPr>
        <w:t>7、</w:t>
      </w:r>
      <w:r>
        <w:rPr>
          <w:rFonts w:hint="default"/>
        </w:rPr>
        <w:t>负责核与辐射安全的监督管理。贯彻实施核与辐射安全政策、规划、标准，牵头负责核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7DE52D91">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20" w:firstLineChars="200"/>
        <w:textAlignment w:val="auto"/>
        <w:rPr>
          <w:rFonts w:hint="eastAsia" w:eastAsia="仿宋"/>
          <w:lang w:eastAsia="zh-CN"/>
        </w:rPr>
      </w:pPr>
      <w:r>
        <w:rPr>
          <w:rFonts w:hint="eastAsia" w:ascii="仿宋" w:hAnsi="仿宋" w:eastAsia="仿宋" w:cs="仿宋"/>
          <w:kern w:val="0"/>
          <w:sz w:val="31"/>
          <w:szCs w:val="31"/>
          <w:lang w:val="en-US" w:eastAsia="zh-CN" w:bidi="ar-SA"/>
        </w:rPr>
        <w:t>8、</w:t>
      </w:r>
      <w:r>
        <w:rPr>
          <w:rFonts w:hint="default"/>
        </w:rPr>
        <w:t>负责生态环境准入的监督管理。受市政府委托对市级经济和技术政策、发展规划以及重大经济开发计划进行环境影响评价。按规定审批或审查开发建设区域、规划、项目环境影响评价文件。拟订并组织实施生态环境准入清单。</w:t>
      </w:r>
    </w:p>
    <w:p w14:paraId="4653EF51">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20" w:firstLineChars="200"/>
        <w:textAlignment w:val="auto"/>
        <w:rPr>
          <w:rFonts w:hint="default"/>
        </w:rPr>
      </w:pPr>
      <w:r>
        <w:rPr>
          <w:rFonts w:hint="default" w:ascii="仿宋" w:hAnsi="仿宋" w:eastAsia="仿宋" w:cs="仿宋"/>
          <w:kern w:val="0"/>
          <w:sz w:val="31"/>
          <w:szCs w:val="31"/>
          <w:lang w:val="en-US" w:eastAsia="en-US" w:bidi="ar-SA"/>
        </w:rPr>
        <w:t>9、</w:t>
      </w:r>
      <w:r>
        <w:rPr>
          <w:rFonts w:hint="default"/>
        </w:rPr>
        <w:t>负责重点污染源监测工作。负责重点污染源监测及生态环境统计工作，统一发布综合性报告和重大生态环境信息。</w:t>
      </w:r>
    </w:p>
    <w:p w14:paraId="2778D5B4">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（二）机构设置</w:t>
      </w:r>
    </w:p>
    <w:p w14:paraId="5848FC2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 w:hAnsi="仿宋" w:eastAsia="仿宋" w:cs="仿宋"/>
          <w:sz w:val="32"/>
          <w:szCs w:val="32"/>
          <w:lang w:val="zh-CN"/>
        </w:rPr>
      </w:pPr>
      <w:r>
        <w:rPr>
          <w:rFonts w:hint="default" w:ascii="仿宋" w:hAnsi="仿宋" w:eastAsia="仿宋" w:cs="仿宋"/>
          <w:sz w:val="32"/>
          <w:szCs w:val="32"/>
          <w:lang w:val="zh-CN" w:eastAsia="zh-CN"/>
        </w:rPr>
        <w:t>岳阳市生态环境局临湘分局部门预算包括局机关本级决算及所属二级机构（根据财政预算管理制度，所属二级机构由岳阳市生态环境局临湘分局统一预算）。</w:t>
      </w:r>
      <w:r>
        <w:rPr>
          <w:rFonts w:hint="eastAsia" w:ascii="仿宋" w:hAnsi="仿宋" w:eastAsia="仿宋" w:cs="仿宋"/>
          <w:sz w:val="32"/>
          <w:szCs w:val="32"/>
          <w:lang w:val="zh-CN" w:eastAsia="zh-CN"/>
        </w:rPr>
        <w:t>临湘</w:t>
      </w:r>
      <w:r>
        <w:rPr>
          <w:rFonts w:hint="default" w:ascii="仿宋" w:hAnsi="仿宋" w:eastAsia="仿宋" w:cs="仿宋"/>
          <w:sz w:val="32"/>
          <w:szCs w:val="32"/>
          <w:lang w:val="zh-CN" w:eastAsia="zh-CN"/>
        </w:rPr>
        <w:t>分局目前共有工作人员85人，其中在编人员85人，退休42人。根据分局的整体情况，</w:t>
      </w:r>
      <w:r>
        <w:rPr>
          <w:rFonts w:hint="default" w:ascii="仿宋" w:hAnsi="仿宋" w:eastAsia="仿宋" w:cs="仿宋"/>
          <w:sz w:val="32"/>
          <w:szCs w:val="32"/>
          <w:lang w:val="zh-CN"/>
        </w:rPr>
        <w:t>下设</w:t>
      </w:r>
      <w:r>
        <w:rPr>
          <w:rFonts w:hint="eastAsia" w:ascii="仿宋" w:hAnsi="仿宋" w:eastAsia="仿宋" w:cs="仿宋"/>
          <w:sz w:val="32"/>
          <w:szCs w:val="32"/>
          <w:lang w:val="zh-CN"/>
        </w:rPr>
        <w:t>办公室、</w:t>
      </w:r>
      <w:r>
        <w:rPr>
          <w:rFonts w:hint="eastAsia" w:ascii="仿宋" w:hAnsi="仿宋" w:eastAsia="仿宋" w:cs="仿宋"/>
          <w:sz w:val="32"/>
          <w:szCs w:val="32"/>
          <w:lang w:val="zh-CN" w:eastAsia="zh-CN"/>
        </w:rPr>
        <w:t>科技与财务股、环评与污染排放股、自然生态保护股、水生态环境股、大气环境与应对气候变化股、土壤生态环境股、核辐射与固体废物管理股、法规标准与宣教监测股、综合协调与生态环境监督股、工会与党务办</w:t>
      </w:r>
      <w:r>
        <w:rPr>
          <w:rFonts w:hint="eastAsia" w:eastAsia="仿宋" w:cs="仿宋"/>
          <w:sz w:val="32"/>
          <w:szCs w:val="32"/>
          <w:lang w:val="en-US" w:eastAsia="zh-CN"/>
        </w:rPr>
        <w:t>共</w:t>
      </w:r>
      <w:r>
        <w:rPr>
          <w:rFonts w:hint="eastAsia" w:ascii="仿宋" w:hAnsi="仿宋" w:eastAsia="仿宋" w:cs="仿宋"/>
          <w:sz w:val="32"/>
          <w:szCs w:val="32"/>
          <w:lang w:val="en-US" w:eastAsia="zh-CN"/>
        </w:rPr>
        <w:t>1</w:t>
      </w:r>
      <w:r>
        <w:rPr>
          <w:rFonts w:hint="eastAsia" w:eastAsia="仿宋" w:cs="仿宋"/>
          <w:sz w:val="32"/>
          <w:szCs w:val="32"/>
          <w:lang w:val="en-US" w:eastAsia="zh-CN"/>
        </w:rPr>
        <w:t>1</w:t>
      </w:r>
      <w:r>
        <w:rPr>
          <w:rFonts w:hint="eastAsia" w:ascii="仿宋" w:hAnsi="仿宋" w:eastAsia="仿宋" w:cs="仿宋"/>
          <w:sz w:val="32"/>
          <w:szCs w:val="32"/>
          <w:lang w:val="zh-CN"/>
        </w:rPr>
        <w:t>个股室；</w:t>
      </w:r>
      <w:r>
        <w:rPr>
          <w:rFonts w:hint="eastAsia" w:ascii="仿宋" w:hAnsi="仿宋" w:eastAsia="仿宋" w:cs="仿宋"/>
          <w:sz w:val="32"/>
          <w:szCs w:val="32"/>
          <w:lang w:val="en-US" w:eastAsia="zh-CN"/>
        </w:rPr>
        <w:t>岳阳市生态环境保护临湘</w:t>
      </w:r>
      <w:r>
        <w:rPr>
          <w:rFonts w:hint="eastAsia" w:ascii="仿宋" w:hAnsi="仿宋" w:eastAsia="仿宋" w:cs="仿宋"/>
          <w:sz w:val="32"/>
          <w:szCs w:val="32"/>
          <w:lang w:val="zh-CN" w:eastAsia="zh-CN"/>
        </w:rPr>
        <w:t>综合行政执法大队</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岳阳市临湘</w:t>
      </w:r>
      <w:r>
        <w:rPr>
          <w:rFonts w:hint="eastAsia" w:ascii="仿宋" w:hAnsi="仿宋" w:eastAsia="仿宋" w:cs="仿宋"/>
          <w:sz w:val="32"/>
          <w:szCs w:val="32"/>
          <w:lang w:val="zh-CN" w:eastAsia="zh-CN"/>
        </w:rPr>
        <w:t>生态环境监测站</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个二级机构。</w:t>
      </w:r>
    </w:p>
    <w:p w14:paraId="126EA7CB">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082CACC1">
      <w:pPr>
        <w:pStyle w:val="11"/>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375BD60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pacing w:val="-20"/>
          <w:kern w:val="0"/>
          <w:sz w:val="32"/>
          <w:szCs w:val="32"/>
          <w:lang w:val="en-US" w:eastAsia="zh-CN" w:bidi="ar-SA"/>
        </w:rPr>
      </w:pPr>
      <w:r>
        <w:rPr>
          <w:rFonts w:hint="eastAsia" w:ascii="仿宋_GB2312" w:hAnsi="仿宋_GB2312" w:eastAsia="仿宋_GB2312" w:cs="仿宋_GB2312"/>
          <w:b w:val="0"/>
          <w:bCs/>
          <w:sz w:val="32"/>
          <w:szCs w:val="32"/>
          <w:lang w:val="en-US" w:eastAsia="zh-CN"/>
        </w:rPr>
        <w:t>2024年基本支出年初预算数为1517.49万元，决算实际支出数为1652.08万元。其中：人员经费1407.81万元，主要包括：基本工资、津贴补贴、奖金、绩效工资、机关事业单位基本养老保险缴费、职工基本医疗保险缴费、其他社会保障缴费、住房公积金、其他工资福利支出、退休费等；公用经费244.27万元，主要包括：办公费、印刷费、水电费、邮电费、差旅费、培训费、维修（护）费、工会经费、公务接待费、专用材料费、劳务费</w:t>
      </w:r>
      <w:r>
        <w:rPr>
          <w:rFonts w:hint="eastAsia" w:ascii="仿宋_GB2312" w:hAnsi="仿宋_GB2312" w:eastAsia="仿宋_GB2312" w:cs="仿宋_GB2312"/>
          <w:b w:val="0"/>
          <w:bCs/>
          <w:sz w:val="32"/>
          <w:szCs w:val="32"/>
          <w:lang w:val="en-US" w:eastAsia="zh-CN"/>
        </w:rPr>
        <w:tab/>
      </w:r>
      <w:r>
        <w:rPr>
          <w:rFonts w:hint="eastAsia" w:ascii="仿宋_GB2312" w:hAnsi="仿宋_GB2312" w:eastAsia="仿宋_GB2312" w:cs="仿宋_GB2312"/>
          <w:b w:val="0"/>
          <w:bCs/>
          <w:sz w:val="32"/>
          <w:szCs w:val="32"/>
          <w:lang w:val="en-US" w:eastAsia="zh-CN"/>
        </w:rPr>
        <w:t>委托业务费、福利费、公务用车运行维护费、其他交通费用、其他商品和服务支出等。</w:t>
      </w:r>
    </w:p>
    <w:p w14:paraId="2FE5B8D4">
      <w:pPr>
        <w:pStyle w:val="11"/>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7CB73760">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年项目支出年初预算数为227.68万元，决算实际支出数为</w:t>
      </w:r>
      <w:r>
        <w:rPr>
          <w:rFonts w:hint="eastAsia" w:ascii="仿宋_GB2312" w:hAnsi="仿宋_GB2312" w:eastAsia="仿宋_GB2312" w:cs="仿宋_GB2312"/>
          <w:b w:val="0"/>
          <w:bCs/>
          <w:sz w:val="32"/>
          <w:szCs w:val="32"/>
          <w:lang w:val="en-US" w:eastAsia="zh-CN"/>
        </w:rPr>
        <w:t>980.94</w:t>
      </w:r>
      <w:r>
        <w:rPr>
          <w:rFonts w:hint="eastAsia" w:ascii="仿宋_GB2312" w:hAnsi="仿宋_GB2312" w:eastAsia="仿宋_GB2312" w:cs="仿宋_GB2312"/>
          <w:b w:val="0"/>
          <w:bCs/>
          <w:sz w:val="32"/>
          <w:szCs w:val="32"/>
        </w:rPr>
        <w:t>万元。主要用于办案费支出</w:t>
      </w:r>
      <w:r>
        <w:rPr>
          <w:rFonts w:hint="eastAsia" w:ascii="仿宋_GB2312" w:hAnsi="仿宋_GB2312" w:eastAsia="仿宋_GB2312" w:cs="仿宋_GB2312"/>
          <w:b w:val="0"/>
          <w:bCs/>
          <w:sz w:val="32"/>
          <w:szCs w:val="32"/>
          <w:lang w:eastAsia="zh-CN"/>
        </w:rPr>
        <w:t>，环境监察、监测等运行经费，环境监测、监控及监察能力建设，临湘市原氨基酸化学品厂周边土壤治理修复工程，乡村振兴支出，临湘市级环境监察监测支出，临湘市级环保工作经费，空气自动站项目经费，省级省级文明建设示范县创建</w:t>
      </w:r>
      <w:r>
        <w:rPr>
          <w:rFonts w:hint="eastAsia" w:ascii="仿宋_GB2312" w:hAnsi="仿宋_GB2312" w:eastAsia="仿宋_GB2312" w:cs="仿宋_GB2312"/>
          <w:b w:val="0"/>
          <w:bCs/>
          <w:sz w:val="32"/>
          <w:szCs w:val="32"/>
        </w:rPr>
        <w:t>等方面。</w:t>
      </w:r>
    </w:p>
    <w:p w14:paraId="6F4DEC80">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48EE013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0"/>
          <w:sz w:val="32"/>
          <w:szCs w:val="32"/>
          <w:lang w:val="en-US" w:eastAsia="zh-CN" w:bidi="ar-SA"/>
        </w:rPr>
        <w:t>2024年本单位无政府性基金预算安排的支出。</w:t>
      </w:r>
    </w:p>
    <w:p w14:paraId="3915CA11">
      <w:pPr>
        <w:pStyle w:val="11"/>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国有资本经营预算支出情</w:t>
      </w:r>
      <w:r>
        <w:rPr>
          <w:rFonts w:hint="eastAsia" w:ascii="Times New Roman" w:hAnsi="Times New Roman" w:eastAsia="黑体" w:cs="Times New Roman"/>
          <w:sz w:val="32"/>
          <w:szCs w:val="32"/>
          <w:highlight w:val="none"/>
          <w:lang w:eastAsia="zh-CN"/>
        </w:rPr>
        <w:t>况</w:t>
      </w:r>
    </w:p>
    <w:p w14:paraId="343E120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仿宋_GB2312" w:hAnsi="仿宋_GB2312" w:eastAsia="仿宋_GB2312" w:cs="仿宋_GB2312"/>
          <w:kern w:val="0"/>
          <w:sz w:val="32"/>
          <w:szCs w:val="32"/>
          <w:lang w:val="en-US" w:eastAsia="zh-CN" w:bidi="ar-SA"/>
        </w:rPr>
        <w:t>2024年本单位无国有资本经营预算安排的支出。</w:t>
      </w:r>
    </w:p>
    <w:p w14:paraId="42C8E0AC">
      <w:pPr>
        <w:pStyle w:val="11"/>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2ACBDC21">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0"/>
          <w:sz w:val="32"/>
          <w:szCs w:val="32"/>
          <w:lang w:val="en-US" w:eastAsia="zh-CN" w:bidi="ar-SA"/>
        </w:rPr>
        <w:t>2024年本单位无社会保险基金预算安排的支出。</w:t>
      </w:r>
    </w:p>
    <w:p w14:paraId="78193071">
      <w:pPr>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14:paraId="77AB32C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 xml:space="preserve">（一）部门资金情况分析 </w:t>
      </w:r>
    </w:p>
    <w:p w14:paraId="6B9A1DB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我局2024年资金总额3326.54万元，专项经费实行专款专用，严格按照相关规定支付，资金支付合规合法，资金使用率100%。</w:t>
      </w:r>
    </w:p>
    <w:p w14:paraId="1629971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（二）项目绩效指标完成情况分析</w:t>
      </w:r>
    </w:p>
    <w:p w14:paraId="525C85C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 xml:space="preserve">1.履职效能情况分析 </w:t>
      </w:r>
    </w:p>
    <w:p w14:paraId="2693C0B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2024年度临湘市生态环境质量持续改善，临湘市城区空气质量优良率同比上升3.3%，综合指数同比下降1.6%。地表水8个国省控考核断面水质优良率（达到或优于Ⅲ类）比例为100%；全市集中式饮用水水源地水质达标率100%。</w:t>
      </w:r>
    </w:p>
    <w:p w14:paraId="0D8F123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2.管理效率情况分析</w:t>
      </w:r>
    </w:p>
    <w:p w14:paraId="565A307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预算编制完整，专项资金细化率、预算执行率达到标准，预算调整率偏高，主要原因是追加项目增加导致预算调整金额增加。收入支出管理规范，内控制度有效，资产管理规范，部门固定资产利用率符合目标，信息化建设和管理制度建设有效。</w:t>
      </w:r>
    </w:p>
    <w:p w14:paraId="215DAC6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3.运行成本控制情况分析</w:t>
      </w:r>
    </w:p>
    <w:p w14:paraId="6420705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“三公经费”、公用经费均控制在预算范围内，项目支出有所超出预算，原因在于本年度县区财政项目经费增多。</w:t>
      </w:r>
    </w:p>
    <w:p w14:paraId="75830E2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4.服务满意度指标完成情况分析</w:t>
      </w:r>
    </w:p>
    <w:p w14:paraId="285BC7D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全年共受理投诉件258件次，受理、办结率100%，化解率100%，总体满意度95%以上。</w:t>
      </w:r>
    </w:p>
    <w:p w14:paraId="5BF58B3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5.可持续性影响情况分析</w:t>
      </w:r>
    </w:p>
    <w:p w14:paraId="44AB78D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2024年度临湘市生态环境质量持续改善，临湘市城区空气质量优良率同比上升3.3%，综合指数同比下降1.6%。地表水8个国省控考核断面水质优良率（达到或优于Ⅲ类）比例为100%，全市集中式饮用水水源地水质达标率100%，生态环保成效显著。</w:t>
      </w:r>
    </w:p>
    <w:p w14:paraId="1E7EB2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p>
    <w:p w14:paraId="6711D453">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2539C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default" w:ascii="仿宋_GB2312" w:hAnsi="仿宋_GB2312" w:eastAsia="仿宋_GB2312" w:cs="仿宋_GB2312"/>
          <w:color w:val="000000"/>
          <w:spacing w:val="0"/>
          <w:position w:val="0"/>
          <w:sz w:val="32"/>
          <w:szCs w:val="32"/>
          <w:lang w:val="en-US" w:eastAsia="zh-CN"/>
        </w:rPr>
        <w:t>存在问题个别项目资金使用方面预算与实际存在差异。问题产生的主要原因</w:t>
      </w:r>
      <w:r>
        <w:rPr>
          <w:rFonts w:hint="eastAsia" w:ascii="仿宋_GB2312" w:hAnsi="仿宋_GB2312" w:eastAsia="仿宋_GB2312" w:cs="仿宋_GB2312"/>
          <w:color w:val="000000"/>
          <w:spacing w:val="0"/>
          <w:position w:val="0"/>
          <w:sz w:val="32"/>
          <w:szCs w:val="32"/>
          <w:lang w:val="en-US" w:eastAsia="zh-CN"/>
        </w:rPr>
        <w:t>：</w:t>
      </w:r>
      <w:r>
        <w:rPr>
          <w:rFonts w:hint="default" w:ascii="仿宋_GB2312" w:hAnsi="仿宋_GB2312" w:eastAsia="仿宋_GB2312" w:cs="仿宋_GB2312"/>
          <w:color w:val="000000"/>
          <w:spacing w:val="0"/>
          <w:position w:val="0"/>
          <w:sz w:val="32"/>
          <w:szCs w:val="32"/>
          <w:lang w:val="en-US" w:eastAsia="zh-CN"/>
        </w:rPr>
        <w:t>绩效管理水平有待提高，特别是绩效指标设置的科学性、合理性有待进一步改善。</w:t>
      </w:r>
    </w:p>
    <w:p w14:paraId="15BF98C3">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八、</w:t>
      </w:r>
      <w:r>
        <w:rPr>
          <w:rFonts w:hint="default" w:ascii="Times New Roman" w:hAnsi="Times New Roman" w:eastAsia="黑体" w:cs="Times New Roman"/>
          <w:sz w:val="32"/>
          <w:szCs w:val="32"/>
          <w:highlight w:val="none"/>
        </w:rPr>
        <w:t>下一步改进措施</w:t>
      </w:r>
    </w:p>
    <w:p w14:paraId="03436BF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default" w:ascii="仿宋_GB2312" w:hAnsi="仿宋_GB2312" w:eastAsia="仿宋_GB2312" w:cs="仿宋_GB2312"/>
          <w:color w:val="000000"/>
          <w:spacing w:val="0"/>
          <w:position w:val="0"/>
          <w:sz w:val="32"/>
          <w:szCs w:val="32"/>
          <w:lang w:val="en-US" w:eastAsia="zh-CN"/>
        </w:rPr>
      </w:pPr>
      <w:r>
        <w:rPr>
          <w:rFonts w:hint="default" w:ascii="仿宋_GB2312" w:hAnsi="仿宋_GB2312" w:eastAsia="仿宋_GB2312" w:cs="仿宋_GB2312"/>
          <w:color w:val="000000"/>
          <w:spacing w:val="0"/>
          <w:position w:val="0"/>
          <w:sz w:val="32"/>
          <w:szCs w:val="32"/>
          <w:lang w:val="en-US" w:eastAsia="zh-CN"/>
        </w:rPr>
        <w:t>加强财务管理，严格财务审批。在费用报账支付时，按照预算规定的费用项目和用途进行资金使用、审核，列报支付，财务核算杜绝超支现象的发生。</w:t>
      </w:r>
    </w:p>
    <w:p w14:paraId="00CD23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仿宋_GB2312" w:cs="Times New Roman"/>
          <w:kern w:val="0"/>
          <w:sz w:val="32"/>
          <w:szCs w:val="32"/>
          <w:highlight w:val="none"/>
          <w:lang w:val="en-US" w:eastAsia="zh-CN" w:bidi="ar-SA"/>
        </w:rPr>
      </w:pPr>
      <w:r>
        <w:rPr>
          <w:rFonts w:hint="default" w:ascii="仿宋_GB2312" w:hAnsi="仿宋_GB2312" w:eastAsia="仿宋_GB2312" w:cs="仿宋_GB2312"/>
          <w:color w:val="000000"/>
          <w:spacing w:val="0"/>
          <w:position w:val="0"/>
          <w:sz w:val="32"/>
          <w:szCs w:val="32"/>
          <w:lang w:val="en-US" w:eastAsia="zh-CN"/>
        </w:rPr>
        <w:t>加强培训。建议多开展部门整体绩效评价工作的业务工作培训，组织开展部门之间、单位之间的经验交流，特别是要组织非财务部门的人员参与评价工作，切实推进绩效评价工作的开展。</w:t>
      </w:r>
    </w:p>
    <w:p w14:paraId="4ED1BF2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79B20CC9">
      <w:pPr>
        <w:pStyle w:val="2"/>
        <w:ind w:firstLine="620" w:firstLineChars="200"/>
        <w:rPr>
          <w:rFonts w:hint="default"/>
        </w:rPr>
      </w:pPr>
      <w:r>
        <w:rPr>
          <w:rFonts w:hint="default"/>
        </w:rPr>
        <w:t>本单位绩效自评结果为</w:t>
      </w:r>
      <w:r>
        <w:rPr>
          <w:rFonts w:hint="eastAsia"/>
          <w:lang w:eastAsia="zh-CN"/>
        </w:rPr>
        <w:t>优秀</w:t>
      </w:r>
      <w:r>
        <w:rPr>
          <w:rFonts w:hint="default"/>
        </w:rPr>
        <w:t>等级。下一步将根据财政检查绩效自评发现的问题等进行改善，并按政务公开的相关规定，及时将部门整体支出及项目绩效自评报告，通过门户网站向社会公开。</w:t>
      </w:r>
    </w:p>
    <w:p w14:paraId="0DAC02B3">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十、</w:t>
      </w:r>
      <w:r>
        <w:rPr>
          <w:rFonts w:hint="default" w:ascii="Times New Roman" w:hAnsi="Times New Roman" w:eastAsia="黑体" w:cs="Times New Roman"/>
          <w:sz w:val="32"/>
          <w:szCs w:val="32"/>
          <w:highlight w:val="none"/>
        </w:rPr>
        <w:t>其他需要说明的情况</w:t>
      </w:r>
    </w:p>
    <w:p w14:paraId="00995362">
      <w:pPr>
        <w:pStyle w:val="2"/>
        <w:ind w:firstLine="620" w:firstLineChars="200"/>
        <w:rPr>
          <w:rFonts w:hint="eastAsia"/>
          <w:lang w:eastAsia="zh-CN"/>
        </w:rPr>
      </w:pPr>
      <w:r>
        <w:rPr>
          <w:rFonts w:hint="eastAsia"/>
          <w:lang w:eastAsia="zh-CN"/>
        </w:rPr>
        <w:t>无。</w:t>
      </w:r>
    </w:p>
    <w:p w14:paraId="6EAABB9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4D13CD5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0FF709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263774B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4AD728F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5C60B53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3232D62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1A4C12F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48EFFD9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D5912"/>
    <w:multiLevelType w:val="singleLevel"/>
    <w:tmpl w:val="0D6D5912"/>
    <w:lvl w:ilvl="0" w:tentative="0">
      <w:start w:val="1"/>
      <w:numFmt w:val="chineseCounting"/>
      <w:suff w:val="nothing"/>
      <w:lvlText w:val="%1、"/>
      <w:lvlJc w:val="left"/>
      <w:rPr>
        <w:rFonts w:hint="eastAsia"/>
      </w:rPr>
    </w:lvl>
  </w:abstractNum>
  <w:abstractNum w:abstractNumId="1">
    <w:nsid w:val="472DDDE8"/>
    <w:multiLevelType w:val="singleLevel"/>
    <w:tmpl w:val="472DDDE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1A63CD7"/>
    <w:rsid w:val="02740C23"/>
    <w:rsid w:val="03380674"/>
    <w:rsid w:val="03D61236"/>
    <w:rsid w:val="044779E7"/>
    <w:rsid w:val="04665F1D"/>
    <w:rsid w:val="04CB2C07"/>
    <w:rsid w:val="05412745"/>
    <w:rsid w:val="058C7E64"/>
    <w:rsid w:val="058F1A07"/>
    <w:rsid w:val="05FD2B10"/>
    <w:rsid w:val="0A3A5A49"/>
    <w:rsid w:val="0A8E0CF2"/>
    <w:rsid w:val="0AC8263F"/>
    <w:rsid w:val="0C844E03"/>
    <w:rsid w:val="0CE01F46"/>
    <w:rsid w:val="0D9D24E2"/>
    <w:rsid w:val="0EA578A0"/>
    <w:rsid w:val="0FCE32B3"/>
    <w:rsid w:val="0FFE195E"/>
    <w:rsid w:val="10282A91"/>
    <w:rsid w:val="113A4C18"/>
    <w:rsid w:val="11496C09"/>
    <w:rsid w:val="11C0213A"/>
    <w:rsid w:val="11F748B7"/>
    <w:rsid w:val="127C4DBC"/>
    <w:rsid w:val="16FF2141"/>
    <w:rsid w:val="17E01CEC"/>
    <w:rsid w:val="185D40D7"/>
    <w:rsid w:val="18B23140"/>
    <w:rsid w:val="191F5F30"/>
    <w:rsid w:val="1AF62AC5"/>
    <w:rsid w:val="1C161A62"/>
    <w:rsid w:val="1E7F253B"/>
    <w:rsid w:val="1EA00084"/>
    <w:rsid w:val="1ED96131"/>
    <w:rsid w:val="20566C4C"/>
    <w:rsid w:val="21884F0C"/>
    <w:rsid w:val="219429D4"/>
    <w:rsid w:val="2201599D"/>
    <w:rsid w:val="238C4C0D"/>
    <w:rsid w:val="23B66BD2"/>
    <w:rsid w:val="25DD15C5"/>
    <w:rsid w:val="26676CA3"/>
    <w:rsid w:val="269229A8"/>
    <w:rsid w:val="27796F26"/>
    <w:rsid w:val="29171045"/>
    <w:rsid w:val="2A0E53D4"/>
    <w:rsid w:val="2A222295"/>
    <w:rsid w:val="2D1A7254"/>
    <w:rsid w:val="2E1E53E3"/>
    <w:rsid w:val="2EA064A0"/>
    <w:rsid w:val="307028E6"/>
    <w:rsid w:val="30B8300C"/>
    <w:rsid w:val="31183FE8"/>
    <w:rsid w:val="3188594B"/>
    <w:rsid w:val="3229553B"/>
    <w:rsid w:val="3380548F"/>
    <w:rsid w:val="33AA7583"/>
    <w:rsid w:val="33C63C91"/>
    <w:rsid w:val="35E12B4D"/>
    <w:rsid w:val="38657F1D"/>
    <w:rsid w:val="39211013"/>
    <w:rsid w:val="3925145A"/>
    <w:rsid w:val="393A75ED"/>
    <w:rsid w:val="39404BDD"/>
    <w:rsid w:val="398A3CE5"/>
    <w:rsid w:val="3A604186"/>
    <w:rsid w:val="3B186377"/>
    <w:rsid w:val="3B7346FF"/>
    <w:rsid w:val="3BEC625F"/>
    <w:rsid w:val="3D7F6A3A"/>
    <w:rsid w:val="3E081DAF"/>
    <w:rsid w:val="3E3658EB"/>
    <w:rsid w:val="3F5F315E"/>
    <w:rsid w:val="406C7CC6"/>
    <w:rsid w:val="447339C1"/>
    <w:rsid w:val="45BE5498"/>
    <w:rsid w:val="469E71A8"/>
    <w:rsid w:val="46DE0B39"/>
    <w:rsid w:val="474F17A4"/>
    <w:rsid w:val="47C62C3F"/>
    <w:rsid w:val="490F7633"/>
    <w:rsid w:val="49547006"/>
    <w:rsid w:val="49555444"/>
    <w:rsid w:val="49CA4977"/>
    <w:rsid w:val="49FE6356"/>
    <w:rsid w:val="4A0C3094"/>
    <w:rsid w:val="4C531609"/>
    <w:rsid w:val="4ECF5C98"/>
    <w:rsid w:val="4EE43655"/>
    <w:rsid w:val="4F0B013B"/>
    <w:rsid w:val="4FDB79C1"/>
    <w:rsid w:val="53AE31BA"/>
    <w:rsid w:val="55924C55"/>
    <w:rsid w:val="55A439DB"/>
    <w:rsid w:val="568B06F7"/>
    <w:rsid w:val="570A0F13"/>
    <w:rsid w:val="57CE2F91"/>
    <w:rsid w:val="58095CBB"/>
    <w:rsid w:val="581037D2"/>
    <w:rsid w:val="5899321A"/>
    <w:rsid w:val="59886344"/>
    <w:rsid w:val="5A0215A1"/>
    <w:rsid w:val="5A6C18A8"/>
    <w:rsid w:val="5AF17033"/>
    <w:rsid w:val="5B1C7423"/>
    <w:rsid w:val="5B531ADB"/>
    <w:rsid w:val="5BA65531"/>
    <w:rsid w:val="5BEA24B6"/>
    <w:rsid w:val="5C0105BA"/>
    <w:rsid w:val="5C514191"/>
    <w:rsid w:val="5D55249C"/>
    <w:rsid w:val="5D6D6A5B"/>
    <w:rsid w:val="5DAF73C1"/>
    <w:rsid w:val="5E260208"/>
    <w:rsid w:val="60B3748A"/>
    <w:rsid w:val="61811074"/>
    <w:rsid w:val="61C6117D"/>
    <w:rsid w:val="61E41157"/>
    <w:rsid w:val="63796007"/>
    <w:rsid w:val="645227C1"/>
    <w:rsid w:val="66263ABB"/>
    <w:rsid w:val="679338AF"/>
    <w:rsid w:val="699C5B6F"/>
    <w:rsid w:val="6A3F2BCE"/>
    <w:rsid w:val="6AE079AE"/>
    <w:rsid w:val="6B2A452A"/>
    <w:rsid w:val="6C2D4049"/>
    <w:rsid w:val="6CAB51F7"/>
    <w:rsid w:val="6DB75915"/>
    <w:rsid w:val="6F8F4EC7"/>
    <w:rsid w:val="71FD5E92"/>
    <w:rsid w:val="72C2773E"/>
    <w:rsid w:val="72F74E03"/>
    <w:rsid w:val="73337351"/>
    <w:rsid w:val="734175FF"/>
    <w:rsid w:val="758F7F6D"/>
    <w:rsid w:val="75CE77D5"/>
    <w:rsid w:val="765C119A"/>
    <w:rsid w:val="787D5D0E"/>
    <w:rsid w:val="78DB3B19"/>
    <w:rsid w:val="791D063B"/>
    <w:rsid w:val="7ABD2CC5"/>
    <w:rsid w:val="7B754E49"/>
    <w:rsid w:val="7D8B2B7A"/>
    <w:rsid w:val="7F0F7867"/>
    <w:rsid w:val="7F48099F"/>
    <w:rsid w:val="7F711595"/>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qFormat/>
    <w:uiPriority w:val="0"/>
    <w:rPr>
      <w:rFonts w:ascii="仿宋" w:hAnsi="仿宋" w:eastAsia="仿宋" w:cs="仿宋"/>
      <w:sz w:val="31"/>
      <w:szCs w:val="31"/>
      <w:lang w:val="en-US" w:eastAsia="en-US" w:bidi="ar-SA"/>
    </w:rPr>
  </w:style>
  <w:style w:type="paragraph" w:styleId="3">
    <w:name w:val="toc 5"/>
    <w:basedOn w:val="1"/>
    <w:next w:val="1"/>
    <w:autoRedefine/>
    <w:qFormat/>
    <w:uiPriority w:val="0"/>
    <w:pPr>
      <w:ind w:left="1680" w:leftChars="800"/>
    </w:pPr>
  </w:style>
  <w:style w:type="paragraph" w:styleId="4">
    <w:name w:val="annotation text"/>
    <w:basedOn w:val="1"/>
    <w:uiPriority w:val="0"/>
    <w:pPr>
      <w:jc w:val="left"/>
    </w:pPr>
  </w:style>
  <w:style w:type="paragraph" w:styleId="5">
    <w:name w:val="footer"/>
    <w:qFormat/>
    <w:uiPriority w:val="0"/>
    <w:pPr>
      <w:widowControl w:val="0"/>
      <w:tabs>
        <w:tab w:val="center" w:pos="4153"/>
        <w:tab w:val="right" w:pos="8306"/>
      </w:tabs>
      <w:snapToGrid w:val="0"/>
      <w:jc w:val="left"/>
    </w:pPr>
    <w:rPr>
      <w:rFonts w:ascii="仿宋" w:hAnsi="仿宋" w:eastAsia="宋体" w:cs="Times New Roman"/>
      <w:kern w:val="0"/>
      <w:sz w:val="18"/>
      <w:szCs w:val="24"/>
      <w:lang w:val="en-US" w:eastAsia="zh-CN" w:bidi="ar-SA"/>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仿宋" w:hAnsi="仿宋" w:eastAsia="宋体" w:cs="Times New Roman"/>
      <w:kern w:val="0"/>
      <w:sz w:val="18"/>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列出段落1"/>
    <w:basedOn w:val="1"/>
    <w:autoRedefine/>
    <w:qFormat/>
    <w:uiPriority w:val="34"/>
    <w:pPr>
      <w:ind w:firstLine="420" w:firstLineChars="200"/>
    </w:pPr>
  </w:style>
  <w:style w:type="paragraph" w:styleId="11">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1112</Words>
  <Characters>1396</Characters>
  <Lines>0</Lines>
  <Paragraphs>0</Paragraphs>
  <TotalTime>0</TotalTime>
  <ScaleCrop>false</ScaleCrop>
  <LinksUpToDate>false</LinksUpToDate>
  <CharactersWithSpaces>1514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严碧琪</cp:lastModifiedBy>
  <dcterms:modified xsi:type="dcterms:W3CDTF">2025-06-10T01:34:47Z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94EA49C4EC4C49D0B0C0C25FC1DCCF62_13</vt:lpwstr>
  </property>
  <property fmtid="{D5CDD505-2E9C-101B-9397-08002B2CF9AE}" pid="4" name="KSOTemplateDocerSaveRecord">
    <vt:lpwstr>eyJoZGlkIjoiNjgxZmIyZGM1NjlmYzFmNTczZGVkNWYyNWIwMGFjMmUiLCJ1c2VySWQiOiIyOTMyNjEyNDMifQ==</vt:lpwstr>
  </property>
</Properties>
</file>